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Deployment Report</w:t>
      </w:r>
    </w:p>
    <w:p>
      <w:r>
        <w:rPr>
          <w:i/>
          <w:color w:val="6B6660"/>
          <w:sz w:val="30"/>
        </w:rPr>
        <w:t>[ Deployment / engagement name ]</w:t>
      </w:r>
    </w:p>
    <w:p/>
    <w:tbl>
      <w:tblPr>
        <w:tblW w:type="auto" w:w="0"/>
        <w:jc w:val="left"/>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Engagement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Reference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Report version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v1.0 ]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Consultant name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Consultant role</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Role, e.g. MTS Consultant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DD/MM/YYYY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Acceptance authority / sponsor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 e.g. the approved design this report implements ]</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i/>
                <w:color w:val="6B6660"/>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How to use this template</w:t>
      </w:r>
    </w:p>
    <w:tbl>
      <w:tblPr>
        <w:tblW w:type="auto" w:w="0"/>
        <w:tblLook w:firstColumn="1" w:firstRow="1" w:lastColumn="0" w:lastRow="0" w:noHBand="0" w:noVBand="1" w:val="04A0"/>
      </w:tblPr>
      <w:tblGrid>
        <w:gridCol w:w="9412"/>
      </w:tblGrid>
      <w:tr>
        <w:tc>
          <w:tcPr>
            <w:tcW w:type="dxa" w:w="9412"/>
            <w:shd w:val="clear" w:color="auto" w:fill="F8F4ED"/>
            <w:tcBorders>
              <w:top w:val="single" w:sz="8" w:space="0" w:color="C99932"/>
              <w:left w:val="single" w:sz="8" w:space="0" w:color="C99932"/>
              <w:bottom w:val="single" w:sz="8" w:space="0" w:color="C99932"/>
              <w:right w:val="single" w:sz="8" w:space="0" w:color="C99932"/>
            </w:tcBorders>
          </w:tcPr>
          <w:p>
            <w:r>
              <w:rPr>
                <w:b/>
                <w:color w:val="1F5A5C"/>
                <w:sz w:val="20"/>
              </w:rPr>
              <w:t>Complete every section that asks you for a response.</w:t>
            </w:r>
            <w:r>
              <w:rPr>
                <w:color w:val="1F2329"/>
                <w:sz w:val="20"/>
              </w:rPr>
              <w:t xml:space="preserve">  Every section in this template is one the report needs — there is nothing here to skip.</w:t>
            </w:r>
          </w:p>
          <w:p>
            <w:r>
              <w:rPr>
                <w:b/>
                <w:color w:val="1F5A5C"/>
                <w:sz w:val="20"/>
              </w:rPr>
              <w:t>Two sections are supplied.</w:t>
            </w:r>
            <w:r>
              <w:rPr>
                <w:color w:val="1F2329"/>
                <w:sz w:val="20"/>
              </w:rPr>
              <w:t xml:space="preserve">  §2 and §3 are already written for you and are part of your report. Leave them as they are, and delete the violet note above each before you submit.</w:t>
            </w:r>
          </w:p>
          <w:p>
            <w:r>
              <w:rPr>
                <w:b/>
                <w:color w:val="1F5A5C"/>
                <w:sz w:val="20"/>
              </w:rPr>
              <w:t>Cross-reference your evidence.</w:t>
            </w:r>
            <w:r>
              <w:rPr>
                <w:color w:val="1F2329"/>
                <w:sz w:val="20"/>
              </w:rPr>
              <w:t xml:space="preserve">  The build narrative and testing sections reference the screenshots and test evidence captured in the appendices.</w:t>
            </w:r>
          </w:p>
        </w:tc>
      </w:tr>
    </w:tbl>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2. Engagement Context</w:t>
      </w:r>
    </w:p>
    <w:p>
      <w:pPr>
        <w:spacing w:after="120"/>
      </w:pPr>
      <w:r>
        <w:rPr>
          <w:i/>
          <w:color w:val="6A3EA1"/>
          <w:sz w:val="18"/>
        </w:rPr>
        <w:t>Supplied — this section is already written for you. It is part of your report: leave the text below as it is. Delete this note before you submit.</w:t>
      </w:r>
    </w:p>
    <w:p>
      <w:r>
        <w:rPr>
          <w:sz w:val="21"/>
        </w:rPr>
        <w:t>This deployment is the foundation-build phase of the YAT College Learning Management System (LMS) migration to AWS, carried out by MTS under the engagement agreed following the LMS Replacement Business Case. The board approved the action plan set out in that business case, and this phase implements the first stage of it.</w:t>
      </w:r>
    </w:p>
    <w:p>
      <w:r>
        <w:rPr>
          <w:sz w:val="21"/>
        </w:rPr>
        <w:t>MTS Senior Architecture and YAT IT subsequently produced the YAT LMS Cloud Architecture — Baseline Design, approved by Pat Lin (MTS Senior Consultant) and Sam Walker (YAT IT Manager). That design is the specification this deployment implements; where it leaves a decision to the implementer, the decision and its rationale are recorded in §5.</w:t>
      </w:r>
    </w:p>
    <w:p>
      <w:r>
        <w:rPr>
          <w:sz w:val="21"/>
        </w:rPr>
        <w:t>On completion the infrastructure is handed to YAT in-house IT, who are responsible for installing the LMS application, migrating the database, and running the cutover. Hardening the environment for high availability is a separate, later phase.</w:t>
      </w:r>
    </w:p>
    <w:p>
      <w:pPr>
        <w:pStyle w:val="Heading1"/>
      </w:pPr>
      <w:r>
        <w:t>3. Scope of Deployment</w:t>
      </w:r>
    </w:p>
    <w:p>
      <w:pPr>
        <w:spacing w:after="120"/>
      </w:pPr>
      <w:r>
        <w:rPr>
          <w:i/>
          <w:color w:val="6A3EA1"/>
          <w:sz w:val="18"/>
        </w:rPr>
        <w:t>Supplied — this section is already written for you. It is part of your report: leave the text below as it is. Delete this note before you submit.</w:t>
      </w:r>
    </w:p>
    <w:p>
      <w:r>
        <w:rPr>
          <w:sz w:val="21"/>
        </w:rPr>
        <w:t>In scope of this deployment:</w:t>
      </w:r>
    </w:p>
    <w:p>
      <w:pPr>
        <w:pStyle w:val="ListBullet"/>
      </w:pPr>
      <w:r>
        <w:rPr>
          <w:sz w:val="21"/>
        </w:rPr>
        <w:t>Identity and access management — groups, users, MFA enforcement and instance roles</w:t>
      </w:r>
    </w:p>
    <w:p>
      <w:pPr>
        <w:pStyle w:val="ListBullet"/>
      </w:pPr>
      <w:r>
        <w:rPr>
          <w:sz w:val="21"/>
        </w:rPr>
        <w:t>Network topology — the VPC, its subnets, gateways and route tables</w:t>
      </w:r>
    </w:p>
    <w:p>
      <w:pPr>
        <w:pStyle w:val="ListBullet"/>
      </w:pPr>
      <w:r>
        <w:rPr>
          <w:sz w:val="21"/>
        </w:rPr>
        <w:t>Compute — the launch template, EC2 instances and the Auto Scaling group</w:t>
      </w:r>
    </w:p>
    <w:p>
      <w:pPr>
        <w:pStyle w:val="ListBullet"/>
      </w:pPr>
      <w:r>
        <w:rPr>
          <w:sz w:val="21"/>
        </w:rPr>
        <w:t>Load balancing — the application load balancer, its target group and listener</w:t>
      </w:r>
    </w:p>
    <w:p>
      <w:pPr>
        <w:pStyle w:val="ListBullet"/>
      </w:pPr>
      <w:r>
        <w:rPr>
          <w:sz w:val="21"/>
        </w:rPr>
        <w:t>Database — the managed relational database instance</w:t>
      </w:r>
    </w:p>
    <w:p>
      <w:pPr>
        <w:pStyle w:val="ListBullet"/>
      </w:pPr>
      <w:r>
        <w:rPr>
          <w:sz w:val="21"/>
        </w:rPr>
        <w:t>Storage — the EBS volumes and S3 buckets, with encryption and public-access settings</w:t>
      </w:r>
    </w:p>
    <w:p>
      <w:pPr>
        <w:pStyle w:val="ListBullet"/>
      </w:pPr>
      <w:r>
        <w:rPr>
          <w:sz w:val="21"/>
        </w:rPr>
        <w:t>Security — the tiered security-group model and encryption in transit and at rest</w:t>
      </w:r>
    </w:p>
    <w:p>
      <w:pPr>
        <w:pStyle w:val="ListBullet"/>
      </w:pPr>
      <w:r>
        <w:rPr>
          <w:sz w:val="21"/>
        </w:rPr>
        <w:t>Monitoring — the baseline alarm set</w:t>
      </w:r>
    </w:p>
    <w:p>
      <w:r>
        <w:rPr>
          <w:sz w:val="21"/>
        </w:rPr>
        <w:t>Deferred to the follow-on high-availability phase:</w:t>
      </w:r>
    </w:p>
    <w:p>
      <w:pPr>
        <w:pStyle w:val="ListBullet"/>
      </w:pPr>
      <w:r>
        <w:rPr>
          <w:sz w:val="21"/>
        </w:rPr>
        <w:t>Multi-availability-zone database deployment</w:t>
      </w:r>
    </w:p>
    <w:p>
      <w:pPr>
        <w:pStyle w:val="ListBullet"/>
      </w:pPr>
      <w:r>
        <w:rPr>
          <w:sz w:val="21"/>
        </w:rPr>
        <w:t>Resilience across availability zones</w:t>
      </w:r>
    </w:p>
    <w:p>
      <w:pPr>
        <w:pStyle w:val="ListBullet"/>
      </w:pPr>
      <w:r>
        <w:rPr>
          <w:sz w:val="21"/>
        </w:rPr>
        <w:t>Failure and resize simulation, and the availability measurement that goes with it</w:t>
      </w:r>
    </w:p>
    <w:p>
      <w:pPr>
        <w:pStyle w:val="ListBullet"/>
      </w:pPr>
      <w:r>
        <w:rPr>
          <w:sz w:val="21"/>
        </w:rPr>
        <w:t>Cross-Region backup and replication</w:t>
      </w:r>
    </w:p>
    <w:p>
      <w:pPr>
        <w:pStyle w:val="ListBullet"/>
      </w:pPr>
      <w:r>
        <w:rPr>
          <w:sz w:val="21"/>
        </w:rPr>
        <w:t>Disaster-recovery runbooks</w:t>
      </w:r>
    </w:p>
    <w:p>
      <w:pPr>
        <w:pStyle w:val="ListBullet"/>
      </w:pPr>
      <w:r>
        <w:rPr>
          <w:sz w:val="21"/>
        </w:rPr>
        <w:t>The high-availability-tuned monitoring set</w:t>
      </w:r>
    </w:p>
    <w:p>
      <w:r>
        <w:rPr>
          <w:sz w:val="21"/>
        </w:rPr>
        <w:t>Outside the MTS engagement entirely — YAT in-house IT's responsibility:</w:t>
      </w:r>
    </w:p>
    <w:p>
      <w:pPr>
        <w:pStyle w:val="ListBullet"/>
      </w:pPr>
      <w:r>
        <w:rPr>
          <w:sz w:val="21"/>
        </w:rPr>
        <w:t>LMS application installation on the infrastructure built here</w:t>
      </w:r>
    </w:p>
    <w:p>
      <w:pPr>
        <w:pStyle w:val="ListBullet"/>
      </w:pPr>
      <w:r>
        <w:rPr>
          <w:sz w:val="21"/>
        </w:rPr>
        <w:t>Migration of the existing database content</w:t>
      </w:r>
    </w:p>
    <w:p>
      <w:pPr>
        <w:pStyle w:val="ListBullet"/>
      </w:pPr>
      <w:r>
        <w:rPr>
          <w:sz w:val="21"/>
        </w:rPr>
        <w:t>Cutover from the legacy environment, and the change management around it</w:t>
      </w:r>
    </w:p>
    <w:p>
      <w:pPr>
        <w:pStyle w:val="ListBullet"/>
      </w:pPr>
      <w:r>
        <w:rPr>
          <w:sz w:val="21"/>
        </w:rPr>
        <w:t>Ongoing application support after handover</w:t>
      </w:r>
    </w:p>
    <w:p>
      <w:pPr>
        <w:pStyle w:val="Heading1"/>
      </w:pPr>
      <w:r>
        <w:t>4. Build Narrative</w:t>
      </w:r>
    </w:p>
    <w:p>
      <w:pPr>
        <w:spacing w:after="120"/>
      </w:pPr>
      <w:r>
        <w:rPr>
          <w:i/>
          <w:color w:val="6B6660"/>
          <w:sz w:val="19"/>
        </w:rPr>
        <w:t>A layer-by-layer account of what was built. For each layer, write a short narrative of what you stood up, and cross-reference the Appendix A screenshots.</w:t>
      </w:r>
    </w:p>
    <w:p>
      <w:pPr>
        <w:pStyle w:val="Heading3"/>
      </w:pPr>
      <w:r>
        <w:t>4.1 Identity and access management (IAM)</w:t>
      </w:r>
    </w:p>
    <w:p>
      <w:pPr>
        <w:spacing w:after="120"/>
      </w:pPr>
      <w:r>
        <w:rPr>
          <w:i/>
          <w:color w:val="6B6660"/>
          <w:sz w:val="19"/>
        </w:rPr>
        <w:t>Cover: account access, groups/users/roles, MFA, instance profiles. Cross-reference the relevant Appendix A screenshots.</w:t>
      </w:r>
    </w:p>
    <w:p>
      <w:r>
        <w:rPr>
          <w:i/>
          <w:color w:val="6B6660"/>
        </w:rPr>
        <w:t>[ Write your response here ]</w:t>
      </w:r>
    </w:p>
    <w:p>
      <w:pPr>
        <w:pStyle w:val="Heading3"/>
      </w:pPr>
      <w:r>
        <w:t>4.2 Network topology</w:t>
      </w:r>
    </w:p>
    <w:p>
      <w:pPr>
        <w:spacing w:after="120"/>
      </w:pPr>
      <w:r>
        <w:rPr>
          <w:i/>
          <w:color w:val="6B6660"/>
          <w:sz w:val="19"/>
        </w:rPr>
        <w:t>Cover: VPC, subnets, gateways, route tables. Cross-reference the relevant Appendix A screenshots.</w:t>
      </w:r>
    </w:p>
    <w:p>
      <w:r>
        <w:rPr>
          <w:i/>
          <w:color w:val="6B6660"/>
        </w:rPr>
        <w:t>[ Write your response here ]</w:t>
      </w:r>
    </w:p>
    <w:p>
      <w:pPr>
        <w:pStyle w:val="Heading3"/>
      </w:pPr>
      <w:r>
        <w:t>4.3 Compute (EC2 + Auto Scaling)</w:t>
      </w:r>
    </w:p>
    <w:p>
      <w:pPr>
        <w:spacing w:after="120"/>
      </w:pPr>
      <w:r>
        <w:rPr>
          <w:i/>
          <w:color w:val="6B6660"/>
          <w:sz w:val="19"/>
        </w:rPr>
        <w:t>Cover: launch template, instance type + why, ASG min/desired/max + scaling policy. Cross-reference the relevant Appendix A screenshots.</w:t>
      </w:r>
    </w:p>
    <w:p>
      <w:r>
        <w:rPr>
          <w:i/>
          <w:color w:val="6B6660"/>
        </w:rPr>
        <w:t>[ Write your response here ]</w:t>
      </w:r>
    </w:p>
    <w:p>
      <w:pPr>
        <w:pStyle w:val="Heading3"/>
      </w:pPr>
      <w:r>
        <w:t>4.4 Load balancing (ALB)</w:t>
      </w:r>
    </w:p>
    <w:p>
      <w:pPr>
        <w:spacing w:after="120"/>
      </w:pPr>
      <w:r>
        <w:rPr>
          <w:i/>
          <w:color w:val="6B6660"/>
          <w:sz w:val="19"/>
        </w:rPr>
        <w:t>Cover: the load balancer, target group, listener, health check. Cross-reference the relevant Appendix A screenshots.</w:t>
      </w:r>
    </w:p>
    <w:p>
      <w:r>
        <w:rPr>
          <w:i/>
          <w:color w:val="6B6660"/>
        </w:rPr>
        <w:t>[ Write your response here ]</w:t>
      </w:r>
    </w:p>
    <w:p>
      <w:pPr>
        <w:pStyle w:val="Heading3"/>
      </w:pPr>
      <w:r>
        <w:t>4.5 Database (RDS)</w:t>
      </w:r>
    </w:p>
    <w:p>
      <w:pPr>
        <w:spacing w:after="120"/>
      </w:pPr>
      <w:r>
        <w:rPr>
          <w:i/>
          <w:color w:val="6B6660"/>
          <w:sz w:val="19"/>
        </w:rPr>
        <w:t>Cover: instance class + why, engine version, storage, encryption, backups. Cross-reference the relevant Appendix A screenshots.</w:t>
      </w:r>
    </w:p>
    <w:p>
      <w:r>
        <w:rPr>
          <w:i/>
          <w:color w:val="6B6660"/>
        </w:rPr>
        <w:t>[ Write your response here ]</w:t>
      </w:r>
    </w:p>
    <w:p>
      <w:pPr>
        <w:pStyle w:val="Heading3"/>
      </w:pPr>
      <w:r>
        <w:t>4.6 Storage (EBS + S3)</w:t>
      </w:r>
    </w:p>
    <w:p>
      <w:pPr>
        <w:spacing w:after="120"/>
      </w:pPr>
      <w:r>
        <w:rPr>
          <w:i/>
          <w:color w:val="6B6660"/>
          <w:sz w:val="19"/>
        </w:rPr>
        <w:t>Cover: EBS volumes, S3 buckets, encryption, public-access settings. Cross-reference the relevant Appendix A screenshots.</w:t>
      </w:r>
    </w:p>
    <w:p>
      <w:r>
        <w:rPr>
          <w:i/>
          <w:color w:val="6B6660"/>
        </w:rPr>
        <w:t>[ Write your response here ]</w:t>
      </w:r>
    </w:p>
    <w:p>
      <w:pPr>
        <w:pStyle w:val="Heading3"/>
      </w:pPr>
      <w:r>
        <w:t>4.7 Security (security groups + encryption)</w:t>
      </w:r>
    </w:p>
    <w:p>
      <w:pPr>
        <w:spacing w:after="120"/>
      </w:pPr>
      <w:r>
        <w:rPr>
          <w:i/>
          <w:color w:val="6B6660"/>
          <w:sz w:val="19"/>
        </w:rPr>
        <w:t>Cover: the tiered security-group model, encryption in transit + at rest. Cross-reference the relevant Appendix A screenshots.</w:t>
      </w:r>
    </w:p>
    <w:p>
      <w:r>
        <w:rPr>
          <w:i/>
          <w:color w:val="6B6660"/>
        </w:rPr>
        <w:t>[ Write your response here ]</w:t>
      </w:r>
    </w:p>
    <w:p>
      <w:pPr>
        <w:pStyle w:val="Heading3"/>
      </w:pPr>
      <w:r>
        <w:t>4.8 Monitoring</w:t>
      </w:r>
    </w:p>
    <w:p>
      <w:pPr>
        <w:spacing w:after="120"/>
      </w:pPr>
      <w:r>
        <w:rPr>
          <w:i/>
          <w:color w:val="6B6660"/>
          <w:sz w:val="19"/>
        </w:rPr>
        <w:t>Cover: the baseline CloudWatch alarms and thresholds. Cross-reference the relevant Appendix A screenshots.</w:t>
      </w:r>
    </w:p>
    <w:p>
      <w:r>
        <w:rPr>
          <w:i/>
          <w:color w:val="6B6660"/>
        </w:rPr>
        <w:t>[ Write your response here ]</w:t>
      </w:r>
    </w:p>
    <w:p>
      <w:pPr>
        <w:pStyle w:val="Heading1"/>
      </w:pPr>
      <w:r>
        <w:t>5. Configuration Decisions</w:t>
      </w:r>
    </w:p>
    <w:p>
      <w:pPr>
        <w:spacing w:after="120"/>
      </w:pPr>
      <w:r>
        <w:rPr>
          <w:i/>
          <w:color w:val="6B6660"/>
          <w:sz w:val="19"/>
        </w:rPr>
        <w:t>The approved design leaves two sizing decisions to the implementer (design §4.16). For each, name at least two options you considered, state the one you chose, and say why it suits the YAT LMS workload described in the LMS Application Specification.</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Decision point</w:t>
            </w:r>
          </w:p>
        </w:tc>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Options you considered</w:t>
            </w:r>
          </w:p>
        </w:tc>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Your choice</w:t>
            </w:r>
          </w:p>
        </w:tc>
        <w:tc>
          <w:tcPr>
            <w:tcW w:type="dxa" w:w="272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Why this one</w:t>
            </w:r>
          </w:p>
        </w:tc>
      </w:tr>
      <w:tr>
        <w:tc>
          <w:tcPr>
            <w:tcW w:type="dxa" w:w="510"/>
            <w:tcBorders>
              <w:top w:val="single" w:sz="4" w:space="0" w:color="E4DED3"/>
              <w:left w:val="single" w:sz="4" w:space="0" w:color="E4DED3"/>
              <w:bottom w:val="single" w:sz="4" w:space="0" w:color="E4DED3"/>
              <w:right w:val="single" w:sz="4" w:space="0" w:color="E4DED3"/>
            </w:tcBorders>
          </w:tcPr>
          <w:p>
            <w:r>
              <w:rPr>
                <w:sz w:val="19"/>
              </w:rPr>
              <w:t>C1</w:t>
            </w:r>
          </w:p>
        </w:tc>
        <w:tc>
          <w:tcPr>
            <w:tcW w:type="dxa" w:w="2041"/>
            <w:tcBorders>
              <w:top w:val="single" w:sz="4" w:space="0" w:color="E4DED3"/>
              <w:left w:val="single" w:sz="4" w:space="0" w:color="E4DED3"/>
              <w:bottom w:val="single" w:sz="4" w:space="0" w:color="E4DED3"/>
              <w:right w:val="single" w:sz="4" w:space="0" w:color="E4DED3"/>
            </w:tcBorders>
          </w:tcPr>
          <w:p>
            <w:r>
              <w:rPr>
                <w:sz w:val="19"/>
              </w:rPr>
              <w:t>Application-tier instance type</w:t>
            </w:r>
          </w:p>
        </w:tc>
        <w:tc>
          <w:tcPr>
            <w:tcW w:type="dxa" w:w="2041"/>
            <w:tcBorders>
              <w:top w:val="single" w:sz="4" w:space="0" w:color="E4DED3"/>
              <w:left w:val="single" w:sz="4" w:space="0" w:color="E4DED3"/>
              <w:bottom w:val="single" w:sz="4" w:space="0" w:color="E4DED3"/>
              <w:right w:val="single" w:sz="4" w:space="0" w:color="E4DED3"/>
            </w:tcBorders>
          </w:tcPr>
          <w:p>
            <w:r>
              <w:rPr>
                <w:i/>
                <w:color w:val="6B6660"/>
                <w:sz w:val="19"/>
              </w:rPr>
              <w:t>[ two candidates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721"/>
            <w:tcBorders>
              <w:top w:val="single" w:sz="4" w:space="0" w:color="E4DED3"/>
              <w:left w:val="single" w:sz="4" w:space="0" w:color="E4DED3"/>
              <w:bottom w:val="single" w:sz="4" w:space="0" w:color="E4DED3"/>
              <w:right w:val="single" w:sz="4" w:space="0" w:color="E4DED3"/>
            </w:tcBorders>
          </w:tcPr>
          <w:p>
            <w:r>
              <w:rPr>
                <w:i/>
                <w:color w:val="6B6660"/>
                <w:sz w:val="19"/>
              </w:rPr>
              <w:t>[ concurrent-user load from the application spec ]</w:t>
            </w:r>
          </w:p>
        </w:tc>
      </w:tr>
      <w:tr>
        <w:tc>
          <w:tcPr>
            <w:tcW w:type="dxa" w:w="510"/>
            <w:tcBorders>
              <w:top w:val="single" w:sz="4" w:space="0" w:color="E4DED3"/>
              <w:left w:val="single" w:sz="4" w:space="0" w:color="E4DED3"/>
              <w:bottom w:val="single" w:sz="4" w:space="0" w:color="E4DED3"/>
              <w:right w:val="single" w:sz="4" w:space="0" w:color="E4DED3"/>
            </w:tcBorders>
          </w:tcPr>
          <w:p>
            <w:r>
              <w:rPr>
                <w:sz w:val="19"/>
              </w:rPr>
              <w:t>C2</w:t>
            </w:r>
          </w:p>
        </w:tc>
        <w:tc>
          <w:tcPr>
            <w:tcW w:type="dxa" w:w="2041"/>
            <w:tcBorders>
              <w:top w:val="single" w:sz="4" w:space="0" w:color="E4DED3"/>
              <w:left w:val="single" w:sz="4" w:space="0" w:color="E4DED3"/>
              <w:bottom w:val="single" w:sz="4" w:space="0" w:color="E4DED3"/>
              <w:right w:val="single" w:sz="4" w:space="0" w:color="E4DED3"/>
            </w:tcBorders>
          </w:tcPr>
          <w:p>
            <w:r>
              <w:rPr>
                <w:sz w:val="19"/>
              </w:rPr>
              <w:t>Database instance class and storage size</w:t>
            </w:r>
          </w:p>
        </w:tc>
        <w:tc>
          <w:tcPr>
            <w:tcW w:type="dxa" w:w="2041"/>
            <w:tcBorders>
              <w:top w:val="single" w:sz="4" w:space="0" w:color="E4DED3"/>
              <w:left w:val="single" w:sz="4" w:space="0" w:color="E4DED3"/>
              <w:bottom w:val="single" w:sz="4" w:space="0" w:color="E4DED3"/>
              <w:right w:val="single" w:sz="4" w:space="0" w:color="E4DED3"/>
            </w:tcBorders>
          </w:tcPr>
          <w:p>
            <w:r>
              <w:rPr>
                <w:i/>
                <w:color w:val="6B6660"/>
                <w:sz w:val="19"/>
              </w:rPr>
              <w:t>[ two candidates ]</w:t>
            </w:r>
          </w:p>
        </w:tc>
        <w:tc>
          <w:tcPr>
            <w:tcW w:type="dxa" w:w="1474"/>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721"/>
            <w:tcBorders>
              <w:top w:val="single" w:sz="4" w:space="0" w:color="E4DED3"/>
              <w:left w:val="single" w:sz="4" w:space="0" w:color="E4DED3"/>
              <w:bottom w:val="single" w:sz="4" w:space="0" w:color="E4DED3"/>
              <w:right w:val="single" w:sz="4" w:space="0" w:color="E4DED3"/>
            </w:tcBorders>
          </w:tcPr>
          <w:p>
            <w:r>
              <w:rPr>
                <w:i/>
                <w:color w:val="6B6660"/>
                <w:sz w:val="19"/>
              </w:rPr>
              <w:t>[ database workload; current data footprint and its growth ]</w:t>
            </w:r>
          </w:p>
        </w:tc>
      </w:tr>
    </w:tbl>
    <w:p/>
    <w:p>
      <w:pPr>
        <w:pStyle w:val="Heading1"/>
      </w:pPr>
      <w:r>
        <w:t>6. Testing and Validation</w:t>
      </w:r>
    </w:p>
    <w:p>
      <w:pPr>
        <w:spacing w:after="120"/>
      </w:pPr>
      <w:r>
        <w:rPr>
          <w:i/>
          <w:color w:val="6B6660"/>
          <w:sz w:val="19"/>
        </w:rPr>
        <w:t>Five tests confirm the deployment works. Each one below tells you what it demonstrates and the exact steps to run it. Follow the steps, then paste the screenshot into the box provided. If a test does not pass, fix the problem, re-run it, and note what you changed.</w:t>
      </w:r>
    </w:p>
    <w:p>
      <w:pPr>
        <w:pStyle w:val="Heading3"/>
      </w:pPr>
      <w:r>
        <w:t>6.1 Connect to the application server</w:t>
      </w:r>
    </w:p>
    <w:p>
      <w:pPr>
        <w:spacing w:after="120"/>
      </w:pPr>
      <w:r>
        <w:rPr>
          <w:i/>
          <w:color w:val="6B6660"/>
          <w:sz w:val="19"/>
        </w:rPr>
        <w:t>What this test shows: you can reach the application server you built.</w:t>
      </w:r>
    </w:p>
    <w:p>
      <w:pPr>
        <w:spacing w:after="60"/>
        <w:ind w:left="340"/>
      </w:pPr>
      <w:r>
        <w:rPr>
          <w:b/>
          <w:sz w:val="21"/>
        </w:rPr>
        <w:t xml:space="preserve">1.  </w:t>
      </w:r>
      <w:r>
        <w:rPr>
          <w:sz w:val="21"/>
        </w:rPr>
        <w:t>In the AWS console, open EC2 and find your application instance in the instance list.</w:t>
      </w:r>
    </w:p>
    <w:p>
      <w:pPr>
        <w:spacing w:after="60"/>
        <w:ind w:left="340"/>
      </w:pPr>
      <w:r>
        <w:rPr>
          <w:b/>
          <w:sz w:val="21"/>
        </w:rPr>
        <w:t xml:space="preserve">2.  </w:t>
      </w:r>
      <w:r>
        <w:rPr>
          <w:sz w:val="21"/>
        </w:rPr>
        <w:t>Copy its address from the details panel.</w:t>
      </w:r>
    </w:p>
    <w:p>
      <w:pPr>
        <w:spacing w:after="60"/>
        <w:ind w:left="340"/>
      </w:pPr>
      <w:r>
        <w:rPr>
          <w:b/>
          <w:sz w:val="21"/>
        </w:rPr>
        <w:t xml:space="preserve">3.  </w:t>
      </w:r>
      <w:r>
        <w:rPr>
          <w:sz w:val="21"/>
        </w:rPr>
        <w:t>Open a terminal on your own computer and connect to the instance using the key pair and the connection command given in the engagement's build instructions.</w:t>
      </w:r>
    </w:p>
    <w:p>
      <w:pPr>
        <w:spacing w:after="60"/>
        <w:ind w:left="340"/>
      </w:pPr>
      <w:r>
        <w:rPr>
          <w:b/>
          <w:sz w:val="21"/>
        </w:rPr>
        <w:t xml:space="preserve">4.  </w:t>
      </w:r>
      <w:r>
        <w:rPr>
          <w:sz w:val="21"/>
        </w:rPr>
        <w:t>When the prompt appears, run: hostname</w:t>
      </w:r>
    </w:p>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sz w:val="20"/>
              </w:rPr>
              <w:t>[ PASTE YOUR SCREENSHOT HERE ]</w:t>
            </w:r>
          </w:p>
          <w:p>
            <w:pPr>
              <w:jc w:val="center"/>
            </w:pPr>
            <w:r>
              <w:rPr>
                <w:i/>
                <w:color w:val="6B6660"/>
                <w:sz w:val="18"/>
              </w:rPr>
              <w:t>your terminal, showing the connection succeeding and the hostname of the instance.</w:t>
            </w:r>
          </w:p>
        </w:tc>
      </w:tr>
    </w:tbl>
    <w:p/>
    <w:p>
      <w:pPr>
        <w:pStyle w:val="Heading3"/>
      </w:pPr>
      <w:r>
        <w:t>6.2 Reach the internet from the application server</w:t>
      </w:r>
    </w:p>
    <w:p>
      <w:pPr>
        <w:spacing w:after="120"/>
      </w:pPr>
      <w:r>
        <w:rPr>
          <w:i/>
          <w:color w:val="6B6660"/>
          <w:sz w:val="19"/>
        </w:rPr>
        <w:t>What this test shows: the application server can reach the internet through the NAT gateway, so it can be patched and can call external services.</w:t>
      </w:r>
    </w:p>
    <w:p>
      <w:pPr>
        <w:spacing w:after="60"/>
        <w:ind w:left="340"/>
      </w:pPr>
      <w:r>
        <w:rPr>
          <w:b/>
          <w:sz w:val="21"/>
        </w:rPr>
        <w:t xml:space="preserve">1.  </w:t>
      </w:r>
      <w:r>
        <w:rPr>
          <w:sz w:val="21"/>
        </w:rPr>
        <w:t>In the session you opened in 6.1, run: curl -I https://aws.amazon.com</w:t>
      </w:r>
    </w:p>
    <w:p>
      <w:pPr>
        <w:spacing w:after="60"/>
        <w:ind w:left="340"/>
      </w:pPr>
      <w:r>
        <w:rPr>
          <w:b/>
          <w:sz w:val="21"/>
        </w:rPr>
        <w:t xml:space="preserve">2.  </w:t>
      </w:r>
      <w:r>
        <w:rPr>
          <w:sz w:val="21"/>
        </w:rPr>
        <w:t>Confirm the response begins with an HTTP status line.</w:t>
      </w:r>
    </w:p>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sz w:val="20"/>
              </w:rPr>
              <w:t>[ PASTE YOUR SCREENSHOT HERE ]</w:t>
            </w:r>
          </w:p>
          <w:p>
            <w:pPr>
              <w:jc w:val="center"/>
            </w:pPr>
            <w:r>
              <w:rPr>
                <w:i/>
                <w:color w:val="6B6660"/>
                <w:sz w:val="18"/>
              </w:rPr>
              <w:t>the command and the HTTP response header it returned.</w:t>
            </w:r>
          </w:p>
        </w:tc>
      </w:tr>
    </w:tbl>
    <w:p/>
    <w:p>
      <w:pPr>
        <w:pStyle w:val="Heading3"/>
      </w:pPr>
      <w:r>
        <w:t>6.3 Reach the database from the application server</w:t>
      </w:r>
    </w:p>
    <w:p>
      <w:pPr>
        <w:spacing w:after="120"/>
      </w:pPr>
      <w:r>
        <w:rPr>
          <w:i/>
          <w:color w:val="6B6660"/>
          <w:sz w:val="19"/>
        </w:rPr>
        <w:t>What this test shows: the application tier can reach the database tier privately, over port 3306.</w:t>
      </w:r>
    </w:p>
    <w:p>
      <w:pPr>
        <w:spacing w:after="60"/>
        <w:ind w:left="340"/>
      </w:pPr>
      <w:r>
        <w:rPr>
          <w:b/>
          <w:sz w:val="21"/>
        </w:rPr>
        <w:t xml:space="preserve">1.  </w:t>
      </w:r>
      <w:r>
        <w:rPr>
          <w:sz w:val="21"/>
        </w:rPr>
        <w:t>In the AWS console, open RDS and copy your database's endpoint address.</w:t>
      </w:r>
    </w:p>
    <w:p>
      <w:pPr>
        <w:spacing w:after="60"/>
        <w:ind w:left="340"/>
      </w:pPr>
      <w:r>
        <w:rPr>
          <w:b/>
          <w:sz w:val="21"/>
        </w:rPr>
        <w:t xml:space="preserve">2.  </w:t>
      </w:r>
      <w:r>
        <w:rPr>
          <w:sz w:val="21"/>
        </w:rPr>
        <w:t>In the session from 6.1, run: nc -zv &lt;your-database-endpoint&gt; 3306</w:t>
      </w:r>
    </w:p>
    <w:p>
      <w:pPr>
        <w:spacing w:after="60"/>
        <w:ind w:left="340"/>
      </w:pPr>
      <w:r>
        <w:rPr>
          <w:b/>
          <w:sz w:val="21"/>
        </w:rPr>
        <w:t xml:space="preserve">3.  </w:t>
      </w:r>
      <w:r>
        <w:rPr>
          <w:sz w:val="21"/>
        </w:rPr>
        <w:t>Confirm the result reports the connection succeeded.</w:t>
      </w:r>
    </w:p>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sz w:val="20"/>
              </w:rPr>
              <w:t>[ PASTE YOUR SCREENSHOT HERE ]</w:t>
            </w:r>
          </w:p>
          <w:p>
            <w:pPr>
              <w:jc w:val="center"/>
            </w:pPr>
            <w:r>
              <w:rPr>
                <w:i/>
                <w:color w:val="6B6660"/>
                <w:sz w:val="18"/>
              </w:rPr>
              <w:t>the command and its output confirming the connection to port 3306 succeeded.</w:t>
            </w:r>
          </w:p>
        </w:tc>
      </w:tr>
    </w:tbl>
    <w:p/>
    <w:p>
      <w:pPr>
        <w:pStyle w:val="Heading3"/>
      </w:pPr>
      <w:r>
        <w:t>6.4 Reach the load balancer from the application server</w:t>
      </w:r>
    </w:p>
    <w:p>
      <w:pPr>
        <w:spacing w:after="120"/>
      </w:pPr>
      <w:r>
        <w:rPr>
          <w:i/>
          <w:color w:val="6B6660"/>
          <w:sz w:val="19"/>
        </w:rPr>
        <w:t>What this test shows: the application tier and the web tier can see each other — connectivity across all three tiers, taken with 6.3.</w:t>
      </w:r>
    </w:p>
    <w:p>
      <w:pPr>
        <w:spacing w:after="60"/>
        <w:ind w:left="340"/>
      </w:pPr>
      <w:r>
        <w:rPr>
          <w:b/>
          <w:sz w:val="21"/>
        </w:rPr>
        <w:t xml:space="preserve">1.  </w:t>
      </w:r>
      <w:r>
        <w:rPr>
          <w:sz w:val="21"/>
        </w:rPr>
        <w:t>In the AWS console, open EC2 → Load Balancers and copy your load balancer's DNS name.</w:t>
      </w:r>
    </w:p>
    <w:p>
      <w:pPr>
        <w:spacing w:after="60"/>
        <w:ind w:left="340"/>
      </w:pPr>
      <w:r>
        <w:rPr>
          <w:b/>
          <w:sz w:val="21"/>
        </w:rPr>
        <w:t xml:space="preserve">2.  </w:t>
      </w:r>
      <w:r>
        <w:rPr>
          <w:sz w:val="21"/>
        </w:rPr>
        <w:t>In the session from 6.1, run: curl -I http://&lt;your-load-balancer-dns-name&gt;</w:t>
      </w:r>
    </w:p>
    <w:p>
      <w:pPr>
        <w:spacing w:after="60"/>
        <w:ind w:left="340"/>
      </w:pPr>
      <w:r>
        <w:rPr>
          <w:b/>
          <w:sz w:val="21"/>
        </w:rPr>
        <w:t xml:space="preserve">3.  </w:t>
      </w:r>
      <w:r>
        <w:rPr>
          <w:sz w:val="21"/>
        </w:rPr>
        <w:t>Confirm an HTTP status line comes back.</w:t>
      </w:r>
    </w:p>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sz w:val="20"/>
              </w:rPr>
              <w:t>[ PASTE YOUR SCREENSHOT HERE ]</w:t>
            </w:r>
          </w:p>
          <w:p>
            <w:pPr>
              <w:jc w:val="center"/>
            </w:pPr>
            <w:r>
              <w:rPr>
                <w:i/>
                <w:color w:val="6B6660"/>
                <w:sz w:val="18"/>
              </w:rPr>
              <w:t>the command and the HTTP response from the load balancer.</w:t>
            </w:r>
          </w:p>
        </w:tc>
      </w:tr>
    </w:tbl>
    <w:p/>
    <w:p>
      <w:pPr>
        <w:pStyle w:val="Heading3"/>
      </w:pPr>
      <w:r>
        <w:t>6.5 Automatic scaling</w:t>
      </w:r>
    </w:p>
    <w:p>
      <w:pPr>
        <w:spacing w:after="120"/>
      </w:pPr>
      <w:r>
        <w:rPr>
          <w:i/>
          <w:color w:val="6B6660"/>
          <w:sz w:val="19"/>
        </w:rPr>
        <w:t>What this test shows: the Auto Scaling group adds and removes instances on its own, without you touching the instance count.</w:t>
      </w:r>
    </w:p>
    <w:p>
      <w:pPr>
        <w:spacing w:after="60"/>
        <w:ind w:left="340"/>
      </w:pPr>
      <w:r>
        <w:rPr>
          <w:b/>
          <w:sz w:val="21"/>
        </w:rPr>
        <w:t xml:space="preserve">1.  </w:t>
      </w:r>
      <w:r>
        <w:rPr>
          <w:sz w:val="21"/>
        </w:rPr>
        <w:t>In the AWS console, open EC2 → Auto Scaling Groups and select your group.</w:t>
      </w:r>
    </w:p>
    <w:p>
      <w:pPr>
        <w:spacing w:after="60"/>
        <w:ind w:left="340"/>
      </w:pPr>
      <w:r>
        <w:rPr>
          <w:b/>
          <w:sz w:val="21"/>
        </w:rPr>
        <w:t xml:space="preserve">2.  </w:t>
      </w:r>
      <w:r>
        <w:rPr>
          <w:sz w:val="21"/>
        </w:rPr>
        <w:t>On the Automatic scaling tab, edit your scaling policy and lower the target value far enough that current usage is above it (for example, to 10).</w:t>
      </w:r>
    </w:p>
    <w:p>
      <w:pPr>
        <w:spacing w:after="60"/>
        <w:ind w:left="340"/>
      </w:pPr>
      <w:r>
        <w:rPr>
          <w:b/>
          <w:sz w:val="21"/>
        </w:rPr>
        <w:t xml:space="preserve">3.  </w:t>
      </w:r>
      <w:r>
        <w:rPr>
          <w:sz w:val="21"/>
        </w:rPr>
        <w:t>Wait for the alarm to trigger. On the Activity tab, watch for a new instance to launch.</w:t>
      </w:r>
    </w:p>
    <w:p>
      <w:pPr>
        <w:spacing w:after="60"/>
        <w:ind w:left="340"/>
      </w:pPr>
      <w:r>
        <w:rPr>
          <w:b/>
          <w:sz w:val="21"/>
        </w:rPr>
        <w:t xml:space="preserve">4.  </w:t>
      </w:r>
      <w:r>
        <w:rPr>
          <w:sz w:val="21"/>
        </w:rPr>
        <w:t>Once the new instance is in service, edit the policy again and raise the target value well above current usage (for example, to 90).</w:t>
      </w:r>
    </w:p>
    <w:p>
      <w:pPr>
        <w:spacing w:after="60"/>
        <w:ind w:left="340"/>
      </w:pPr>
      <w:r>
        <w:rPr>
          <w:b/>
          <w:sz w:val="21"/>
        </w:rPr>
        <w:t xml:space="preserve">5.  </w:t>
      </w:r>
      <w:r>
        <w:rPr>
          <w:sz w:val="21"/>
        </w:rPr>
        <w:t>Wait for the group to scale back in, then return the target to the value you set in §5.</w:t>
      </w:r>
    </w:p>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sz w:val="20"/>
              </w:rPr>
              <w:t>[ PASTE YOUR SCREENSHOT HERE ]</w:t>
            </w:r>
          </w:p>
          <w:p>
            <w:pPr>
              <w:jc w:val="center"/>
            </w:pPr>
            <w:r>
              <w:rPr>
                <w:i/>
                <w:color w:val="6B6660"/>
                <w:sz w:val="18"/>
              </w:rPr>
              <w:t>the Activity tab, showing both the scale-out and the scale-in entries with their timestamps.</w:t>
            </w:r>
          </w:p>
        </w:tc>
      </w:tr>
    </w:tbl>
    <w:p/>
    <w:p>
      <w:pPr>
        <w:pStyle w:val="Heading1"/>
      </w:pPr>
      <w:r>
        <w:t>7. Operational Handover</w:t>
      </w:r>
    </w:p>
    <w:p>
      <w:pPr>
        <w:spacing w:after="120"/>
      </w:pPr>
      <w:r>
        <w:rPr>
          <w:i/>
          <w:color w:val="6B6660"/>
          <w:sz w:val="19"/>
        </w:rPr>
        <w:t>Hand-over information for the team taking over the infrastructure.</w:t>
      </w:r>
    </w:p>
    <w:p>
      <w:pPr>
        <w:pStyle w:val="Heading3"/>
      </w:pPr>
      <w:r>
        <w:t>7.1 Access</w:t>
      </w:r>
    </w:p>
    <w:p>
      <w:pPr>
        <w:spacing w:after="120"/>
      </w:pPr>
      <w:r>
        <w:rPr>
          <w:i/>
          <w:color w:val="6B6660"/>
          <w:sz w:val="19"/>
        </w:rPr>
        <w:t>Who has what access post-handover, MFA enforcement, any IAM group changes.</w:t>
      </w:r>
    </w:p>
    <w:p>
      <w:r>
        <w:rPr>
          <w:i/>
          <w:color w:val="6B6660"/>
        </w:rPr>
        <w:t>[ Write your response here ]</w:t>
      </w:r>
    </w:p>
    <w:p>
      <w:pPr>
        <w:pStyle w:val="Heading3"/>
      </w:pPr>
      <w:r>
        <w:t>7.2 Runbook references</w:t>
      </w:r>
    </w:p>
    <w:p>
      <w:pPr>
        <w:spacing w:after="120"/>
      </w:pPr>
      <w:r>
        <w:rPr>
          <w:i/>
          <w:color w:val="6B6660"/>
          <w:sz w:val="19"/>
        </w:rPr>
        <w:t>Pointers to the design document, naming/tagging conventions, backup arrangements, and the alarms list + notification destinations.</w:t>
      </w:r>
    </w:p>
    <w:p>
      <w:r>
        <w:rPr>
          <w:i/>
          <w:color w:val="6B6660"/>
        </w:rPr>
        <w:t>[ Write your response here ]</w:t>
      </w:r>
    </w:p>
    <w:p>
      <w:pPr>
        <w:pStyle w:val="Heading3"/>
      </w:pPr>
      <w:r>
        <w:t>7.3 Known limitations and what's next</w:t>
      </w:r>
    </w:p>
    <w:p>
      <w:pPr>
        <w:spacing w:after="120"/>
      </w:pPr>
      <w:r>
        <w:rPr>
          <w:i/>
          <w:color w:val="6B6660"/>
          <w:sz w:val="19"/>
        </w:rPr>
        <w:t>Be explicit about what is not covered today and what a later phase would add.</w:t>
      </w:r>
    </w:p>
    <w:p>
      <w:r>
        <w:rPr>
          <w:i/>
          <w:color w:val="6B6660"/>
        </w:rPr>
        <w:t>[ Write your response here ]</w:t>
      </w:r>
    </w:p>
    <w:p>
      <w:pPr>
        <w:pStyle w:val="Heading3"/>
      </w:pPr>
      <w:r>
        <w:t>7.4 Documentation filing</w:t>
      </w:r>
    </w:p>
    <w:tbl>
      <w:tblPr>
        <w:tblW w:type="auto" w:w="0"/>
        <w:jc w:val="center"/>
        <w:tblLayout w:type="autofit"/>
        <w:tblLook w:firstColumn="1" w:firstRow="1" w:lastColumn="0" w:lastRow="0" w:noHBand="0" w:noVBand="1" w:val="04A0"/>
      </w:tblPr>
      <w:tblGrid>
        <w:gridCol w:w="3137"/>
        <w:gridCol w:w="3137"/>
        <w:gridCol w:w="3137"/>
      </w:tblGrid>
      <w:tr>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Item</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Filed in</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Reference</w:t>
            </w:r>
          </w:p>
        </w:tc>
      </w:tr>
      <w:tr>
        <w:tc>
          <w:tcPr>
            <w:tcW w:type="dxa" w:w="3685"/>
            <w:tcBorders>
              <w:top w:val="single" w:sz="4" w:space="0" w:color="E4DED3"/>
              <w:left w:val="single" w:sz="4" w:space="0" w:color="E4DED3"/>
              <w:bottom w:val="single" w:sz="4" w:space="0" w:color="E4DED3"/>
              <w:right w:val="single" w:sz="4" w:space="0" w:color="E4DED3"/>
            </w:tcBorders>
          </w:tcPr>
          <w:p>
            <w:r>
              <w:rPr>
                <w:sz w:val="19"/>
              </w:rPr>
              <w:t>This Deployment Report</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YAT ICT shared documentation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ref ]</w:t>
            </w:r>
          </w:p>
        </w:tc>
      </w:tr>
      <w:tr>
        <w:tc>
          <w:tcPr>
            <w:tcW w:type="dxa" w:w="3685"/>
            <w:tcBorders>
              <w:top w:val="single" w:sz="4" w:space="0" w:color="E4DED3"/>
              <w:left w:val="single" w:sz="4" w:space="0" w:color="E4DED3"/>
              <w:bottom w:val="single" w:sz="4" w:space="0" w:color="E4DED3"/>
              <w:right w:val="single" w:sz="4" w:space="0" w:color="E4DED3"/>
            </w:tcBorders>
          </w:tcPr>
          <w:p>
            <w:r>
              <w:rPr>
                <w:sz w:val="19"/>
              </w:rPr>
              <w:t>Test evidence (§6)</w:t>
            </w:r>
          </w:p>
        </w:tc>
        <w:tc>
          <w:tcPr>
            <w:tcW w:type="dxa" w:w="2835"/>
            <w:tcBorders>
              <w:top w:val="single" w:sz="4" w:space="0" w:color="E4DED3"/>
              <w:left w:val="single" w:sz="4" w:space="0" w:color="E4DED3"/>
              <w:bottom w:val="single" w:sz="4" w:space="0" w:color="E4DED3"/>
              <w:right w:val="single" w:sz="4" w:space="0" w:color="E4DED3"/>
            </w:tcBorders>
          </w:tcPr>
          <w:p>
            <w:r>
              <w:rPr>
                <w:i/>
                <w:color w:val="6B6660"/>
                <w:sz w:val="19"/>
              </w:rPr>
              <w:t>[ … ]</w:t>
            </w:r>
          </w:p>
        </w:tc>
        <w:tc>
          <w:tcPr>
            <w:tcW w:type="dxa" w:w="2268"/>
            <w:tcBorders>
              <w:top w:val="single" w:sz="4" w:space="0" w:color="E4DED3"/>
              <w:left w:val="single" w:sz="4" w:space="0" w:color="E4DED3"/>
              <w:bottom w:val="single" w:sz="4" w:space="0" w:color="E4DED3"/>
              <w:right w:val="single" w:sz="4" w:space="0" w:color="E4DED3"/>
            </w:tcBorders>
          </w:tcPr>
          <w:p>
            <w:r>
              <w:rPr>
                <w:i/>
                <w:color w:val="6B6660"/>
                <w:sz w:val="19"/>
              </w:rPr>
              <w:t>[ ref ]</w:t>
            </w:r>
          </w:p>
        </w:tc>
      </w:tr>
    </w:tbl>
    <w:p/>
    <w:p>
      <w:pPr>
        <w:pStyle w:val="Heading1"/>
      </w:pPr>
      <w:r>
        <w:t>8. Knowledge Evidence Responses</w:t>
      </w:r>
    </w:p>
    <w:p>
      <w:pPr>
        <w:spacing w:after="120"/>
      </w:pPr>
      <w:r>
        <w:rPr>
          <w:i/>
          <w:color w:val="6B6660"/>
          <w:sz w:val="19"/>
        </w:rPr>
        <w:t>Q1. Identify the compute, networking and scaling services you deployed (e.g. EC2, ALB, Auto Scaling Group), and for each explain the feature it provides and how that choice supports the YAT LMS specifically (its load pattern, availability needs).</w:t>
      </w:r>
    </w:p>
    <w:p>
      <w:r>
        <w:rPr>
          <w:i/>
          <w:color w:val="6B6660"/>
        </w:rPr>
        <w:t>[ Write your response here ]</w:t>
      </w:r>
    </w:p>
    <w:p>
      <w:pPr>
        <w:spacing w:after="120"/>
      </w:pPr>
      <w:r>
        <w:rPr>
          <w:i/>
          <w:color w:val="6B6660"/>
          <w:sz w:val="19"/>
        </w:rPr>
        <w:t>Q2. In your build: (a) why did you use a managed service (RDS) rather than self-hosting the database? (b) why did you use EBS and S3 together — what does each store and why? (c) why did you scale horizontally (ASG) rather than vertically, and what trade-off did that involve?</w:t>
      </w:r>
    </w:p>
    <w:p>
      <w:r>
        <w:rPr>
          <w:i/>
          <w:color w:val="6B6660"/>
        </w:rPr>
        <w:t>[ Write your response here ]</w:t>
      </w:r>
    </w:p>
    <w:p>
      <w:pPr>
        <w:spacing w:after="120"/>
      </w:pPr>
      <w:r>
        <w:rPr>
          <w:i/>
          <w:color w:val="6B6660"/>
          <w:sz w:val="19"/>
        </w:rPr>
        <w:t>Q3. Using your own environment, name two responsibilities that remain YAT's and one that shifted to AWS under the shared-responsibility model, and say why each falls where it does.</w:t>
      </w:r>
    </w:p>
    <w:p>
      <w:r>
        <w:rPr>
          <w:i/>
          <w:color w:val="6B6660"/>
        </w:rPr>
        <w:t>[ Write your response here ]</w:t>
      </w:r>
    </w:p>
    <w:p>
      <w:pPr>
        <w:spacing w:after="120"/>
      </w:pPr>
      <w:r>
        <w:rPr>
          <w:i/>
          <w:color w:val="6B6660"/>
          <w:sz w:val="19"/>
        </w:rPr>
        <w:t>Q4. Pick one IAM group you created, describe the permissions you gave it and the job function it serves, and explain why its permissions differ from another group in your build.</w:t>
      </w:r>
    </w:p>
    <w:p>
      <w:r>
        <w:rPr>
          <w:i/>
          <w:color w:val="6B6660"/>
        </w:rPr>
        <w:t>[ Write your response here ]</w:t>
      </w:r>
    </w:p>
    <w:p>
      <w:pPr>
        <w:spacing w:after="120"/>
      </w:pPr>
      <w:r>
        <w:rPr>
          <w:i/>
          <w:color w:val="6B6660"/>
          <w:sz w:val="19"/>
        </w:rPr>
        <w:t>Q5. Pick one security group you configured, state its rules, explain why you restricted traffic that way, and describe the risk to YAT if that restriction were removed.</w:t>
      </w:r>
    </w:p>
    <w:p>
      <w:r>
        <w:rPr>
          <w:i/>
          <w:color w:val="6B6660"/>
        </w:rPr>
        <w:t>[ Write your response here ]</w:t>
      </w:r>
    </w:p>
    <w:p>
      <w:pPr>
        <w:spacing w:after="120"/>
      </w:pPr>
      <w:r>
        <w:rPr>
          <w:i/>
          <w:color w:val="6B6660"/>
          <w:sz w:val="19"/>
        </w:rPr>
        <w:t>Q6. When a YAT staff member types the LMS address into their browser, DNS resolution has to happen before anything else can. Explain what DNS does at that moment in your deployment, and what would fail for YAT if it were misconfigured.</w:t>
      </w:r>
    </w:p>
    <w:p>
      <w:r>
        <w:rPr>
          <w:i/>
          <w:color w:val="6B6660"/>
        </w:rPr>
        <w:t>[ Write your response here ]</w:t>
      </w:r>
    </w:p>
    <w:p>
      <w:pPr>
        <w:sectPr>
          <w:headerReference w:type="default" r:id="rId13"/>
          <w:footerReference w:type="default" r:id="rId14"/>
          <w:pgSz w:w="11906" w:h="16838"/>
          <w:pgMar w:top="1474" w:right="1247" w:bottom="1247" w:left="1247" w:header="567" w:footer="567" w:gutter="0"/>
          <w:cols w:space="720"/>
          <w:docGrid w:linePitch="360"/>
        </w:sectPr>
      </w:pPr>
    </w:p>
    <w:p>
      <w:pPr>
        <w:pStyle w:val="Heading1"/>
      </w:pPr>
      <w:r>
        <w:t>Appendix A — Build evidence (screenshots)</w:t>
      </w:r>
    </w:p>
    <w:p>
      <w:pPr>
        <w:spacing w:after="120"/>
      </w:pPr>
      <w:r>
        <w:rPr>
          <w:i/>
          <w:color w:val="6B6660"/>
          <w:sz w:val="19"/>
        </w:rPr>
        <w:t>Capture a console screenshot evidencing each component you built, with the region indicator visible. List each below and cross-reference it from §4 / §6. Examples:</w:t>
      </w:r>
    </w:p>
    <w:tbl>
      <w:tblPr>
        <w:tblW w:type="auto" w:w="0"/>
        <w:jc w:val="center"/>
        <w:tblLayout w:type="autofit"/>
        <w:tblLook w:firstColumn="1" w:firstRow="1" w:lastColumn="0" w:lastRow="0" w:noHBand="0" w:noVBand="1" w:val="04A0"/>
      </w:tblPr>
      <w:tblGrid>
        <w:gridCol w:w="3137"/>
        <w:gridCol w:w="3137"/>
        <w:gridCol w:w="3137"/>
      </w:tblGrid>
      <w:tr>
        <w:tc>
          <w:tcPr>
            <w:tcW w:type="dxa" w:w="56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Screenshot</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What must be visible</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A1</w:t>
            </w:r>
          </w:p>
        </w:tc>
        <w:tc>
          <w:tcPr>
            <w:tcW w:type="dxa" w:w="3118"/>
            <w:tcBorders>
              <w:top w:val="single" w:sz="4" w:space="0" w:color="E4DED3"/>
              <w:left w:val="single" w:sz="4" w:space="0" w:color="E4DED3"/>
              <w:bottom w:val="single" w:sz="4" w:space="0" w:color="E4DED3"/>
              <w:right w:val="single" w:sz="4" w:space="0" w:color="E4DED3"/>
            </w:tcBorders>
          </w:tcPr>
          <w:p>
            <w:r>
              <w:rPr>
                <w:sz w:val="19"/>
              </w:rPr>
              <w:t>IAM groups / MFA</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created groups; MFA enabled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A2</w:t>
            </w:r>
          </w:p>
        </w:tc>
        <w:tc>
          <w:tcPr>
            <w:tcW w:type="dxa" w:w="3118"/>
            <w:tcBorders>
              <w:top w:val="single" w:sz="4" w:space="0" w:color="E4DED3"/>
              <w:left w:val="single" w:sz="4" w:space="0" w:color="E4DED3"/>
              <w:bottom w:val="single" w:sz="4" w:space="0" w:color="E4DED3"/>
              <w:right w:val="single" w:sz="4" w:space="0" w:color="E4DED3"/>
            </w:tcBorders>
          </w:tcPr>
          <w:p>
            <w:r>
              <w:rPr>
                <w:sz w:val="19"/>
              </w:rPr>
              <w:t>VPC subnets</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subnets + AZs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A3</w:t>
            </w:r>
          </w:p>
        </w:tc>
        <w:tc>
          <w:tcPr>
            <w:tcW w:type="dxa" w:w="3118"/>
            <w:tcBorders>
              <w:top w:val="single" w:sz="4" w:space="0" w:color="E4DED3"/>
              <w:left w:val="single" w:sz="4" w:space="0" w:color="E4DED3"/>
              <w:bottom w:val="single" w:sz="4" w:space="0" w:color="E4DED3"/>
              <w:right w:val="single" w:sz="4" w:space="0" w:color="E4DED3"/>
            </w:tcBorders>
          </w:tcPr>
          <w:p>
            <w:r>
              <w:rPr>
                <w:sz w:val="19"/>
              </w:rPr>
              <w:t>EC2 instances + ASG</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running instances; ASG min/desired/max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A4</w:t>
            </w:r>
          </w:p>
        </w:tc>
        <w:tc>
          <w:tcPr>
            <w:tcW w:type="dxa" w:w="3118"/>
            <w:tcBorders>
              <w:top w:val="single" w:sz="4" w:space="0" w:color="E4DED3"/>
              <w:left w:val="single" w:sz="4" w:space="0" w:color="E4DED3"/>
              <w:bottom w:val="single" w:sz="4" w:space="0" w:color="E4DED3"/>
              <w:right w:val="single" w:sz="4" w:space="0" w:color="E4DED3"/>
            </w:tcBorders>
          </w:tcPr>
          <w:p>
            <w:r>
              <w:rPr>
                <w:sz w:val="19"/>
              </w:rPr>
              <w:t>ALB target group health</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healthy targets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A5</w:t>
            </w:r>
          </w:p>
        </w:tc>
        <w:tc>
          <w:tcPr>
            <w:tcW w:type="dxa" w:w="3118"/>
            <w:tcBorders>
              <w:top w:val="single" w:sz="4" w:space="0" w:color="E4DED3"/>
              <w:left w:val="single" w:sz="4" w:space="0" w:color="E4DED3"/>
              <w:bottom w:val="single" w:sz="4" w:space="0" w:color="E4DED3"/>
              <w:right w:val="single" w:sz="4" w:space="0" w:color="E4DED3"/>
            </w:tcBorders>
          </w:tcPr>
          <w:p>
            <w:r>
              <w:rPr>
                <w:sz w:val="19"/>
              </w:rPr>
              <w:t>RDS database</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available; encryption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A6</w:t>
            </w:r>
          </w:p>
        </w:tc>
        <w:tc>
          <w:tcPr>
            <w:tcW w:type="dxa" w:w="3118"/>
            <w:tcBorders>
              <w:top w:val="single" w:sz="4" w:space="0" w:color="E4DED3"/>
              <w:left w:val="single" w:sz="4" w:space="0" w:color="E4DED3"/>
              <w:bottom w:val="single" w:sz="4" w:space="0" w:color="E4DED3"/>
              <w:right w:val="single" w:sz="4" w:space="0" w:color="E4DED3"/>
            </w:tcBorders>
          </w:tcPr>
          <w:p>
            <w:r>
              <w:rPr>
                <w:sz w:val="19"/>
              </w:rPr>
              <w:t>CloudWatch alarms / dashboard</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the baseline alarms ]</w:t>
            </w:r>
          </w:p>
        </w:tc>
      </w:tr>
      <w:tr>
        <w:tc>
          <w:tcPr>
            <w:tcW w:type="dxa" w:w="567"/>
            <w:tcBorders>
              <w:top w:val="single" w:sz="4" w:space="0" w:color="E4DED3"/>
              <w:left w:val="single" w:sz="4" w:space="0" w:color="E4DED3"/>
              <w:bottom w:val="single" w:sz="4" w:space="0" w:color="E4DED3"/>
              <w:right w:val="single" w:sz="4" w:space="0" w:color="E4DED3"/>
            </w:tcBorders>
          </w:tcPr>
          <w:p>
            <w:r>
              <w:rPr>
                <w:sz w:val="19"/>
              </w:rPr>
              <w:t>…</w:t>
            </w:r>
          </w:p>
        </w:tc>
        <w:tc>
          <w:tcPr>
            <w:tcW w:type="dxa" w:w="3118"/>
            <w:tcBorders>
              <w:top w:val="single" w:sz="4" w:space="0" w:color="E4DED3"/>
              <w:left w:val="single" w:sz="4" w:space="0" w:color="E4DED3"/>
              <w:bottom w:val="single" w:sz="4" w:space="0" w:color="E4DED3"/>
              <w:right w:val="single" w:sz="4" w:space="0" w:color="E4DED3"/>
            </w:tcBorders>
          </w:tcPr>
          <w:p>
            <w:r>
              <w:rPr>
                <w:i/>
                <w:color w:val="6B6660"/>
                <w:sz w:val="19"/>
              </w:rPr>
              <w:t>[ add as your deployment requires ]</w:t>
            </w:r>
          </w:p>
        </w:tc>
        <w:tc>
          <w:tcPr>
            <w:tcW w:type="dxa" w:w="5102"/>
            <w:tcBorders>
              <w:top w:val="single" w:sz="4" w:space="0" w:color="E4DED3"/>
              <w:left w:val="single" w:sz="4" w:space="0" w:color="E4DED3"/>
              <w:bottom w:val="single" w:sz="4" w:space="0" w:color="E4DED3"/>
              <w:right w:val="single" w:sz="4" w:space="0" w:color="E4DED3"/>
            </w:tcBorders>
          </w:tcPr>
          <w:p>
            <w:r>
              <w:rPr>
                <w:i/>
                <w:color w:val="6B6660"/>
                <w:sz w:val="19"/>
              </w:rPr>
              <w:t>[ … ]</w:t>
            </w:r>
          </w:p>
        </w:tc>
      </w:tr>
    </w:tbl>
    <w:p/>
    <w:p>
      <w:pPr>
        <w:pStyle w:val="Heading1"/>
      </w:pPr>
      <w:r>
        <w:t>Document control</w:t>
      </w:r>
    </w:p>
    <w:tbl>
      <w:tblPr>
        <w:tblW w:type="auto" w:w="0"/>
        <w:jc w:val="center"/>
        <w:tblLayout w:type="autofit"/>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9"/>
              </w:rPr>
              <w:t>Value</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v1.0 ]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Author</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Name, role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Engagement</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Engagement name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Date submitted</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DD/MM/YYYY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Distribution</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 ]</w:t>
            </w:r>
          </w:p>
        </w:tc>
      </w:tr>
      <w:tr>
        <w:tc>
          <w:tcPr>
            <w:tcW w:type="dxa" w:w="2835"/>
            <w:tcBorders>
              <w:top w:val="single" w:sz="4" w:space="0" w:color="E4DED3"/>
              <w:left w:val="single" w:sz="4" w:space="0" w:color="E4DED3"/>
              <w:bottom w:val="single" w:sz="4" w:space="0" w:color="E4DED3"/>
              <w:right w:val="single" w:sz="4" w:space="0" w:color="E4DED3"/>
            </w:tcBorders>
          </w:tcPr>
          <w:p>
            <w:r>
              <w:rPr>
                <w:sz w:val="19"/>
              </w:rPr>
              <w:t>Related documents</w:t>
            </w:r>
          </w:p>
        </w:tc>
        <w:tc>
          <w:tcPr>
            <w:tcW w:type="dxa" w:w="5953"/>
            <w:tcBorders>
              <w:top w:val="single" w:sz="4" w:space="0" w:color="E4DED3"/>
              <w:left w:val="single" w:sz="4" w:space="0" w:color="E4DED3"/>
              <w:bottom w:val="single" w:sz="4" w:space="0" w:color="E4DED3"/>
              <w:right w:val="single" w:sz="4" w:space="0" w:color="E4DED3"/>
            </w:tcBorders>
          </w:tcPr>
          <w:p>
            <w:r>
              <w:rPr>
                <w:i/>
                <w:color w:val="6B6660"/>
                <w:sz w:val="19"/>
              </w:rPr>
              <w:t>[ the design implemented; predecessor/successor reports ]</w:t>
            </w:r>
          </w:p>
        </w:tc>
      </w:tr>
    </w:tbl>
    <w:p/>
    <w:sectPr w:rsidR="00FC693F" w:rsidRPr="0006063C" w:rsidSect="00034616">
      <w:headerReference w:type="default" r:id="rId15"/>
      <w:footerReference w:type="default" r:id="rId16"/>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