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Business Case</w:t>
      </w:r>
    </w:p>
    <w:p>
      <w:r>
        <w:rPr>
          <w:i/>
          <w:color w:val="6B6660"/>
          <w:sz w:val="30"/>
        </w:rPr>
        <w:t>[ Project / initiative name ]</w:t>
      </w:r>
    </w:p>
    <w:p/>
    <w:p/>
    <w:tbl>
      <w:tblPr>
        <w:tblW w:type="auto" w:w="0"/>
        <w:jc w:val="left"/>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for</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Client / board — e.g. YAT board, via the engagement sponsor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Consultant name, MP Tech Solutions (MTS)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Engagement name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version</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e.g. v0.1 ]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Date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Analysis period</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e.g. 5 years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Currency</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AUD ex GST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Executive Summary</w:t>
      </w:r>
    </w:p>
    <w:p>
      <w:pPr>
        <w:spacing w:after="120"/>
      </w:pPr>
      <w:r>
        <w:rPr>
          <w:i/>
          <w:color w:val="6B6660"/>
          <w:sz w:val="19"/>
        </w:rPr>
        <w:t>Write this section last. One page the board reads first: the problem in a sentence; the options considered; your recommendation; the high-level 5-year cost position for each option; the top 2–3 risks of the recommended option and how you'll manage them; and the decision you are asking the board to take today.</w:t>
      </w:r>
    </w:p>
    <w:p>
      <w:r>
        <w:rPr>
          <w:i/>
          <w:color w:val="6B6660"/>
        </w:rPr>
        <w:t>[ Write your response here ]</w:t>
      </w:r>
    </w:p>
    <w:p>
      <w:pPr>
        <w:pStyle w:val="Heading1"/>
      </w:pPr>
      <w:r>
        <w:t>2. Engagement Context</w:t>
      </w:r>
    </w:p>
    <w:p>
      <w:pPr>
        <w:spacing w:after="120"/>
      </w:pPr>
      <w:r>
        <w:rPr>
          <w:i/>
          <w:color w:val="6B6660"/>
          <w:sz w:val="19"/>
        </w:rPr>
        <w:t>Establish who you are, the engagement, who you report to, and what this Business Case asks the board to decide. Approx. one short paragraph.</w:t>
      </w:r>
    </w:p>
    <w:p>
      <w:r>
        <w:rPr>
          <w:i/>
          <w:color w:val="6B6660"/>
        </w:rPr>
        <w:t>[ Write your response here ]</w:t>
      </w:r>
    </w:p>
    <w:p>
      <w:pPr>
        <w:pStyle w:val="Heading1"/>
      </w:pPr>
      <w:r>
        <w:t>3. Strategic Alignment Analysis</w:t>
      </w:r>
    </w:p>
    <w:p>
      <w:pPr>
        <w:spacing w:after="120"/>
      </w:pPr>
      <w:r>
        <w:rPr>
          <w:i/>
          <w:color w:val="6B6660"/>
          <w:sz w:val="19"/>
        </w:rPr>
        <w:t>Analyse the organisation's ICT Strategic Plan against the broader industry environment and the organisation's objectives. Identify the objectives material to this initiative (cite them); characterise the relevant industry direction; state where the plan aligns with industry and where it diverges; draw out the implications for this initiative. Approx. 250–400 words.</w:t>
      </w:r>
    </w:p>
    <w:p>
      <w:r>
        <w:rPr>
          <w:i/>
          <w:color w:val="6B6660"/>
        </w:rPr>
        <w:t>[ Write your response here ]</w:t>
      </w:r>
    </w:p>
    <w:p>
      <w:pPr>
        <w:pStyle w:val="Heading1"/>
      </w:pPr>
      <w:r>
        <w:t>4. Current State</w:t>
      </w:r>
    </w:p>
    <w:p>
      <w:pPr>
        <w:spacing w:after="120"/>
      </w:pPr>
      <w:r>
        <w:rPr>
          <w:i/>
          <w:color w:val="6B6660"/>
          <w:sz w:val="19"/>
        </w:rPr>
        <w:t>Synthesise the current-state material into a board-level summary — do not reproduce source documents. Decide what is material to the decision, describe it in your own words, and focus the reader on what drives the gap analysis. Cover topology and security posture; the system's current status (what it runs, availability, recovery objectives, condition); supporting infrastructure and integrations; and staff capability and external dependencies. Approx. 150–250 words.</w:t>
      </w:r>
    </w:p>
    <w:p>
      <w:r>
        <w:rPr>
          <w:i/>
          <w:color w:val="6B6660"/>
        </w:rPr>
        <w:t>[ Write your response here ]</w:t>
      </w:r>
    </w:p>
    <w:p>
      <w:pPr>
        <w:pStyle w:val="Heading1"/>
      </w:pPr>
      <w:r>
        <w:t>5. Gap Analysis</w:t>
      </w:r>
    </w:p>
    <w:p>
      <w:pPr>
        <w:spacing w:after="120"/>
      </w:pPr>
      <w:r>
        <w:rPr>
          <w:i/>
          <w:color w:val="6B6660"/>
          <w:sz w:val="19"/>
        </w:rPr>
        <w:t>Compare each in-scope strategic objective against the current state. Identify the gap, the improvement opportunity, and the proposed change. Add rows as needed.</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Strategic objective</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Current state</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Desired future state</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Gap</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Improvement opportunity</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Proposed change</w:t>
            </w:r>
          </w:p>
        </w:tc>
      </w:tr>
      <w:tr>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Objective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Objective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Objective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spacing w:after="120"/>
      </w:pPr>
      <w:r>
        <w:rPr>
          <w:i/>
          <w:color w:val="6B6660"/>
          <w:sz w:val="19"/>
        </w:rPr>
        <w:t>Narrative summary tying the table together (100–200 words).</w:t>
      </w:r>
    </w:p>
    <w:p>
      <w:r>
        <w:rPr>
          <w:i/>
          <w:color w:val="6B6660"/>
        </w:rPr>
        <w:t>[ Write your response here ]</w:t>
      </w:r>
    </w:p>
    <w:p>
      <w:pPr>
        <w:pStyle w:val="Heading1"/>
      </w:pPr>
      <w:r>
        <w:t>6. Options Considered and Evaluation</w:t>
      </w:r>
    </w:p>
    <w:p>
      <w:pPr>
        <w:pStyle w:val="Heading2"/>
      </w:pPr>
      <w:r>
        <w:t>6.1 Workload definition</w:t>
      </w:r>
    </w:p>
    <w:p>
      <w:pPr>
        <w:spacing w:after="120"/>
      </w:pPr>
      <w:r>
        <w:rPr>
          <w:i/>
          <w:color w:val="6B6660"/>
          <w:sz w:val="19"/>
        </w:rPr>
        <w:t>Define the workload the chosen option must support: user load, peak patterns, data volumes, integration requirements, availability target.</w:t>
      </w:r>
    </w:p>
    <w:p>
      <w:r>
        <w:rPr>
          <w:i/>
          <w:color w:val="6B6660"/>
        </w:rPr>
        <w:t>[ Write your response here ]</w:t>
      </w:r>
    </w:p>
    <w:p>
      <w:pPr>
        <w:pStyle w:val="Heading2"/>
      </w:pPr>
      <w:r>
        <w:t>6.2 Options considered</w:t>
      </w:r>
    </w:p>
    <w:p>
      <w:pPr>
        <w:spacing w:after="120"/>
      </w:pPr>
      <w:r>
        <w:rPr>
          <w:i/>
          <w:color w:val="6B6660"/>
          <w:sz w:val="19"/>
        </w:rPr>
        <w:t>State the options you assessed (e.g. Option A — renew on-premises; Option B — migrate to AWS). Note any other options and why they were / weren't assessed.</w:t>
      </w:r>
    </w:p>
    <w:p>
      <w:r>
        <w:rPr>
          <w:i/>
          <w:color w:val="6B6660"/>
        </w:rPr>
        <w:t>[ Write your response here ]</w:t>
      </w:r>
    </w:p>
    <w:p>
      <w:pPr>
        <w:pStyle w:val="Heading2"/>
      </w:pPr>
      <w:r>
        <w:t>6.3 Evaluation method</w:t>
      </w:r>
    </w:p>
    <w:p>
      <w:pPr>
        <w:spacing w:after="120"/>
      </w:pPr>
      <w:r>
        <w:rPr>
          <w:i/>
          <w:color w:val="6B6660"/>
          <w:sz w:val="19"/>
        </w:rPr>
        <w:t>State the evaluation method applied (CBA + intangibles + risk register, and any weighted decision matrix). Justify why it suits this decision.</w:t>
      </w:r>
    </w:p>
    <w:p>
      <w:r>
        <w:rPr>
          <w:i/>
          <w:color w:val="6B6660"/>
        </w:rPr>
        <w:t>[ Write your response here ]</w:t>
      </w:r>
    </w:p>
    <w:p>
      <w:pPr>
        <w:pStyle w:val="Heading2"/>
      </w:pPr>
      <w:r>
        <w:t>6.4 Initial impact and difficulty assessment</w:t>
      </w:r>
    </w:p>
    <w:tbl>
      <w:tblPr>
        <w:tblW w:type="auto" w:w="0"/>
        <w:jc w:val="center"/>
        <w:tblLayout w:type="autofit"/>
        <w:tblLook w:firstColumn="1" w:firstRow="1" w:lastColumn="0" w:lastRow="0" w:noHBand="0" w:noVBand="1" w:val="04A0"/>
      </w:tblPr>
      <w:tblGrid>
        <w:gridCol w:w="3137"/>
        <w:gridCol w:w="3137"/>
        <w:gridCol w:w="3137"/>
      </w:tblGrid>
      <w:tr>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A</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B</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Strategic impact</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Implementation difficulty</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Headline pros</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Headline cons</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1"/>
      </w:pPr>
      <w:r>
        <w:t>7. Cost-Benefit Analysis</w:t>
      </w:r>
    </w:p>
    <w:p>
      <w:pPr>
        <w:spacing w:after="120"/>
      </w:pPr>
      <w:r>
        <w:rPr>
          <w:i/>
          <w:color w:val="6B6660"/>
          <w:sz w:val="19"/>
        </w:rPr>
        <w:t>A full 5-year CBA comparing the options. Detailed line items live in Appendix 1; the summary tables here are the headline view the board reads. All figures AUD ex GST.</w:t>
      </w:r>
    </w:p>
    <w:p>
      <w:pPr>
        <w:pStyle w:val="Heading2"/>
      </w:pPr>
      <w:r>
        <w:t>7.1 Assumptions</w:t>
      </w:r>
    </w:p>
    <w:tbl>
      <w:tblPr>
        <w:tblW w:type="auto" w:w="0"/>
        <w:jc w:val="center"/>
        <w:tblLayout w:type="autofit"/>
        <w:tblLook w:firstColumn="1" w:firstRow="1" w:lastColumn="0" w:lastRow="0" w:noHBand="0" w:noVBand="1" w:val="04A0"/>
      </w:tblPr>
      <w:tblGrid>
        <w:gridCol w:w="3137"/>
        <w:gridCol w:w="3137"/>
        <w:gridCol w:w="3137"/>
      </w:tblGrid>
      <w:tr>
        <w:tc>
          <w:tcPr>
            <w:tcW w:type="dxa" w:w="396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Assumption</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Value</w:t>
            </w:r>
          </w:p>
        </w:tc>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Used as-is?</w:t>
            </w:r>
          </w:p>
        </w:tc>
      </w:tr>
      <w:tr>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 yes  /  [ ] adjusted — see note</w:t>
            </w:r>
          </w:p>
        </w:tc>
      </w:tr>
      <w:tr>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 yes  /  [ ] adjusted — see note</w:t>
            </w:r>
          </w:p>
        </w:tc>
      </w:tr>
      <w:tr>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 yes  /  [ ] adjusted — see note</w:t>
            </w:r>
          </w:p>
        </w:tc>
      </w:tr>
      <w:tr>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 yes  /  [ ] adjusted — see note</w:t>
            </w:r>
          </w:p>
        </w:tc>
      </w:tr>
    </w:tbl>
    <w:p/>
    <w:p>
      <w:pPr>
        <w:pStyle w:val="Heading2"/>
      </w:pPr>
      <w:r>
        <w:t>7.2 Option A — 5-year summary</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1</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2</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3</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4</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5</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5-year</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One-off capital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Recurring</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Annual total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bl>
    <w:p/>
    <w:p>
      <w:pPr>
        <w:pStyle w:val="Heading2"/>
      </w:pPr>
      <w:r>
        <w:t>7.3 Option B — 5-year summary</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1</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2</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3</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4</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5</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5-year</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One-off project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Cloud / direct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Staff + external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Annual total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bl>
    <w:p/>
    <w:p>
      <w:pPr>
        <w:pStyle w:val="Heading2"/>
      </w:pPr>
      <w:r>
        <w:t>7.4 Quantified benefit (e.g. avoided downtime)</w:t>
      </w:r>
    </w:p>
    <w:p>
      <w:pPr>
        <w:spacing w:after="120"/>
      </w:pPr>
      <w:r>
        <w:rPr>
          <w:i/>
          <w:color w:val="6B6660"/>
          <w:sz w:val="19"/>
        </w:rPr>
        <w:t>Quantify the material benefit of the recommended option (for an availability uplift, the avoided-downtime cost; otherwise the relevant quantified benefit).</w:t>
      </w:r>
    </w:p>
    <w:p>
      <w:r>
        <w:rPr>
          <w:i/>
          <w:color w:val="6B6660"/>
        </w:rPr>
        <w:t>[ Write your response here ]</w:t>
      </w:r>
    </w:p>
    <w:p>
      <w:pPr>
        <w:pStyle w:val="Heading2"/>
      </w:pPr>
      <w:r>
        <w:t>7.5 Comparison summary</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A</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B</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Delta (B − A)</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5-year direct cost</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Quantified benefit</w:t>
            </w:r>
          </w:p>
        </w:tc>
        <w:tc>
          <w:tcPr>
            <w:tcW w:type="dxa" w:w="2154"/>
            <w:tcBorders>
              <w:top w:val="single" w:sz="4" w:space="0" w:color="E4DED3"/>
              <w:left w:val="single" w:sz="4" w:space="0" w:color="E4DED3"/>
              <w:bottom w:val="single" w:sz="4" w:space="0" w:color="E4DED3"/>
              <w:right w:val="single" w:sz="4" w:space="0" w:color="E4DED3"/>
            </w:tcBorders>
          </w:tcPr>
          <w:p>
            <w:r>
              <w:rPr>
                <w:sz w:val="19"/>
              </w:rPr>
              <w:t>—</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Net 5-year position</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r>
    </w:tbl>
    <w:p/>
    <w:p>
      <w:pPr>
        <w:pStyle w:val="Heading2"/>
      </w:pPr>
      <w:r>
        <w:t>7.6 Sensitivity analysis</w:t>
      </w:r>
    </w:p>
    <w:p>
      <w:pPr>
        <w:spacing w:after="120"/>
      </w:pPr>
      <w:r>
        <w:rPr>
          <w:i/>
          <w:color w:val="6B6660"/>
          <w:sz w:val="19"/>
        </w:rPr>
        <w:t>Pick at least two assumptions where a reasonable change would materially affect the outcome. Show the recalculation and the effect on the recommendation.</w:t>
      </w:r>
    </w:p>
    <w:p>
      <w:r>
        <w:rPr>
          <w:i/>
          <w:color w:val="6B6660"/>
        </w:rPr>
        <w:t>[ Write your response here ]</w:t>
      </w:r>
    </w:p>
    <w:p>
      <w:pPr>
        <w:pStyle w:val="Heading1"/>
      </w:pPr>
      <w:r>
        <w:t>8. Risk and Impact Assessment</w:t>
      </w:r>
    </w:p>
    <w:p>
      <w:pPr>
        <w:pStyle w:val="Heading2"/>
      </w:pPr>
      <w:r>
        <w:t>8.1 Intangibles comparison</w:t>
      </w:r>
    </w:p>
    <w:p>
      <w:pPr>
        <w:spacing w:after="120"/>
      </w:pPr>
      <w:r>
        <w:rPr>
          <w:i/>
          <w:color w:val="6B6660"/>
          <w:sz w:val="19"/>
        </w:rPr>
        <w:t>One to two sentences per factor. Be honest about trade-offs.</w:t>
      </w:r>
    </w:p>
    <w:tbl>
      <w:tblPr>
        <w:tblW w:type="auto" w:w="0"/>
        <w:jc w:val="center"/>
        <w:tblLayout w:type="autofit"/>
        <w:tblLook w:firstColumn="1" w:firstRow="1" w:lastColumn="0" w:lastRow="0" w:noHBand="0" w:noVBand="1" w:val="04A0"/>
      </w:tblPr>
      <w:tblGrid>
        <w:gridCol w:w="3137"/>
        <w:gridCol w:w="3137"/>
        <w:gridCol w:w="3137"/>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Factor</w:t>
            </w:r>
          </w:p>
        </w:tc>
        <w:tc>
          <w:tcPr>
            <w:tcW w:type="dxa" w:w="326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A</w:t>
            </w:r>
          </w:p>
        </w:tc>
        <w:tc>
          <w:tcPr>
            <w:tcW w:type="dxa" w:w="326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B</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Availability target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Recovery objectives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Capacity for growth / peaks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Staff capability impact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Vendor lock-in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Security posture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8.2 Risk register (recommended option)</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368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Risk</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Likelihood</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Impact</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Mitigation</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Risk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Risk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Risk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1"/>
      </w:pPr>
      <w:r>
        <w:t>9. Recommendation</w:t>
      </w:r>
    </w:p>
    <w:p>
      <w:pPr>
        <w:spacing w:after="120"/>
      </w:pPr>
      <w:r>
        <w:rPr>
          <w:i/>
          <w:color w:val="6B6660"/>
          <w:sz w:val="19"/>
        </w:rPr>
        <w:t>State the recommended option and the headline rationale (3–5 sentences) — connect it to the CBA findings, the intangibles, and the risk register. This drives the prioritisation and action plan in §10.</w:t>
      </w:r>
    </w:p>
    <w:p>
      <w:r>
        <w:rPr>
          <w:i/>
          <w:color w:val="6B6660"/>
        </w:rPr>
        <w:t>[ Write your response here ]</w:t>
      </w:r>
    </w:p>
    <w:p>
      <w:pPr>
        <w:pStyle w:val="Heading1"/>
      </w:pPr>
      <w:r>
        <w:t>10. Action Plan</w:t>
      </w:r>
    </w:p>
    <w:p>
      <w:pPr>
        <w:pStyle w:val="Heading2"/>
      </w:pPr>
      <w:r>
        <w:t>10.1 Prioritised changes</w:t>
      </w:r>
    </w:p>
    <w:tbl>
      <w:tblPr>
        <w:tblW w:type="auto" w:w="0"/>
        <w:jc w:val="center"/>
        <w:tblLayout w:type="autofit"/>
        <w:tblLook w:firstColumn="1" w:firstRow="1" w:lastColumn="0" w:lastRow="0" w:noHBand="0" w:noVBand="1" w:val="04A0"/>
      </w:tblPr>
      <w:tblGrid>
        <w:gridCol w:w="3137"/>
        <w:gridCol w:w="3137"/>
        <w:gridCol w:w="3137"/>
      </w:tblGrid>
      <w:tr>
        <w:tc>
          <w:tcPr>
            <w:tcW w:type="dxa" w:w="68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w:t>
            </w:r>
          </w:p>
        </w:tc>
        <w:tc>
          <w:tcPr>
            <w:tcW w:type="dxa" w:w="396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Change</w:t>
            </w:r>
          </w:p>
        </w:tc>
        <w:tc>
          <w:tcPr>
            <w:tcW w:type="dxa" w:w="45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Priority rationale</w:t>
            </w:r>
          </w:p>
        </w:tc>
      </w:tr>
      <w:tr>
        <w:tc>
          <w:tcPr>
            <w:tcW w:type="dxa" w:w="680"/>
            <w:tcBorders>
              <w:top w:val="single" w:sz="4" w:space="0" w:color="E4DED3"/>
              <w:left w:val="single" w:sz="4" w:space="0" w:color="E4DED3"/>
              <w:bottom w:val="single" w:sz="4" w:space="0" w:color="E4DED3"/>
              <w:right w:val="single" w:sz="4" w:space="0" w:color="E4DED3"/>
            </w:tcBorders>
          </w:tcPr>
          <w:p>
            <w:r>
              <w:rPr>
                <w:sz w:val="19"/>
              </w:rPr>
              <w:t>1</w:t>
            </w:r>
          </w:p>
        </w:tc>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45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680"/>
            <w:tcBorders>
              <w:top w:val="single" w:sz="4" w:space="0" w:color="E4DED3"/>
              <w:left w:val="single" w:sz="4" w:space="0" w:color="E4DED3"/>
              <w:bottom w:val="single" w:sz="4" w:space="0" w:color="E4DED3"/>
              <w:right w:val="single" w:sz="4" w:space="0" w:color="E4DED3"/>
            </w:tcBorders>
          </w:tcPr>
          <w:p>
            <w:r>
              <w:rPr>
                <w:sz w:val="19"/>
              </w:rPr>
              <w:t>2</w:t>
            </w:r>
          </w:p>
        </w:tc>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45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680"/>
            <w:tcBorders>
              <w:top w:val="single" w:sz="4" w:space="0" w:color="E4DED3"/>
              <w:left w:val="single" w:sz="4" w:space="0" w:color="E4DED3"/>
              <w:bottom w:val="single" w:sz="4" w:space="0" w:color="E4DED3"/>
              <w:right w:val="single" w:sz="4" w:space="0" w:color="E4DED3"/>
            </w:tcBorders>
          </w:tcPr>
          <w:p>
            <w:r>
              <w:rPr>
                <w:sz w:val="19"/>
              </w:rPr>
              <w:t>3</w:t>
            </w:r>
          </w:p>
        </w:tc>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4535"/>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10.2 Implementation schedule</w:t>
      </w:r>
    </w:p>
    <w:p>
      <w:pPr>
        <w:spacing w:after="120"/>
      </w:pPr>
      <w:r>
        <w:rPr>
          <w:i/>
          <w:color w:val="6B6660"/>
          <w:sz w:val="19"/>
        </w:rPr>
        <w:t>Indicative schedule — phase the work; durations and dependencies. Do not propose a single all-at-once cutover unless the risk register supports it.</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85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Phase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Activities</w:t>
            </w:r>
          </w:p>
        </w:tc>
        <w:tc>
          <w:tcPr>
            <w:tcW w:type="dxa" w:w="124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Start</w:t>
            </w:r>
          </w:p>
        </w:tc>
        <w:tc>
          <w:tcPr>
            <w:tcW w:type="dxa" w:w="124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Duration</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Dependencies</w:t>
            </w:r>
          </w:p>
        </w:tc>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Owner</w:t>
            </w:r>
          </w:p>
        </w:tc>
      </w:tr>
      <w:tr>
        <w:tc>
          <w:tcPr>
            <w:tcW w:type="dxa" w:w="850"/>
            <w:tcBorders>
              <w:top w:val="single" w:sz="4" w:space="0" w:color="E4DED3"/>
              <w:left w:val="single" w:sz="4" w:space="0" w:color="E4DED3"/>
              <w:bottom w:val="single" w:sz="4" w:space="0" w:color="E4DED3"/>
              <w:right w:val="single" w:sz="4" w:space="0" w:color="E4DED3"/>
            </w:tcBorders>
          </w:tcPr>
          <w:p>
            <w:r>
              <w:rPr>
                <w:sz w:val="19"/>
              </w:rPr>
              <w:t>1</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sz w:val="19"/>
              </w:rPr>
              <w:t>—</w:t>
            </w:r>
          </w:p>
        </w:tc>
        <w:tc>
          <w:tcPr>
            <w:tcW w:type="dxa" w:w="1361"/>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850"/>
            <w:tcBorders>
              <w:top w:val="single" w:sz="4" w:space="0" w:color="E4DED3"/>
              <w:left w:val="single" w:sz="4" w:space="0" w:color="E4DED3"/>
              <w:bottom w:val="single" w:sz="4" w:space="0" w:color="E4DED3"/>
              <w:right w:val="single" w:sz="4" w:space="0" w:color="E4DED3"/>
            </w:tcBorders>
          </w:tcPr>
          <w:p>
            <w:r>
              <w:rPr>
                <w:sz w:val="19"/>
              </w:rPr>
              <w:t>2</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361"/>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850"/>
            <w:tcBorders>
              <w:top w:val="single" w:sz="4" w:space="0" w:color="E4DED3"/>
              <w:left w:val="single" w:sz="4" w:space="0" w:color="E4DED3"/>
              <w:bottom w:val="single" w:sz="4" w:space="0" w:color="E4DED3"/>
              <w:right w:val="single" w:sz="4" w:space="0" w:color="E4DED3"/>
            </w:tcBorders>
          </w:tcPr>
          <w:p>
            <w:r>
              <w:rPr>
                <w:sz w:val="19"/>
              </w:rPr>
              <w:t>3</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361"/>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10.3 Standards, targets, and success metrics</w:t>
      </w:r>
    </w:p>
    <w:tbl>
      <w:tblPr>
        <w:tblW w:type="auto" w:w="0"/>
        <w:jc w:val="center"/>
        <w:tblLayout w:type="autofit"/>
        <w:tblLook w:firstColumn="1" w:firstRow="1" w:lastColumn="0" w:lastRow="0" w:noHBand="0" w:noVBand="1" w:val="04A0"/>
      </w:tblPr>
      <w:tblGrid>
        <w:gridCol w:w="3137"/>
        <w:gridCol w:w="3137"/>
        <w:gridCol w:w="3137"/>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Aspect</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Standard / target</w:t>
            </w:r>
          </w:p>
        </w:tc>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How measured</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Availability target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Recovery (RPO/RTO)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Cost envelope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Data residency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10.4 Implementation methods</w:t>
      </w:r>
    </w:p>
    <w:p>
      <w:pPr>
        <w:spacing w:after="120"/>
      </w:pPr>
      <w:r>
        <w:rPr>
          <w:i/>
          <w:color w:val="6B6660"/>
          <w:sz w:val="19"/>
        </w:rPr>
        <w:t>For each phase, identify the methods, tools, and standards applied (e.g. a Well-Architected review at design milestones; the change-management procedure for production changes).</w:t>
      </w:r>
    </w:p>
    <w:p>
      <w:r>
        <w:rPr>
          <w:i/>
          <w:color w:val="6B6660"/>
        </w:rPr>
        <w:t>[ Write your response here ]</w:t>
      </w:r>
    </w:p>
    <w:p>
      <w:pPr>
        <w:pStyle w:val="Heading2"/>
      </w:pPr>
      <w:r>
        <w:t>10.5 Alignment with change-management procedure</w:t>
      </w:r>
    </w:p>
    <w:p>
      <w:pPr>
        <w:spacing w:after="120"/>
      </w:pPr>
      <w:r>
        <w:rPr>
          <w:i/>
          <w:color w:val="6B6660"/>
          <w:sz w:val="19"/>
        </w:rPr>
        <w:t>State how the action plan aligns with the organisation's change-management procedure: which phases require change requests, approval, and sign-off.</w:t>
      </w:r>
    </w:p>
    <w:p>
      <w:r>
        <w:rPr>
          <w:i/>
          <w:color w:val="6B6660"/>
        </w:rPr>
        <w:t>[ Write your response here ]</w:t>
      </w:r>
    </w:p>
    <w:p>
      <w:pPr>
        <w:pStyle w:val="Heading1"/>
      </w:pPr>
      <w:r>
        <w:t>11. Next Steps and Decision Requested</w:t>
      </w:r>
    </w:p>
    <w:p>
      <w:pPr>
        <w:spacing w:after="120"/>
      </w:pPr>
      <w:r>
        <w:rPr>
          <w:i/>
          <w:color w:val="6B6660"/>
          <w:sz w:val="19"/>
        </w:rPr>
        <w:t>State precisely what you are asking the board to decide today, and list any items deferred to later sign-off gates.</w:t>
      </w:r>
    </w:p>
    <w:p>
      <w:r>
        <w:rPr>
          <w:i/>
          <w:color w:val="6B6660"/>
        </w:rPr>
        <w:t>[ Write your response here ]</w:t>
      </w:r>
    </w:p>
    <w:p>
      <w:pPr>
        <w:pStyle w:val="Heading1"/>
      </w:pPr>
      <w:r>
        <w:t>12. Feedback</w:t>
      </w:r>
    </w:p>
    <w:p>
      <w:pPr>
        <w:spacing w:after="120"/>
      </w:pPr>
      <w:r>
        <w:rPr>
          <w:i/>
          <w:color w:val="6B6660"/>
          <w:sz w:val="19"/>
        </w:rPr>
        <w:t>Record the feedback received on this business case — one row per item of feedback, your response to it, and what you did as a result.</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Feedback received</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From</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Your response</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Resulting action</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r>
    </w:tbl>
    <w:p/>
    <w:p>
      <w:pPr>
        <w:pStyle w:val="Heading1"/>
      </w:pPr>
      <w:r>
        <w:t>Sign-off</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Role</w:t>
            </w:r>
          </w:p>
        </w:tc>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Name</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Date</w:t>
            </w:r>
          </w:p>
        </w:tc>
        <w:tc>
          <w:tcPr>
            <w:tcW w:type="dxa" w:w="198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Signature</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Prepared by</w:t>
            </w:r>
          </w:p>
        </w:tc>
        <w:tc>
          <w:tcPr>
            <w:tcW w:type="dxa" w:w="2551"/>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1984"/>
            <w:tcBorders>
              <w:top w:val="single" w:sz="4" w:space="0" w:color="E4DED3"/>
              <w:left w:val="single" w:sz="4" w:space="0" w:color="E4DED3"/>
              <w:bottom w:val="single" w:sz="4" w:space="0" w:color="E4DED3"/>
              <w:right w:val="single" w:sz="4" w:space="0" w:color="E4DED3"/>
            </w:tcBorders>
          </w:tcPr>
          <w:p>
            <w:r>
              <w:rPr>
                <w:sz w:val="19"/>
              </w:rPr>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Reviewed by</w:t>
            </w:r>
          </w:p>
        </w:tc>
        <w:tc>
          <w:tcPr>
            <w:tcW w:type="dxa" w:w="2551"/>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1984"/>
            <w:tcBorders>
              <w:top w:val="single" w:sz="4" w:space="0" w:color="E4DED3"/>
              <w:left w:val="single" w:sz="4" w:space="0" w:color="E4DED3"/>
              <w:bottom w:val="single" w:sz="4" w:space="0" w:color="E4DED3"/>
              <w:right w:val="single" w:sz="4" w:space="0" w:color="E4DED3"/>
            </w:tcBorders>
          </w:tcPr>
          <w:p>
            <w:r>
              <w:rPr>
                <w:sz w:val="19"/>
              </w:rPr>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Approved by</w:t>
            </w:r>
          </w:p>
        </w:tc>
        <w:tc>
          <w:tcPr>
            <w:tcW w:type="dxa" w:w="2551"/>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1984"/>
            <w:tcBorders>
              <w:top w:val="single" w:sz="4" w:space="0" w:color="E4DED3"/>
              <w:left w:val="single" w:sz="4" w:space="0" w:color="E4DED3"/>
              <w:bottom w:val="single" w:sz="4" w:space="0" w:color="E4DED3"/>
              <w:right w:val="single" w:sz="4" w:space="0" w:color="E4DED3"/>
            </w:tcBorders>
          </w:tcPr>
          <w:p>
            <w:r>
              <w:rPr>
                <w:sz w:val="19"/>
              </w:rPr>
            </w:r>
          </w:p>
        </w:tc>
      </w:tr>
    </w:tbl>
    <w:p/>
    <w:p>
      <w:pPr>
        <w:sectPr>
          <w:headerReference w:type="default" r:id="rId13"/>
          <w:footerReference w:type="default" r:id="rId14"/>
          <w:pgSz w:w="11906" w:h="16838"/>
          <w:pgMar w:top="1474" w:right="1247" w:bottom="1247" w:left="1247" w:header="567" w:footer="567" w:gutter="0"/>
          <w:cols w:space="720"/>
          <w:docGrid w:linePitch="360"/>
        </w:sectPr>
      </w:pPr>
    </w:p>
    <w:p>
      <w:pPr>
        <w:pStyle w:val="Heading1"/>
      </w:pPr>
      <w:r>
        <w:t>Appendix 1 — Cost-Benefit Analysis: Detailed Line Items</w:t>
      </w:r>
    </w:p>
    <w:p>
      <w:pPr>
        <w:spacing w:after="120"/>
      </w:pPr>
      <w:r>
        <w:rPr>
          <w:i/>
          <w:color w:val="6B6660"/>
          <w:sz w:val="19"/>
        </w:rPr>
        <w:t>The detailed line items underpinning the §7 summary tables — one-off and recurring costs per option, and the year-by-year projection whose totals feed §7. Build out the line-item tables here per option.</w:t>
      </w:r>
    </w:p>
    <w:p>
      <w:r>
        <w:rPr>
          <w:i/>
          <w:color w:val="6B6660"/>
        </w:rPr>
        <w:t>[ Detailed CBA line-item tables ]</w:t>
      </w:r>
    </w:p>
    <w:p>
      <w:pPr>
        <w:pStyle w:val="Heading1"/>
      </w:pPr>
      <w:r>
        <w:t>Appendix 2 — Supporting Research</w:t>
      </w:r>
    </w:p>
    <w:p>
      <w:pPr>
        <w:spacing w:after="120"/>
      </w:pPr>
      <w:r>
        <w:rPr>
          <w:i/>
          <w:color w:val="6B6660"/>
          <w:sz w:val="19"/>
        </w:rPr>
        <w:t>Attach or link the supporting research: pricing-calculator exports for the Appendix 1 figures, industry-environment sources cited in §3 (with access dates), and any other supporting material.</w:t>
      </w:r>
    </w:p>
    <w:p>
      <w:r>
        <w:rPr>
          <w:i/>
          <w:color w:val="6B6660"/>
        </w:rPr>
        <w:t>[ Supporting research ]</w:t>
      </w:r>
    </w:p>
    <w:sectPr w:rsidR="00FC693F" w:rsidRPr="0006063C" w:rsidSect="00034616">
      <w:headerReference w:type="default" r:id="rId15"/>
      <w:footerReference w:type="default" r:id="rId16"/>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