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Ledgerline Cloud Infrastructure Improvement — Approved Design</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Ledgerline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YAT-MTS-2026-006</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YAT Finance ·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Improvement Requirements; Indian Regulatory Requirements; Accounting System Cloud Architecture — Baseline Design; Infrastructure Specifications; Operational Costing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r>
        <w:rPr>
          <w:sz w:val="21"/>
        </w:rP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r>
        <w:rPr>
          <w:sz w:val="21"/>
        </w:rP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pPr>
        <w:pStyle w:val="Heading1"/>
      </w:pPr>
      <w:r>
        <w:t>2. Design Inputs and Requirements</w:t>
      </w:r>
    </w:p>
    <w:p>
      <w:pPr>
        <w:pStyle w:val="Heading3"/>
      </w:pPr>
      <w:r>
        <w:t>2.1 Inputs</w:t>
      </w:r>
    </w:p>
    <w:p>
      <w:r>
        <w:rPr>
          <w:sz w:val="21"/>
        </w:rP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IR-1</w:t>
            </w:r>
          </w:p>
        </w:tc>
        <w:tc>
          <w:tcPr>
            <w:tcW w:type="dxa" w:w="6236"/>
            <w:tcBorders>
              <w:top w:val="single" w:sz="4" w:space="0" w:color="E4DED3"/>
              <w:left w:val="single" w:sz="4" w:space="0" w:color="E4DED3"/>
              <w:bottom w:val="single" w:sz="4" w:space="0" w:color="E4DED3"/>
              <w:right w:val="single" w:sz="4" w:space="0" w:color="E4DED3"/>
            </w:tcBorders>
          </w:tcPr>
          <w:p>
            <w:r>
              <w:rPr>
                <w:sz w:val="18"/>
              </w:rPr>
              <w:t>Stable and reliable in business-hours operation; at least preserve the current service level</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IR-2</w:t>
            </w:r>
          </w:p>
        </w:tc>
        <w:tc>
          <w:tcPr>
            <w:tcW w:type="dxa" w:w="6236"/>
            <w:tcBorders>
              <w:top w:val="single" w:sz="4" w:space="0" w:color="E4DED3"/>
              <w:left w:val="single" w:sz="4" w:space="0" w:color="E4DED3"/>
              <w:bottom w:val="single" w:sz="4" w:space="0" w:color="E4DED3"/>
              <w:right w:val="single" w:sz="4" w:space="0" w:color="E4DED3"/>
            </w:tcBorders>
          </w:tcPr>
          <w:p>
            <w:r>
              <w:rPr>
                <w:sz w:val="18"/>
              </w:rPr>
              <w:t>Fit for purpose and proportionate to an internal business-hours finance system (no gold-plating)</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IR-3</w:t>
            </w:r>
          </w:p>
        </w:tc>
        <w:tc>
          <w:tcPr>
            <w:tcW w:type="dxa" w:w="6236"/>
            <w:tcBorders>
              <w:top w:val="single" w:sz="4" w:space="0" w:color="E4DED3"/>
              <w:left w:val="single" w:sz="4" w:space="0" w:color="E4DED3"/>
              <w:bottom w:val="single" w:sz="4" w:space="0" w:color="E4DED3"/>
              <w:right w:val="single" w:sz="4" w:space="0" w:color="E4DED3"/>
            </w:tcBorders>
          </w:tcPr>
          <w:p>
            <w:r>
              <w:rPr>
                <w:sz w:val="18"/>
              </w:rPr>
              <w:t>Brought into compliance with the applicable Indian regulatory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Indian Regulatory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IR-4</w:t>
            </w:r>
          </w:p>
        </w:tc>
        <w:tc>
          <w:tcPr>
            <w:tcW w:type="dxa" w:w="6236"/>
            <w:tcBorders>
              <w:top w:val="single" w:sz="4" w:space="0" w:color="E4DED3"/>
              <w:left w:val="single" w:sz="4" w:space="0" w:color="E4DED3"/>
              <w:bottom w:val="single" w:sz="4" w:space="0" w:color="E4DED3"/>
              <w:right w:val="single" w:sz="4" w:space="0" w:color="E4DED3"/>
            </w:tcBorders>
          </w:tcPr>
          <w:p>
            <w:r>
              <w:rPr>
                <w:sz w:val="18"/>
              </w:rPr>
              <w:t>Application and financial data preserved — infrastructure only, no app change, no data loss</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IR-5</w:t>
            </w:r>
          </w:p>
        </w:tc>
        <w:tc>
          <w:tcPr>
            <w:tcW w:type="dxa" w:w="6236"/>
            <w:tcBorders>
              <w:top w:val="single" w:sz="4" w:space="0" w:color="E4DED3"/>
              <w:left w:val="single" w:sz="4" w:space="0" w:color="E4DED3"/>
              <w:bottom w:val="single" w:sz="4" w:space="0" w:color="E4DED3"/>
              <w:right w:val="single" w:sz="4" w:space="0" w:color="E4DED3"/>
            </w:tcBorders>
          </w:tcPr>
          <w:p>
            <w:r>
              <w:rPr>
                <w:sz w:val="18"/>
              </w:rPr>
              <w:t>Operable and maintainable by YAT in-house ICT; monitoring/alerting; favour reproducible IaC</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IR-6</w:t>
            </w:r>
          </w:p>
        </w:tc>
        <w:tc>
          <w:tcPr>
            <w:tcW w:type="dxa" w:w="6236"/>
            <w:tcBorders>
              <w:top w:val="single" w:sz="4" w:space="0" w:color="E4DED3"/>
              <w:left w:val="single" w:sz="4" w:space="0" w:color="E4DED3"/>
              <w:bottom w:val="single" w:sz="4" w:space="0" w:color="E4DED3"/>
              <w:right w:val="single" w:sz="4" w:space="0" w:color="E4DED3"/>
            </w:tcBorders>
          </w:tcPr>
          <w:p>
            <w:r>
              <w:rPr>
                <w:sz w:val="18"/>
              </w:rPr>
              <w:t>Each improvement justified on cost-versus-benefit; operating-cost impact made explicit</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IR-7</w:t>
            </w:r>
          </w:p>
        </w:tc>
        <w:tc>
          <w:tcPr>
            <w:tcW w:type="dxa" w:w="6236"/>
            <w:tcBorders>
              <w:top w:val="single" w:sz="4" w:space="0" w:color="E4DED3"/>
              <w:left w:val="single" w:sz="4" w:space="0" w:color="E4DED3"/>
              <w:bottom w:val="single" w:sz="4" w:space="0" w:color="E4DED3"/>
              <w:right w:val="single" w:sz="4" w:space="0" w:color="E4DED3"/>
            </w:tcBorders>
          </w:tcPr>
          <w:p>
            <w:r>
              <w:rPr>
                <w:sz w:val="18"/>
              </w:rPr>
              <w:t>Production change follows Change Management; avoids the monthly close / EOFY Restricted Period</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bl>
    <w:p/>
    <w:p>
      <w:pPr>
        <w:pStyle w:val="Heading1"/>
      </w:pPr>
      <w:r>
        <w:t>3. Review of the Existing Architecture</w:t>
      </w:r>
    </w:p>
    <w:p>
      <w:r>
        <w:rPr>
          <w:sz w:val="21"/>
        </w:rP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pPr>
        <w:pStyle w:val="Heading3"/>
      </w:pPr>
      <w:r>
        <w:t>3.1 Single points of failure</w:t>
      </w:r>
    </w:p>
    <w:p>
      <w:pPr>
        <w:pStyle w:val="ListBullet"/>
      </w:pPr>
      <w:r>
        <w:rPr>
          <w:sz w:val="21"/>
        </w:rPr>
        <w:t>The application tier runs in a single Availability Zone — an AZ or instance failure takes the system down.</w:t>
      </w:r>
    </w:p>
    <w:p>
      <w:pPr>
        <w:pStyle w:val="ListBullet"/>
      </w:pPr>
      <w:r>
        <w:rPr>
          <w:sz w:val="21"/>
        </w:rPr>
        <w:t>The database is a single instance with no standby. Ledgerline cannot run on a Multi-AZ (mirrored) database — it is vendor-certified single-instance only (see the Cloud Migration Technical Finding) — so automatic database failover is not available; an AZ or instance failure means an outage and a restore-from-backup. This residual single point of failure is mitigated, not eliminated, by the reliability improvements below.</w:t>
      </w:r>
    </w:p>
    <w:p>
      <w:pPr>
        <w:pStyle w:val="ListBullet"/>
      </w:pPr>
      <w:r>
        <w:rPr>
          <w:sz w:val="21"/>
        </w:rPr>
        <w:t>Network and data subnets exist in one AZ only, so nothing downstream can be made resilient until the network spans two AZs.</w:t>
      </w:r>
    </w:p>
    <w:p>
      <w:pPr>
        <w:pStyle w:val="Heading3"/>
      </w:pPr>
      <w:r>
        <w:t>3.2 Current state against the four concerns and compliance</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4195"/>
            <w:tcBorders>
              <w:top w:val="single" w:sz="4" w:space="0" w:color="E4DED3"/>
              <w:left w:val="single" w:sz="4" w:space="0" w:color="E4DED3"/>
              <w:bottom w:val="single" w:sz="4" w:space="0" w:color="E4DED3"/>
              <w:right w:val="single" w:sz="4" w:space="0" w:color="E4DED3"/>
            </w:tcBorders>
          </w:tcPr>
          <w:p>
            <w:r>
              <w:rPr>
                <w:sz w:val="18"/>
              </w:rPr>
              <w:t>Internal-only (VPN), encrypted at rest, security groups in place; patching/role posture not hardened</w:t>
            </w:r>
          </w:p>
        </w:tc>
        <w:tc>
          <w:tcPr>
            <w:tcW w:type="dxa" w:w="3402"/>
            <w:tcBorders>
              <w:top w:val="single" w:sz="4" w:space="0" w:color="E4DED3"/>
              <w:left w:val="single" w:sz="4" w:space="0" w:color="E4DED3"/>
              <w:bottom w:val="single" w:sz="4" w:space="0" w:color="E4DED3"/>
              <w:right w:val="single" w:sz="4" w:space="0" w:color="E4DED3"/>
            </w:tcBorders>
          </w:tcPr>
          <w:p>
            <w:r>
              <w:rPr>
                <w:sz w:val="18"/>
              </w:rPr>
              <w:t>Tighten least-privilege, managed patching, secrets and TLS (encryption at rest is already in the baseline)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Single-AZ compute and single-instance database; 99.5% business-hours target</w:t>
            </w:r>
          </w:p>
        </w:tc>
        <w:tc>
          <w:tcPr>
            <w:tcW w:type="dxa" w:w="3402"/>
            <w:tcBorders>
              <w:top w:val="single" w:sz="4" w:space="0" w:color="E4DED3"/>
              <w:left w:val="single" w:sz="4" w:space="0" w:color="E4DED3"/>
              <w:bottom w:val="single" w:sz="4" w:space="0" w:color="E4DED3"/>
              <w:right w:val="single" w:sz="4" w:space="0" w:color="E4DED3"/>
            </w:tcBorders>
          </w:tcPr>
          <w:p>
            <w:r>
              <w:rPr>
                <w:sz w:val="18"/>
              </w:rPr>
              <w:t>Make the application tier Multi-AZ (survive AZ/instance failure automatically); the database cannot be Multi-AZ (Ledgerline constraint), so strengthen backup, point-in-time restore and cross-Region DR instead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ASG target-tracking exists; subnets/endpoints not sized for elastic growth</w:t>
            </w:r>
          </w:p>
        </w:tc>
        <w:tc>
          <w:tcPr>
            <w:tcW w:type="dxa" w:w="3402"/>
            <w:tcBorders>
              <w:top w:val="single" w:sz="4" w:space="0" w:color="E4DED3"/>
              <w:left w:val="single" w:sz="4" w:space="0" w:color="E4DED3"/>
              <w:bottom w:val="single" w:sz="4" w:space="0" w:color="E4DED3"/>
              <w:right w:val="single" w:sz="4" w:space="0" w:color="E4DED3"/>
            </w:tcBorders>
          </w:tcPr>
          <w:p>
            <w:r>
              <w:rPr>
                <w:sz w:val="18"/>
              </w:rPr>
              <w:t>Confirm elastic-on-demand headroom across the tiers (not extra capacity for load not expected)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Cost</w:t>
            </w:r>
          </w:p>
        </w:tc>
        <w:tc>
          <w:tcPr>
            <w:tcW w:type="dxa" w:w="4195"/>
            <w:tcBorders>
              <w:top w:val="single" w:sz="4" w:space="0" w:color="E4DED3"/>
              <w:left w:val="single" w:sz="4" w:space="0" w:color="E4DED3"/>
              <w:bottom w:val="single" w:sz="4" w:space="0" w:color="E4DED3"/>
              <w:right w:val="single" w:sz="4" w:space="0" w:color="E4DED3"/>
            </w:tcBorders>
          </w:tcPr>
          <w:p>
            <w:r>
              <w:rPr>
                <w:sz w:val="18"/>
              </w:rPr>
              <w:t>Instances run 24/7 though the system is idle overnight; storage untiered; SQL licensing not reviewed</w:t>
            </w:r>
          </w:p>
        </w:tc>
        <w:tc>
          <w:tcPr>
            <w:tcW w:type="dxa" w:w="3402"/>
            <w:tcBorders>
              <w:top w:val="single" w:sz="4" w:space="0" w:color="E4DED3"/>
              <w:left w:val="single" w:sz="4" w:space="0" w:color="E4DED3"/>
              <w:bottom w:val="single" w:sz="4" w:space="0" w:color="E4DED3"/>
              <w:right w:val="single" w:sz="4" w:space="0" w:color="E4DED3"/>
            </w:tcBorders>
          </w:tcPr>
          <w:p>
            <w:r>
              <w:rPr>
                <w:sz w:val="18"/>
              </w:rPr>
              <w:t>Business-hours scheduling, storage lifecycle, right-sizing and a licensing review</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4195"/>
            <w:tcBorders>
              <w:top w:val="single" w:sz="4" w:space="0" w:color="E4DED3"/>
              <w:left w:val="single" w:sz="4" w:space="0" w:color="E4DED3"/>
              <w:bottom w:val="single" w:sz="4" w:space="0" w:color="E4DED3"/>
              <w:right w:val="single" w:sz="4" w:space="0" w:color="E4DED3"/>
            </w:tcBorders>
          </w:tcPr>
          <w:p>
            <w:r>
              <w:rPr>
                <w:sz w:val="18"/>
              </w:rPr>
              <w:t>All logs and records sit in Sydney; no India residency</w:t>
            </w:r>
          </w:p>
        </w:tc>
        <w:tc>
          <w:tcPr>
            <w:tcW w:type="dxa" w:w="3402"/>
            <w:tcBorders>
              <w:top w:val="single" w:sz="4" w:space="0" w:color="E4DED3"/>
              <w:left w:val="single" w:sz="4" w:space="0" w:color="E4DED3"/>
              <w:bottom w:val="single" w:sz="4" w:space="0" w:color="E4DED3"/>
              <w:right w:val="single" w:sz="4" w:space="0" w:color="E4DED3"/>
            </w:tcBorders>
          </w:tcPr>
          <w:p>
            <w:r>
              <w:rPr>
                <w:sz w:val="18"/>
              </w:rPr>
              <w:t>CERT-In logs (180-day, in India) and Companies-Act books retrievable in India</w:t>
            </w:r>
          </w:p>
        </w:tc>
      </w:tr>
    </w:tbl>
    <w:p/>
    <w:p>
      <w:pPr>
        <w:pStyle w:val="Heading3"/>
      </w:pPr>
      <w:r>
        <w:t>3.3 Goals and metrics</w:t>
      </w:r>
    </w:p>
    <w:tbl>
      <w:tblPr>
        <w:tblW w:type="auto" w:w="0"/>
        <w:jc w:val="center"/>
        <w:tblLook w:firstColumn="1" w:firstRow="1" w:lastColumn="0" w:lastRow="0" w:noHBand="0" w:noVBand="1" w:val="04A0"/>
      </w:tblPr>
      <w:tblGrid>
        <w:gridCol w:w="3137"/>
        <w:gridCol w:w="3137"/>
        <w:gridCol w:w="3137"/>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351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515"/>
            <w:tcBorders>
              <w:top w:val="single" w:sz="4" w:space="0" w:color="E4DED3"/>
              <w:left w:val="single" w:sz="4" w:space="0" w:color="E4DED3"/>
              <w:bottom w:val="single" w:sz="4" w:space="0" w:color="E4DED3"/>
              <w:right w:val="single" w:sz="4" w:space="0" w:color="E4DED3"/>
            </w:tcBorders>
          </w:tcPr>
          <w:p>
            <w:r>
              <w:rPr>
                <w:sz w:val="18"/>
              </w:rPr>
              <w:t>Least-privilege, secrets-managed, managed-patch posture (baseline already encrypted at rest)</w:t>
            </w:r>
          </w:p>
        </w:tc>
        <w:tc>
          <w:tcPr>
            <w:tcW w:type="dxa" w:w="4195"/>
            <w:tcBorders>
              <w:top w:val="single" w:sz="4" w:space="0" w:color="E4DED3"/>
              <w:left w:val="single" w:sz="4" w:space="0" w:color="E4DED3"/>
              <w:bottom w:val="single" w:sz="4" w:space="0" w:color="E4DED3"/>
              <w:right w:val="single" w:sz="4" w:space="0" w:color="E4DED3"/>
            </w:tcBorders>
          </w:tcPr>
          <w:p>
            <w:r>
              <w:rPr>
                <w:sz w:val="18"/>
              </w:rPr>
              <w:t>0 plaintext secrets; managed-patch compliance reported; least-privilege roles/SGs in place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App tier survives an AZ/instance failure automatically; database recovers within the business-day RTO from backup (Multi-AZ database not available — Ledgerline constraint)</w:t>
            </w:r>
          </w:p>
        </w:tc>
        <w:tc>
          <w:tcPr>
            <w:tcW w:type="dxa" w:w="4195"/>
            <w:tcBorders>
              <w:top w:val="single" w:sz="4" w:space="0" w:color="E4DED3"/>
              <w:left w:val="single" w:sz="4" w:space="0" w:color="E4DED3"/>
              <w:bottom w:val="single" w:sz="4" w:space="0" w:color="E4DED3"/>
              <w:right w:val="single" w:sz="4" w:space="0" w:color="E4DED3"/>
            </w:tcBorders>
          </w:tcPr>
          <w:p>
            <w:r>
              <w:rPr>
                <w:sz w:val="18"/>
              </w:rPr>
              <w:t>App tier: auto-recovery &lt; 15 min on AZ/instance failure. Database: RPO &lt;= 1 hour (frequent log backups); RTO within the agreed business day via point-in-time restore / cross-Region copy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Elastic on demand for the month-end/EOFY peak</w:t>
            </w:r>
          </w:p>
        </w:tc>
        <w:tc>
          <w:tcPr>
            <w:tcW w:type="dxa" w:w="4195"/>
            <w:tcBorders>
              <w:top w:val="single" w:sz="4" w:space="0" w:color="E4DED3"/>
              <w:left w:val="single" w:sz="4" w:space="0" w:color="E4DED3"/>
              <w:bottom w:val="single" w:sz="4" w:space="0" w:color="E4DED3"/>
              <w:right w:val="single" w:sz="4" w:space="0" w:color="E4DED3"/>
            </w:tcBorders>
          </w:tcPr>
          <w:p>
            <w:r>
              <w:rPr>
                <w:sz w:val="18"/>
              </w:rPr>
              <w:t>Demonstrated scale-out under a controlled load test; no manual capacity change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3515"/>
            <w:tcBorders>
              <w:top w:val="single" w:sz="4" w:space="0" w:color="E4DED3"/>
              <w:left w:val="single" w:sz="4" w:space="0" w:color="E4DED3"/>
              <w:bottom w:val="single" w:sz="4" w:space="0" w:color="E4DED3"/>
              <w:right w:val="single" w:sz="4" w:space="0" w:color="E4DED3"/>
            </w:tcBorders>
          </w:tcPr>
          <w:p>
            <w:r>
              <w:rPr>
                <w:sz w:val="18"/>
              </w:rPr>
              <w:t>Cut spend on the idle profile without losing service</w:t>
            </w:r>
          </w:p>
        </w:tc>
        <w:tc>
          <w:tcPr>
            <w:tcW w:type="dxa" w:w="4195"/>
            <w:tcBorders>
              <w:top w:val="single" w:sz="4" w:space="0" w:color="E4DED3"/>
              <w:left w:val="single" w:sz="4" w:space="0" w:color="E4DED3"/>
              <w:bottom w:val="single" w:sz="4" w:space="0" w:color="E4DED3"/>
              <w:right w:val="single" w:sz="4" w:space="0" w:color="E4DED3"/>
            </w:tcBorders>
          </w:tcPr>
          <w:p>
            <w:r>
              <w:rPr>
                <w:sz w:val="18"/>
              </w:rPr>
              <w:t>Compute hours reduced outside business hours; storage cost/GB reduced via tiering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3515"/>
            <w:tcBorders>
              <w:top w:val="single" w:sz="4" w:space="0" w:color="E4DED3"/>
              <w:left w:val="single" w:sz="4" w:space="0" w:color="E4DED3"/>
              <w:bottom w:val="single" w:sz="4" w:space="0" w:color="E4DED3"/>
              <w:right w:val="single" w:sz="4" w:space="0" w:color="E4DED3"/>
            </w:tcBorders>
          </w:tcPr>
          <w:p>
            <w:r>
              <w:rPr>
                <w:sz w:val="18"/>
              </w:rPr>
              <w:t>India log + books residency met</w:t>
            </w:r>
          </w:p>
        </w:tc>
        <w:tc>
          <w:tcPr>
            <w:tcW w:type="dxa" w:w="4195"/>
            <w:tcBorders>
              <w:top w:val="single" w:sz="4" w:space="0" w:color="E4DED3"/>
              <w:left w:val="single" w:sz="4" w:space="0" w:color="E4DED3"/>
              <w:bottom w:val="single" w:sz="4" w:space="0" w:color="E4DED3"/>
              <w:right w:val="single" w:sz="4" w:space="0" w:color="E4DED3"/>
            </w:tcBorders>
          </w:tcPr>
          <w:p>
            <w:r>
              <w:rPr>
                <w:sz w:val="18"/>
              </w:rPr>
              <w:t>CERT-In logs retained 180 days in ap-south-1; books-of-account retrievable in India</w:t>
            </w:r>
          </w:p>
        </w:tc>
      </w:tr>
    </w:tbl>
    <w:p/>
    <w:p>
      <w:pPr>
        <w:pStyle w:val="Heading3"/>
      </w:pPr>
      <w:r>
        <w:t>3.4 Review findings summary</w:t>
      </w:r>
    </w:p>
    <w:p>
      <w:r>
        <w:rPr>
          <w:sz w:val="21"/>
        </w:rPr>
        <w:t>Reviewed against IR-1 to IR-7, the improvement is: make the application tier Multi-AZ on a two-AZ network (the database stays single-instance — Ledgerline does not support Multi-AZ — with strengthened backup, point-in-time restore and cross-Region DR),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pPr>
        <w:pStyle w:val="Heading1"/>
      </w:pPr>
      <w:r>
        <w:t>4. Architecture Design</w:t>
      </w:r>
    </w:p>
    <w:p>
      <w:pPr>
        <w:pStyle w:val="Heading3"/>
      </w:pPr>
      <w:r>
        <w:t>4.1 Assumptions and constraints</w:t>
      </w:r>
    </w:p>
    <w:p>
      <w:pPr>
        <w:pStyle w:val="ListBullet"/>
      </w:pPr>
      <w:r>
        <w:rPr>
          <w:sz w:val="21"/>
        </w:rPr>
        <w:t>The baseline is implemented and running; this design improves it in place, preserving the application and data (IR-4).</w:t>
      </w:r>
    </w:p>
    <w:p>
      <w:pPr>
        <w:pStyle w:val="ListBullet"/>
      </w:pPr>
      <w:r>
        <w:rPr>
          <w:sz w:val="21"/>
        </w:rPr>
        <w:t>The system stays internal (Site-to-Site VPN); there is no public ingress.</w:t>
      </w:r>
    </w:p>
    <w:p>
      <w:pPr>
        <w:pStyle w:val="ListBullet"/>
      </w:pPr>
      <w:r>
        <w:rPr>
          <w:sz w:val="21"/>
        </w:rPr>
        <w:t>Provisioning is parameterised CloudFormation across four component stacks (network / compute / database / storage), each independently authorable and deployable, integrated by cross-stack references.</w:t>
      </w:r>
    </w:p>
    <w:p>
      <w:pPr>
        <w:pStyle w:val="ListBullet"/>
      </w:pPr>
      <w:r>
        <w:rPr>
          <w:sz w:val="21"/>
        </w:rPr>
        <w:t>Production change follows Change Management and avoids the Restricted Period (monthly close, EOFY) (IR-7).</w:t>
      </w:r>
    </w:p>
    <w:p>
      <w:pPr>
        <w:pStyle w:val="Heading3"/>
      </w:pPr>
      <w:r>
        <w:t>4.2 Accounts and regions</w:t>
      </w:r>
    </w:p>
    <w:p>
      <w:r>
        <w:rPr>
          <w:sz w:val="21"/>
        </w:rP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pPr>
        <w:pStyle w:val="Heading3"/>
      </w:pPr>
      <w:r>
        <w:t>4.3 Design approach — four components</w:t>
      </w:r>
    </w:p>
    <w:p>
      <w:r>
        <w:rPr>
          <w:sz w:val="21"/>
        </w:rP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pPr>
        <w:pStyle w:val="Heading3"/>
      </w:pPr>
      <w:r>
        <w:t>4.4 Component 1 — Network (VPC)</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Tiered private subnets (app / data), NACLs between tiers, least-privilege security groups, VPC Flow Logs enabled (feed the India log slice); no public ingress, Site-to-Site VPN retained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Extend the VPC across ap-southeast-2a and 2b — app and data subnets in both AZs, redundant egress — so the tiers above can be made AZ-resilient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Subnet CIDRs sized with headroom; interface/gateway VPC endpoints (S3, SSM, Secrets Manager, CloudWatch) so AWS-service traffic scales without a NAT bottleneck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VPC endpoints cut NAT-gateway and data-transfer charges; NAT sized to the business-hours profile</w:t>
            </w:r>
          </w:p>
        </w:tc>
      </w:tr>
    </w:tbl>
    <w:p/>
    <w:p>
      <w:pPr>
        <w:pStyle w:val="Heading3"/>
      </w:pPr>
      <w:r>
        <w:t>4.5 Component 2 — Compute (EC2 application tier)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Hardened Windows AMI, SSM Patch Manager for managed patching, least-privilege IAM instance role (no long-lived keys), security groups limited to ALB-to-app and app-to-database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Auto Scaling group spanning 2a/2b behind the internal ALB; health-checked instances replaced automatically; an AZ loss leaves healthy capacity in the other</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Target-tracking on CPU (retained, absorbs the month-end peak); right-sized instance family; demonstrable scale-out under a controlled load test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Scheduled stop outside business hours (the system is idle overnight and at weekends — the largest single saving), right-sized instances, gp3 volumes</w:t>
            </w:r>
          </w:p>
        </w:tc>
      </w:tr>
    </w:tbl>
    <w:p/>
    <w:p>
      <w:pPr>
        <w:pStyle w:val="Heading3"/>
      </w:pPr>
      <w:r>
        <w:t>4.6 Component 3 — Database (RDS for SQL Server)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Encryption in transit (TLS); credentials in Secrets Manager with rotation; security group restricting access to the app tier; not publicly accessible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Single instance retained — Ledgerline does not support a Multi-AZ (mirrored) database (see the Cloud Migration Technical Finding), so automatic failover is not an option. Reliability is delivered instead by automated backups with point-in-time recovery, frequent transaction-log backups (RPO &lt;= 1 hour), an automated cross-Region backup copy to a second Australian Region (Melbourne, ap-southeast-4) for disaster recovery — keeping financial data in Australia — and a tested restore runbook that recovers within the business-day RTO</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instance class; storage autoscaling enabled; a read replica noted as headroom for month-end reporting (not provisioned by default — proportionate)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p>
      <w:r>
        <w:rPr>
          <w:sz w:val="21"/>
        </w:rPr>
        <w:t>Reliability decision — cost versus benefit (IR-2, IR-6). The only way to give the database automatic high availability would be to replace Ledgerline with an accounting product that supports a Multi-AZ database — a new software licence, a full data-migration project, staff retraining and change management, and the associated delivery and business risk. Weighed against the actual need — an internal, business-hours finance system with outsourced payroll, an estimated $400/hour business-hours cost of downtime, and an accepted business-day RTO — that programme is disproportionate and is not recommended. The proportionate choice is to keep Ledgerline on a single-instance database and meet reliability through robust automated backups, point-in-time restore and cross-Region DR, accepting a short, bounded restore-time gap on the rare AZ/instance failure. The application tier is made Multi-AZ regardless, because that is low-cost and fully supported.</w:t>
      </w:r>
    </w:p>
    <w:p>
      <w:pPr>
        <w:pStyle w:val="Heading3"/>
      </w:pPr>
      <w:r>
        <w:t>4.7 Component 4 — Storage (S3 + EBS) and the India residency slice</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Block Public Access; bucket policies; S3 access logging (encryption at rest is already enabled in the baseline)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durability with versioning for document attachments; automated EBS snapshots; lifecycle policies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absorbs unbounded document growth (~4 GB/yr) with no capacity planning; EBS gp3 volumes resized live (elastic volumes) as the footprint grows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S3 lifecycle / Intelligent-Tiering moves older scanned documents to IA/Glacier — a large saving over the 7-year retention</w:t>
            </w:r>
          </w:p>
        </w:tc>
      </w:tr>
    </w:tbl>
    <w:p/>
    <w:p>
      <w:r>
        <w:rPr>
          <w:sz w:val="21"/>
        </w:rP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pPr>
        <w:pStyle w:val="Heading3"/>
      </w:pPr>
      <w:r>
        <w:t>4.8 Monitoring and operability</w:t>
      </w:r>
    </w:p>
    <w:p>
      <w:r>
        <w:rPr>
          <w:sz w:val="21"/>
        </w:rPr>
        <w:t>CloudWatch metrics, dashboards and alarms per component provide the measures the goals (§3.3) are tested against and keep the environment operable by YAT in-house ICT (IR-5); CloudTrail records the audit trail (also feeding the India log slice). Alerting covers application-tier AZ failover, scaling events, and database backup / restore and lifecycle health.</w:t>
      </w:r>
    </w:p>
    <w:p>
      <w:pPr>
        <w:pStyle w:val="Heading3"/>
      </w:pPr>
      <w:r>
        <w:t>4.9 Provisioning — infrastructure as code</w:t>
      </w:r>
    </w:p>
    <w:p>
      <w:r>
        <w:rPr>
          <w:sz w:val="21"/>
        </w:rP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pPr>
        <w:pStyle w:val="Heading3"/>
      </w:pPr>
      <w:r>
        <w:t>4.10 Goals and metrics — designed state</w:t>
      </w:r>
    </w:p>
    <w:p>
      <w:r>
        <w:rPr>
          <w:sz w:val="21"/>
        </w:rPr>
        <w:t>Each goal in §3.3 is met by the design above: reliability by a Multi-AZ application tier on a two-AZ network (auto-failover) plus strengthened database backup, point-in-time restore and cross-Region DR (the database cannot be Multi-AZ — Ledgerline constraint);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pPr>
        <w:pStyle w:val="Heading3"/>
      </w:pPr>
      <w:r>
        <w:t>4.11 Single points of failure removed</w:t>
      </w:r>
    </w:p>
    <w:p>
      <w:r>
        <w:rPr>
          <w:sz w:val="21"/>
        </w:rPr>
        <w:t>The single-AZ compute SPOF (§3.1) is removed: the application tier runs across two AZs behind the internal ALB on a network that now spans both AZs. The database remains a single instance — Ledgerline does not support Multi-AZ — so its outage risk is not eliminated but is mitigated to a short, bounded restore-time gap by automated backups, point-in-time restore and a cross-Region DR copy; accepting that residual risk is the proportionate, cost-justified decision (§4.6).</w:t>
      </w:r>
    </w:p>
    <w:p>
      <w:pPr>
        <w:pStyle w:val="Heading1"/>
      </w:pPr>
      <w:r>
        <w:t>5. Implementation Sequencing</w:t>
      </w:r>
    </w:p>
    <w:p>
      <w:r>
        <w:rPr>
          <w:sz w:val="21"/>
        </w:rPr>
        <w:t>Changes are applied in dependency order, under Change Management and outside the Restricted Period (IR-7). The build is provisioned from the component CloudFormation stacks.</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Network stack — extend the VPC to two AZs, add subnets, endpoints, flow logs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Storage stack — encryption, versioning, lifecycle, and the ap-south-1 residency bucket</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Database stack — strengthen backups (frequent log backups, cross-Region copy to Melbourne), DR runbook; encryption in transit; secrets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 no failover reconfiguration (single instance retained)</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Compute stack — ASG across two AZs, hardening, business-hours schedule</w:t>
            </w:r>
          </w:p>
        </w:tc>
        <w:tc>
          <w:tcPr>
            <w:tcW w:type="dxa" w:w="2324"/>
            <w:tcBorders>
              <w:top w:val="single" w:sz="4" w:space="0" w:color="E4DED3"/>
              <w:left w:val="single" w:sz="4" w:space="0" w:color="E4DED3"/>
              <w:bottom w:val="single" w:sz="4" w:space="0" w:color="E4DED3"/>
              <w:right w:val="single" w:sz="4" w:space="0" w:color="E4DED3"/>
            </w:tcBorders>
          </w:tcPr>
          <w:p>
            <w:r>
              <w:rPr>
                <w:sz w:val="18"/>
              </w:rPr>
              <w:t>Rolling; capacity maintained throughout</w:t>
            </w:r>
          </w:p>
        </w:tc>
      </w:tr>
    </w:tbl>
    <w:p/>
    <w:p>
      <w:pPr>
        <w:pStyle w:val="Heading1"/>
      </w:pPr>
      <w:r>
        <w:t>6. Verification Plan</w:t>
      </w:r>
    </w:p>
    <w:p>
      <w:r>
        <w:rPr>
          <w:sz w:val="21"/>
        </w:rPr>
        <w:t>How the design is shown to meet the goals (§3.3); the evidence is produced at deployment.</w:t>
      </w:r>
    </w:p>
    <w:p>
      <w:pPr>
        <w:pStyle w:val="ListBullet"/>
      </w:pPr>
      <w:r>
        <w:rPr>
          <w:sz w:val="21"/>
        </w:rPr>
        <w:t>Reliability — terminate an app instance and confirm the ASG replaces it across AZs with no outage (application-tier auto-recovery); for the database, perform a point-in-time restore and a cross-Region (Melbourne) DR restore and confirm recovery within the business-day RTO with RPO &lt;= 1 hour and no data loss. The database is single-instance — no Multi-AZ failover to test — per the Ledgerline constraint.</w:t>
      </w:r>
    </w:p>
    <w:p>
      <w:pPr>
        <w:pStyle w:val="ListBullet"/>
      </w:pPr>
      <w:r>
        <w:rPr>
          <w:sz w:val="21"/>
        </w:rPr>
        <w:t>Scalability — a controlled load test ramps to the month-end peak; confirm the ASG scales out and back and storage/endpoints absorb growth, with no manual capacity change.</w:t>
      </w:r>
    </w:p>
    <w:p>
      <w:pPr>
        <w:pStyle w:val="ListBullet"/>
      </w:pPr>
      <w:r>
        <w:rPr>
          <w:sz w:val="21"/>
        </w:rPr>
        <w:t>Security — confirm encryption at rest/in transit, least-privilege roles/SGs, patch compliance, and no plaintext secrets.</w:t>
      </w:r>
    </w:p>
    <w:p>
      <w:pPr>
        <w:pStyle w:val="ListBullet"/>
      </w:pPr>
      <w:r>
        <w:rPr>
          <w:sz w:val="21"/>
        </w:rPr>
        <w:t>Cost — confirm the business-hours schedule stops/starts compute and the storage lifecycle transitions older objects; report the operating-cost delta.</w:t>
      </w:r>
    </w:p>
    <w:p>
      <w:pPr>
        <w:pStyle w:val="ListBullet"/>
      </w:pPr>
      <w:r>
        <w:rPr>
          <w:sz w:val="21"/>
        </w:rPr>
        <w:t>Compliance — confirm CERT-In logs are written to and retained in ap-south-1 (&gt;=180 days) and the books-of-account export is retrievable in India.</w:t>
      </w:r>
    </w:p>
    <w:p>
      <w:pPr>
        <w:pStyle w:val="Heading1"/>
      </w:pPr>
      <w:r>
        <w:t>7. Out of Scope</w:t>
      </w:r>
    </w:p>
    <w:p>
      <w:pPr>
        <w:pStyle w:val="ListBullet"/>
      </w:pPr>
      <w:r>
        <w:rPr>
          <w:sz w:val="21"/>
        </w:rPr>
        <w:t>The Ledgerline application and its financial data — preserved unchanged (IR-4).</w:t>
      </w:r>
    </w:p>
    <w:p>
      <w:pPr>
        <w:pStyle w:val="ListBullet"/>
      </w:pPr>
      <w:r>
        <w:rPr>
          <w:sz w:val="21"/>
        </w:rPr>
        <w:t>The legal interpretation of the Indian obligations — owned by YAT Compliance; treated here as fixed inputs.</w:t>
      </w:r>
    </w:p>
    <w:p>
      <w:pPr>
        <w:pStyle w:val="ListBullet"/>
      </w:pPr>
      <w:r>
        <w:rPr>
          <w:sz w:val="21"/>
        </w:rPr>
        <w:t>Payroll — outsourced to an external bureau; not on this system.</w:t>
      </w:r>
    </w:p>
    <w:p>
      <w:pPr>
        <w:pStyle w:val="ListBullet"/>
      </w:pPr>
      <w:r>
        <w:rPr>
          <w:sz w:val="21"/>
        </w:rPr>
        <w:t>Full localisation of the system into India — deliberately avoided; only the regulatory logs and books-of-account export sit in India (the light slice).</w:t>
      </w:r>
    </w:p>
    <w:p>
      <w:pPr>
        <w:pStyle w:val="Heading1"/>
      </w:pPr>
      <w:r>
        <w:t>8. References</w:t>
      </w:r>
    </w:p>
    <w:p>
      <w:pPr>
        <w:pStyle w:val="ListBullet"/>
      </w:pPr>
      <w:r>
        <w:rPr>
          <w:sz w:val="21"/>
        </w:rPr>
        <w:t>Improvement Requirements (Ledgerline Cloud Infrastructure Improvement)</w:t>
      </w:r>
    </w:p>
    <w:p>
      <w:pPr>
        <w:pStyle w:val="ListBullet"/>
      </w:pPr>
      <w:r>
        <w:rPr>
          <w:sz w:val="21"/>
        </w:rPr>
        <w:t>Indian Regulatory Requirements (DPDP Act 2023; CERT-In Directions 2022; Companies Act 2013 / Income-tax retention)</w:t>
      </w:r>
    </w:p>
    <w:p>
      <w:pPr>
        <w:pStyle w:val="ListBullet"/>
      </w:pPr>
      <w:r>
        <w:rPr>
          <w:sz w:val="21"/>
        </w:rPr>
        <w:t>Accounting System Cloud Architecture — Baseline Design</w:t>
      </w:r>
    </w:p>
    <w:p>
      <w:pPr>
        <w:pStyle w:val="ListBullet"/>
      </w:pPr>
      <w:r>
        <w:rPr>
          <w:sz w:val="21"/>
        </w:rPr>
        <w:t>Accounting System Infrastructure Specifications; Operational Costing</w:t>
      </w:r>
    </w:p>
    <w:p>
      <w:pPr>
        <w:pStyle w:val="ListBullet"/>
      </w:pPr>
      <w:r>
        <w:rPr>
          <w:sz w:val="21"/>
        </w:rPr>
        <w:t>AWS Well-Architected Framework — Reliability, Security, Cost Optimization and Performance Efficiency pillars</w:t>
      </w:r>
    </w:p>
    <w:p>
      <w:pPr>
        <w:pStyle w:val="Heading1"/>
      </w:pPr>
      <w:r>
        <w:t>9. Review and Approval</w:t>
      </w:r>
    </w:p>
    <w:p>
      <w:r>
        <w:rPr>
          <w:sz w:val="21"/>
        </w:rPr>
        <w:t>The design was reviewed against IR-1 to IR-7 and the goals (§3.3). It is presented to the required personnel for review, and sign-off to proceed to deployment is obtained at that presentation; the record below captures that approval.</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Improvement Team</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 cleared to proceed to deployment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Improvement Team</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Provisioned as</w:t>
            </w:r>
          </w:p>
        </w:tc>
        <w:tc>
          <w:tcPr>
            <w:tcW w:type="dxa" w:w="5953"/>
            <w:tcBorders>
              <w:top w:val="single" w:sz="4" w:space="0" w:color="E4DED3"/>
              <w:left w:val="single" w:sz="4" w:space="0" w:color="E4DED3"/>
              <w:bottom w:val="single" w:sz="4" w:space="0" w:color="E4DED3"/>
              <w:right w:val="single" w:sz="4" w:space="0" w:color="E4DED3"/>
            </w:tcBorders>
          </w:tcPr>
          <w:p>
            <w:r>
              <w:rPr>
                <w:sz w:val="18"/>
              </w:rPr>
              <w:t>Parameterised CloudFormation — network / compute / database / storage component stacks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the as-deployed Deployment Report</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