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Deployment Report</w:t>
      </w:r>
    </w:p>
    <w:p>
      <w:r>
        <w:rPr>
          <w:i/>
          <w:color w:val="6B6660"/>
          <w:sz w:val="30"/>
        </w:rPr>
        <w:t>[ Deployment / engagement name ]</w:t>
      </w:r>
    </w:p>
    <w:p/>
    <w:tbl>
      <w:tblPr>
        <w:tblW w:type="auto" w:w="0"/>
        <w:jc w:val="left"/>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Engagement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Reference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Report version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v1.0 ]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Consultant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Consultant role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Role, e.g. MTS Consultant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DD/MM/YYYY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Acceptance authority / sponsor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the approved design this report implements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How to use this template</w:t>
      </w:r>
    </w:p>
    <w:tbl>
      <w:tblPr>
        <w:tblW w:type="auto" w:w="0"/>
        <w:tblLook w:firstColumn="1" w:firstRow="1" w:lastColumn="0" w:lastRow="0" w:noHBand="0" w:noVBand="1" w:val="04A0"/>
      </w:tblPr>
      <w:tblGrid>
        <w:gridCol w:w="9412"/>
      </w:tblGrid>
      <w:tr>
        <w:tc>
          <w:tcPr>
            <w:tcW w:type="dxa" w:w="9412"/>
            <w:shd w:val="clear" w:color="auto" w:fill="F8F4ED"/>
            <w:tcBorders>
              <w:top w:val="single" w:sz="8" w:space="0" w:color="C99932"/>
              <w:left w:val="single" w:sz="8" w:space="0" w:color="C99932"/>
              <w:bottom w:val="single" w:sz="8" w:space="0" w:color="C99932"/>
              <w:right w:val="single" w:sz="8" w:space="0" w:color="C99932"/>
            </w:tcBorders>
          </w:tcPr>
          <w:p>
            <w:r>
              <w:rPr>
                <w:b/>
                <w:color w:val="1F5A5C"/>
                <w:sz w:val="20"/>
              </w:rPr>
              <w:t>Complete every section that asks you for a response.</w:t>
            </w:r>
            <w:r>
              <w:rPr>
                <w:color w:val="1F2329"/>
                <w:sz w:val="20"/>
              </w:rPr>
              <w:t xml:space="preserve">  Every section in this template is one the report needs — there is nothing here to skip.</w:t>
            </w:r>
          </w:p>
          <w:p>
            <w:r>
              <w:rPr>
                <w:b/>
                <w:color w:val="1F5A5C"/>
                <w:sz w:val="20"/>
              </w:rPr>
              <w:t>Two sections are supplied.</w:t>
            </w:r>
            <w:r>
              <w:rPr>
                <w:color w:val="1F2329"/>
                <w:sz w:val="20"/>
              </w:rPr>
              <w:t xml:space="preserve">  §2 and §3 are already written for you and are part of your report. Leave them as they are, and delete the violet note above each before you submit.</w:t>
            </w:r>
          </w:p>
          <w:p>
            <w:r>
              <w:rPr>
                <w:b/>
                <w:color w:val="1F5A5C"/>
                <w:sz w:val="20"/>
              </w:rPr>
              <w:t>Cross-reference your evidence.</w:t>
            </w:r>
            <w:r>
              <w:rPr>
                <w:color w:val="1F2329"/>
                <w:sz w:val="20"/>
              </w:rPr>
              <w:t xml:space="preserve">  The build narrative and testing sections reference the screenshots and test evidence captured in the appendices.</w:t>
            </w:r>
          </w:p>
        </w:tc>
      </w:tr>
    </w:tbl>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2. Engagement Context</w:t>
      </w:r>
    </w:p>
    <w:p>
      <w:pPr>
        <w:spacing w:after="120"/>
      </w:pPr>
      <w:r>
        <w:rPr>
          <w:i/>
          <w:color w:val="6A3EA1"/>
          <w:sz w:val="18"/>
        </w:rPr>
        <w:t>Supplied — this section is already written for you. It is part of your report: leave the text below as it is. Delete this note before you submit.</w:t>
      </w:r>
    </w:p>
    <w:p>
      <w:r>
        <w:rPr>
          <w:sz w:val="21"/>
        </w:rPr>
        <w:t>This deployment is the foundation-build phase of the YAT College Learning Management System (LMS) migration to AWS, carried out by MTS under the engagement agreed following the LMS Replacement Business Case. The board approved the action plan set out in that business case, and this phase implements the first stage of it.</w:t>
      </w:r>
    </w:p>
    <w:p>
      <w:r>
        <w:rPr>
          <w:sz w:val="21"/>
        </w:rPr>
        <w:t>MTS Senior Architecture and YAT IT subsequently produced the YAT LMS Cloud Architecture — Baseline Design, approved by Pat Lin (MTS Senior Consultant) and Sam Walker (YAT IT Manager). That design is the specification this deployment implements; where it leaves a decision to the implementer, the decision and its rationale are recorded in §5.</w:t>
      </w:r>
    </w:p>
    <w:p>
      <w:r>
        <w:rPr>
          <w:sz w:val="21"/>
        </w:rPr>
        <w:t>On completion the infrastructure is handed to YAT in-house IT, who are responsible for installing the LMS application, migrating the database, and running the cutover. Hardening the environment for high availability is a separate, later phase.</w:t>
      </w:r>
    </w:p>
    <w:p>
      <w:pPr>
        <w:pStyle w:val="Heading1"/>
      </w:pPr>
      <w:r>
        <w:t>3. Scope of Deployment</w:t>
      </w:r>
    </w:p>
    <w:p>
      <w:pPr>
        <w:spacing w:after="120"/>
      </w:pPr>
      <w:r>
        <w:rPr>
          <w:i/>
          <w:color w:val="6A3EA1"/>
          <w:sz w:val="18"/>
        </w:rPr>
        <w:t>Supplied — this section is already written for you. It is part of your report: leave the text below as it is. Delete this note before you submit.</w:t>
      </w:r>
    </w:p>
    <w:p>
      <w:r>
        <w:rPr>
          <w:sz w:val="21"/>
        </w:rPr>
        <w:t>In scope of this deployment:</w:t>
      </w:r>
    </w:p>
    <w:p>
      <w:pPr>
        <w:pStyle w:val="ListBullet"/>
      </w:pPr>
      <w:r>
        <w:rPr>
          <w:sz w:val="21"/>
        </w:rPr>
        <w:t>Identity and access management — groups, users, MFA enforcement and instance roles</w:t>
      </w:r>
    </w:p>
    <w:p>
      <w:pPr>
        <w:pStyle w:val="ListBullet"/>
      </w:pPr>
      <w:r>
        <w:rPr>
          <w:sz w:val="21"/>
        </w:rPr>
        <w:t>Network topology — the VPC, its subnets, gateways and route tables</w:t>
      </w:r>
    </w:p>
    <w:p>
      <w:pPr>
        <w:pStyle w:val="ListBullet"/>
      </w:pPr>
      <w:r>
        <w:rPr>
          <w:sz w:val="21"/>
        </w:rPr>
        <w:t>Compute — the launch template, EC2 instances and the Auto Scaling group</w:t>
      </w:r>
    </w:p>
    <w:p>
      <w:pPr>
        <w:pStyle w:val="ListBullet"/>
      </w:pPr>
      <w:r>
        <w:rPr>
          <w:sz w:val="21"/>
        </w:rPr>
        <w:t>Load balancing — the application load balancer, its target group and listener</w:t>
      </w:r>
    </w:p>
    <w:p>
      <w:pPr>
        <w:pStyle w:val="ListBullet"/>
      </w:pPr>
      <w:r>
        <w:rPr>
          <w:sz w:val="21"/>
        </w:rPr>
        <w:t>Database — the managed relational database instance</w:t>
      </w:r>
    </w:p>
    <w:p>
      <w:pPr>
        <w:pStyle w:val="ListBullet"/>
      </w:pPr>
      <w:r>
        <w:rPr>
          <w:sz w:val="21"/>
        </w:rPr>
        <w:t>Storage — the EBS volumes and S3 buckets, with encryption and public-access settings</w:t>
      </w:r>
    </w:p>
    <w:p>
      <w:pPr>
        <w:pStyle w:val="ListBullet"/>
      </w:pPr>
      <w:r>
        <w:rPr>
          <w:sz w:val="21"/>
        </w:rPr>
        <w:t>Security — the tiered security-group model and encryption in transit and at rest</w:t>
      </w:r>
    </w:p>
    <w:p>
      <w:pPr>
        <w:pStyle w:val="ListBullet"/>
      </w:pPr>
      <w:r>
        <w:rPr>
          <w:sz w:val="21"/>
        </w:rPr>
        <w:t>Monitoring — the baseline alarm set</w:t>
      </w:r>
    </w:p>
    <w:p>
      <w:r>
        <w:rPr>
          <w:sz w:val="21"/>
        </w:rPr>
        <w:t>Deferred to the follow-on high-availability phase:</w:t>
      </w:r>
    </w:p>
    <w:p>
      <w:pPr>
        <w:pStyle w:val="ListBullet"/>
      </w:pPr>
      <w:r>
        <w:rPr>
          <w:sz w:val="21"/>
        </w:rPr>
        <w:t>Multi-availability-zone database deployment</w:t>
      </w:r>
    </w:p>
    <w:p>
      <w:pPr>
        <w:pStyle w:val="ListBullet"/>
      </w:pPr>
      <w:r>
        <w:rPr>
          <w:sz w:val="21"/>
        </w:rPr>
        <w:t>Resilience across availability zones</w:t>
      </w:r>
    </w:p>
    <w:p>
      <w:pPr>
        <w:pStyle w:val="ListBullet"/>
      </w:pPr>
      <w:r>
        <w:rPr>
          <w:sz w:val="21"/>
        </w:rPr>
        <w:t>Failure and resize simulation, and the availability measurement that goes with it</w:t>
      </w:r>
    </w:p>
    <w:p>
      <w:pPr>
        <w:pStyle w:val="ListBullet"/>
      </w:pPr>
      <w:r>
        <w:rPr>
          <w:sz w:val="21"/>
        </w:rPr>
        <w:t>Cross-Region backup and replication</w:t>
      </w:r>
    </w:p>
    <w:p>
      <w:pPr>
        <w:pStyle w:val="ListBullet"/>
      </w:pPr>
      <w:r>
        <w:rPr>
          <w:sz w:val="21"/>
        </w:rPr>
        <w:t>Disaster-recovery runbooks</w:t>
      </w:r>
    </w:p>
    <w:p>
      <w:pPr>
        <w:pStyle w:val="ListBullet"/>
      </w:pPr>
      <w:r>
        <w:rPr>
          <w:sz w:val="21"/>
        </w:rPr>
        <w:t>The high-availability-tuned monitoring set</w:t>
      </w:r>
    </w:p>
    <w:p>
      <w:r>
        <w:rPr>
          <w:sz w:val="21"/>
        </w:rPr>
        <w:t>Outside the MTS engagement entirely — YAT in-house IT's responsibility:</w:t>
      </w:r>
    </w:p>
    <w:p>
      <w:pPr>
        <w:pStyle w:val="ListBullet"/>
      </w:pPr>
      <w:r>
        <w:rPr>
          <w:sz w:val="21"/>
        </w:rPr>
        <w:t>LMS application installation on the infrastructure built here</w:t>
      </w:r>
    </w:p>
    <w:p>
      <w:pPr>
        <w:pStyle w:val="ListBullet"/>
      </w:pPr>
      <w:r>
        <w:rPr>
          <w:sz w:val="21"/>
        </w:rPr>
        <w:t>Migration of the existing database content</w:t>
      </w:r>
    </w:p>
    <w:p>
      <w:pPr>
        <w:pStyle w:val="ListBullet"/>
      </w:pPr>
      <w:r>
        <w:rPr>
          <w:sz w:val="21"/>
        </w:rPr>
        <w:t>Cutover from the legacy environment, and the change management around it</w:t>
      </w:r>
    </w:p>
    <w:p>
      <w:pPr>
        <w:pStyle w:val="ListBullet"/>
      </w:pPr>
      <w:r>
        <w:rPr>
          <w:sz w:val="21"/>
        </w:rPr>
        <w:t>Ongoing application support after handover</w:t>
      </w:r>
    </w:p>
    <w:p>
      <w:pPr>
        <w:pStyle w:val="Heading1"/>
      </w:pPr>
      <w:r>
        <w:t>4. Build Narrative</w:t>
      </w:r>
    </w:p>
    <w:p>
      <w:pPr>
        <w:spacing w:after="120"/>
      </w:pPr>
      <w:r>
        <w:rPr>
          <w:i/>
          <w:color w:val="6B6660"/>
          <w:sz w:val="19"/>
        </w:rPr>
        <w:t>A layer-by-layer account of what was built. For each layer, write a short narrative of what you stood up, and cross-reference the Appendix A screenshots.</w:t>
      </w:r>
    </w:p>
    <w:p>
      <w:pPr>
        <w:pStyle w:val="Heading3"/>
      </w:pPr>
      <w:r>
        <w:t>4.1 Identity and access management (IAM)</w:t>
      </w:r>
    </w:p>
    <w:p>
      <w:pPr>
        <w:spacing w:after="120"/>
      </w:pPr>
      <w:r>
        <w:rPr>
          <w:i/>
          <w:color w:val="6B6660"/>
          <w:sz w:val="19"/>
        </w:rPr>
        <w:t>Cover: account access, groups/users/roles, MFA, instance profiles. Cross-reference the relevant Appendix A screenshots.</w:t>
      </w:r>
    </w:p>
    <w:p>
      <w:r>
        <w:rPr>
          <w:i/>
          <w:color w:val="6B6660"/>
        </w:rPr>
        <w:t>[ Write your response here ]</w:t>
      </w:r>
    </w:p>
    <w:p>
      <w:pPr>
        <w:pStyle w:val="Heading3"/>
      </w:pPr>
      <w:r>
        <w:t>4.2 Network topology</w:t>
      </w:r>
    </w:p>
    <w:p>
      <w:pPr>
        <w:spacing w:after="120"/>
      </w:pPr>
      <w:r>
        <w:rPr>
          <w:i/>
          <w:color w:val="6B6660"/>
          <w:sz w:val="19"/>
        </w:rPr>
        <w:t>Cover: VPC, subnets, gateways, route tables. Cross-reference the relevant Appendix A screenshots.</w:t>
      </w:r>
    </w:p>
    <w:p>
      <w:r>
        <w:rPr>
          <w:i/>
          <w:color w:val="6B6660"/>
        </w:rPr>
        <w:t>[ Write your response here ]</w:t>
      </w:r>
    </w:p>
    <w:p>
      <w:pPr>
        <w:pStyle w:val="Heading3"/>
      </w:pPr>
      <w:r>
        <w:t>4.3 Compute (EC2 + Auto Scaling)</w:t>
      </w:r>
    </w:p>
    <w:p>
      <w:pPr>
        <w:spacing w:after="120"/>
      </w:pPr>
      <w:r>
        <w:rPr>
          <w:i/>
          <w:color w:val="6B6660"/>
          <w:sz w:val="19"/>
        </w:rPr>
        <w:t>Cover: launch template, instance type + why, ASG min/desired/max + scaling policy. Cross-reference the relevant Appendix A screenshots.</w:t>
      </w:r>
    </w:p>
    <w:p>
      <w:r>
        <w:rPr>
          <w:i/>
          <w:color w:val="6B6660"/>
        </w:rPr>
        <w:t>[ Write your response here ]</w:t>
      </w:r>
    </w:p>
    <w:p>
      <w:pPr>
        <w:pStyle w:val="Heading3"/>
      </w:pPr>
      <w:r>
        <w:t>4.4 Load balancing (ALB)</w:t>
      </w:r>
    </w:p>
    <w:p>
      <w:pPr>
        <w:spacing w:after="120"/>
      </w:pPr>
      <w:r>
        <w:rPr>
          <w:i/>
          <w:color w:val="6B6660"/>
          <w:sz w:val="19"/>
        </w:rPr>
        <w:t>Cover: the load balancer, target group, listener, health check. Cross-reference the relevant Appendix A screenshots.</w:t>
      </w:r>
    </w:p>
    <w:p>
      <w:r>
        <w:rPr>
          <w:i/>
          <w:color w:val="6B6660"/>
        </w:rPr>
        <w:t>[ Write your response here ]</w:t>
      </w:r>
    </w:p>
    <w:p>
      <w:pPr>
        <w:pStyle w:val="Heading3"/>
      </w:pPr>
      <w:r>
        <w:t>4.5 Database (RDS)</w:t>
      </w:r>
    </w:p>
    <w:p>
      <w:pPr>
        <w:spacing w:after="120"/>
      </w:pPr>
      <w:r>
        <w:rPr>
          <w:i/>
          <w:color w:val="6B6660"/>
          <w:sz w:val="19"/>
        </w:rPr>
        <w:t>Cover: instance class + why, engine version, storage, encryption, backups. Cross-reference the relevant Appendix A screenshots.</w:t>
      </w:r>
    </w:p>
    <w:p>
      <w:r>
        <w:rPr>
          <w:i/>
          <w:color w:val="6B6660"/>
        </w:rPr>
        <w:t>[ Write your response here ]</w:t>
      </w:r>
    </w:p>
    <w:p>
      <w:pPr>
        <w:pStyle w:val="Heading3"/>
      </w:pPr>
      <w:r>
        <w:t>4.6 Storage (EBS + S3)</w:t>
      </w:r>
    </w:p>
    <w:p>
      <w:pPr>
        <w:spacing w:after="120"/>
      </w:pPr>
      <w:r>
        <w:rPr>
          <w:i/>
          <w:color w:val="6B6660"/>
          <w:sz w:val="19"/>
        </w:rPr>
        <w:t>Cover: EBS volumes, S3 buckets, encryption, public-access settings. Cross-reference the relevant Appendix A screenshots.</w:t>
      </w:r>
    </w:p>
    <w:p>
      <w:r>
        <w:rPr>
          <w:i/>
          <w:color w:val="6B6660"/>
        </w:rPr>
        <w:t>[ Write your response here ]</w:t>
      </w:r>
    </w:p>
    <w:p>
      <w:pPr>
        <w:pStyle w:val="Heading3"/>
      </w:pPr>
      <w:r>
        <w:t>4.7 Security (security groups + encryption)</w:t>
      </w:r>
    </w:p>
    <w:p>
      <w:pPr>
        <w:spacing w:after="120"/>
      </w:pPr>
      <w:r>
        <w:rPr>
          <w:i/>
          <w:color w:val="6B6660"/>
          <w:sz w:val="19"/>
        </w:rPr>
        <w:t>Cover: the tiered security-group model, encryption in transit + at rest. Cross-reference the relevant Appendix A screenshots.</w:t>
      </w:r>
    </w:p>
    <w:p>
      <w:r>
        <w:rPr>
          <w:i/>
          <w:color w:val="6B6660"/>
        </w:rPr>
        <w:t>[ Write your response here ]</w:t>
      </w:r>
    </w:p>
    <w:p>
      <w:pPr>
        <w:pStyle w:val="Heading3"/>
      </w:pPr>
      <w:r>
        <w:t>4.8 Monitoring</w:t>
      </w:r>
    </w:p>
    <w:p>
      <w:pPr>
        <w:spacing w:after="120"/>
      </w:pPr>
      <w:r>
        <w:rPr>
          <w:i/>
          <w:color w:val="6B6660"/>
          <w:sz w:val="19"/>
        </w:rPr>
        <w:t>Cover: the baseline CloudWatch alarms and thresholds. Cross-reference the relevant Appendix A screenshots.</w:t>
      </w:r>
    </w:p>
    <w:p>
      <w:r>
        <w:rPr>
          <w:i/>
          <w:color w:val="6B6660"/>
        </w:rPr>
        <w:t>[ Write your response here ]</w:t>
      </w:r>
    </w:p>
    <w:p>
      <w:pPr>
        <w:pStyle w:val="Heading1"/>
      </w:pPr>
      <w:r>
        <w:t>5. Configuration Decisions</w:t>
      </w:r>
    </w:p>
    <w:p>
      <w:pPr>
        <w:spacing w:after="120"/>
      </w:pPr>
      <w:r>
        <w:rPr>
          <w:i/>
          <w:color w:val="6B6660"/>
          <w:sz w:val="19"/>
        </w:rPr>
        <w:t>The approved design leaves eight decisions to the implementer (design §14). For each, state your choice and justify it against the YAT LMS workload described in the LMS Application Specification.</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56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Decision point</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Your decision</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Rationale</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C1</w:t>
            </w:r>
          </w:p>
        </w:tc>
        <w:tc>
          <w:tcPr>
            <w:tcW w:type="dxa" w:w="3402"/>
            <w:tcBorders>
              <w:top w:val="single" w:sz="4" w:space="0" w:color="E4DED3"/>
              <w:left w:val="single" w:sz="4" w:space="0" w:color="E4DED3"/>
              <w:bottom w:val="single" w:sz="4" w:space="0" w:color="E4DED3"/>
              <w:right w:val="single" w:sz="4" w:space="0" w:color="E4DED3"/>
            </w:tcBorders>
          </w:tcPr>
          <w:p>
            <w:r>
              <w:rPr>
                <w:sz w:val="19"/>
              </w:rPr>
              <w:t>EC2 instance type</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concurrent-user load + cost envelope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C2</w:t>
            </w:r>
          </w:p>
        </w:tc>
        <w:tc>
          <w:tcPr>
            <w:tcW w:type="dxa" w:w="3402"/>
            <w:tcBorders>
              <w:top w:val="single" w:sz="4" w:space="0" w:color="E4DED3"/>
              <w:left w:val="single" w:sz="4" w:space="0" w:color="E4DED3"/>
              <w:bottom w:val="single" w:sz="4" w:space="0" w:color="E4DED3"/>
              <w:right w:val="single" w:sz="4" w:space="0" w:color="E4DED3"/>
            </w:tcBorders>
          </w:tcPr>
          <w:p>
            <w:r>
              <w:rPr>
                <w:sz w:val="19"/>
              </w:rPr>
              <w:t>RDS instance class</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database workload characteristics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C3</w:t>
            </w:r>
          </w:p>
        </w:tc>
        <w:tc>
          <w:tcPr>
            <w:tcW w:type="dxa" w:w="3402"/>
            <w:tcBorders>
              <w:top w:val="single" w:sz="4" w:space="0" w:color="E4DED3"/>
              <w:left w:val="single" w:sz="4" w:space="0" w:color="E4DED3"/>
              <w:bottom w:val="single" w:sz="4" w:space="0" w:color="E4DED3"/>
              <w:right w:val="single" w:sz="4" w:space="0" w:color="E4DED3"/>
            </w:tcBorders>
          </w:tcPr>
          <w:p>
            <w:r>
              <w:rPr>
                <w:sz w:val="19"/>
              </w:rPr>
              <w:t>EBS data volume + RDS storage sizing</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show the calc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current footprint + growth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C4</w:t>
            </w:r>
          </w:p>
        </w:tc>
        <w:tc>
          <w:tcPr>
            <w:tcW w:type="dxa" w:w="3402"/>
            <w:tcBorders>
              <w:top w:val="single" w:sz="4" w:space="0" w:color="E4DED3"/>
              <w:left w:val="single" w:sz="4" w:space="0" w:color="E4DED3"/>
              <w:bottom w:val="single" w:sz="4" w:space="0" w:color="E4DED3"/>
              <w:right w:val="single" w:sz="4" w:space="0" w:color="E4DED3"/>
            </w:tcBorders>
          </w:tcPr>
          <w:p>
            <w:r>
              <w:rPr>
                <w:sz w:val="19"/>
              </w:rPr>
              <w:t>ASG scaling threshold</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expected CPU profile at peak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C5</w:t>
            </w:r>
          </w:p>
        </w:tc>
        <w:tc>
          <w:tcPr>
            <w:tcW w:type="dxa" w:w="3402"/>
            <w:tcBorders>
              <w:top w:val="single" w:sz="4" w:space="0" w:color="E4DED3"/>
              <w:left w:val="single" w:sz="4" w:space="0" w:color="E4DED3"/>
              <w:bottom w:val="single" w:sz="4" w:space="0" w:color="E4DED3"/>
              <w:right w:val="single" w:sz="4" w:space="0" w:color="E4DED3"/>
            </w:tcBorders>
          </w:tcPr>
          <w:p>
            <w:r>
              <w:rPr>
                <w:sz w:val="19"/>
              </w:rPr>
              <w:t>Permission boundary for MTS-Consultants</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C6</w:t>
            </w:r>
          </w:p>
        </w:tc>
        <w:tc>
          <w:tcPr>
            <w:tcW w:type="dxa" w:w="3402"/>
            <w:tcBorders>
              <w:top w:val="single" w:sz="4" w:space="0" w:color="E4DED3"/>
              <w:left w:val="single" w:sz="4" w:space="0" w:color="E4DED3"/>
              <w:bottom w:val="single" w:sz="4" w:space="0" w:color="E4DED3"/>
              <w:right w:val="single" w:sz="4" w:space="0" w:color="E4DED3"/>
            </w:tcBorders>
          </w:tcPr>
          <w:p>
            <w:r>
              <w:rPr>
                <w:sz w:val="19"/>
              </w:rPr>
              <w:t>Bastion / RDP design</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security trade-off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C7</w:t>
            </w:r>
          </w:p>
        </w:tc>
        <w:tc>
          <w:tcPr>
            <w:tcW w:type="dxa" w:w="3402"/>
            <w:tcBorders>
              <w:top w:val="single" w:sz="4" w:space="0" w:color="E4DED3"/>
              <w:left w:val="single" w:sz="4" w:space="0" w:color="E4DED3"/>
              <w:bottom w:val="single" w:sz="4" w:space="0" w:color="E4DED3"/>
              <w:right w:val="single" w:sz="4" w:space="0" w:color="E4DED3"/>
            </w:tcBorders>
          </w:tcPr>
          <w:p>
            <w:r>
              <w:rPr>
                <w:sz w:val="19"/>
              </w:rPr>
              <w:t>MySQL engine version</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application compatibility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C8</w:t>
            </w:r>
          </w:p>
        </w:tc>
        <w:tc>
          <w:tcPr>
            <w:tcW w:type="dxa" w:w="3402"/>
            <w:tcBorders>
              <w:top w:val="single" w:sz="4" w:space="0" w:color="E4DED3"/>
              <w:left w:val="single" w:sz="4" w:space="0" w:color="E4DED3"/>
              <w:bottom w:val="single" w:sz="4" w:space="0" w:color="E4DED3"/>
              <w:right w:val="single" w:sz="4" w:space="0" w:color="E4DED3"/>
            </w:tcBorders>
          </w:tcPr>
          <w:p>
            <w:r>
              <w:rPr>
                <w:sz w:val="19"/>
              </w:rPr>
              <w:t>DNS strategy + ACM certificate</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6. Testing and Validation</w:t>
      </w:r>
    </w:p>
    <w:p>
      <w:pPr>
        <w:spacing w:after="120"/>
      </w:pPr>
      <w:r>
        <w:rPr>
          <w:i/>
          <w:color w:val="6B6660"/>
          <w:sz w:val="19"/>
        </w:rPr>
        <w:t>Document the tests run to verify the deployment. For each test, state the test, the result, and reference the supporting evidence in Appendix C.</w:t>
      </w:r>
    </w:p>
    <w:p>
      <w:pPr>
        <w:pStyle w:val="Heading3"/>
      </w:pPr>
      <w:r>
        <w:t>6.1 Connectivity tests</w:t>
      </w:r>
    </w:p>
    <w:tbl>
      <w:tblPr>
        <w:tblW w:type="auto" w:w="0"/>
        <w:jc w:val="center"/>
        <w:tblLayout w:type="autofit"/>
        <w:tblLook w:firstColumn="1" w:firstRow="1" w:lastColumn="0" w:lastRow="0" w:noHBand="0" w:noVBand="1" w:val="04A0"/>
      </w:tblPr>
      <w:tblGrid>
        <w:gridCol w:w="3137"/>
        <w:gridCol w:w="3137"/>
        <w:gridCol w:w="3137"/>
      </w:tblGrid>
      <w:tr>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Test</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Outcome (Pass/Fail)</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Notes</w:t>
            </w:r>
          </w:p>
        </w:tc>
      </w:tr>
      <w:tr>
        <w:tc>
          <w:tcPr>
            <w:tcW w:type="dxa" w:w="3969"/>
            <w:tcBorders>
              <w:top w:val="single" w:sz="4" w:space="0" w:color="E4DED3"/>
              <w:left w:val="single" w:sz="4" w:space="0" w:color="E4DED3"/>
              <w:bottom w:val="single" w:sz="4" w:space="0" w:color="E4DED3"/>
              <w:right w:val="single" w:sz="4" w:space="0" w:color="E4DED3"/>
            </w:tcBorders>
          </w:tcPr>
          <w:p>
            <w:r>
              <w:rPr>
                <w:sz w:val="19"/>
              </w:rPr>
              <w:t>ALB → EC2 health check</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w:t>
            </w:r>
          </w:p>
        </w:tc>
      </w:tr>
      <w:tr>
        <w:tc>
          <w:tcPr>
            <w:tcW w:type="dxa" w:w="3969"/>
            <w:tcBorders>
              <w:top w:val="single" w:sz="4" w:space="0" w:color="E4DED3"/>
              <w:left w:val="single" w:sz="4" w:space="0" w:color="E4DED3"/>
              <w:bottom w:val="single" w:sz="4" w:space="0" w:color="E4DED3"/>
              <w:right w:val="single" w:sz="4" w:space="0" w:color="E4DED3"/>
            </w:tcBorders>
          </w:tcPr>
          <w:p>
            <w:r>
              <w:rPr>
                <w:sz w:val="19"/>
              </w:rPr>
              <w:t>EC2 → RDS connection (private)</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w:t>
            </w:r>
          </w:p>
        </w:tc>
      </w:tr>
      <w:tr>
        <w:tc>
          <w:tcPr>
            <w:tcW w:type="dxa" w:w="3969"/>
            <w:tcBorders>
              <w:top w:val="single" w:sz="4" w:space="0" w:color="E4DED3"/>
              <w:left w:val="single" w:sz="4" w:space="0" w:color="E4DED3"/>
              <w:bottom w:val="single" w:sz="4" w:space="0" w:color="E4DED3"/>
              <w:right w:val="single" w:sz="4" w:space="0" w:color="E4DED3"/>
            </w:tcBorders>
          </w:tcPr>
          <w:p>
            <w:r>
              <w:rPr>
                <w:sz w:val="19"/>
              </w:rPr>
              <w:t>EC2 → internet via NAT</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w:t>
            </w:r>
          </w:p>
        </w:tc>
      </w:tr>
      <w:tr>
        <w:tc>
          <w:tcPr>
            <w:tcW w:type="dxa" w:w="3969"/>
            <w:tcBorders>
              <w:top w:val="single" w:sz="4" w:space="0" w:color="E4DED3"/>
              <w:left w:val="single" w:sz="4" w:space="0" w:color="E4DED3"/>
              <w:bottom w:val="single" w:sz="4" w:space="0" w:color="E4DED3"/>
              <w:right w:val="single" w:sz="4" w:space="0" w:color="E4DED3"/>
            </w:tcBorders>
          </w:tcPr>
          <w:p>
            <w:r>
              <w:rPr>
                <w:sz w:val="19"/>
              </w:rPr>
              <w:t>RDS not publicly reachable (negative test)</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w:t>
            </w:r>
          </w:p>
        </w:tc>
      </w:tr>
    </w:tbl>
    <w:p/>
    <w:p>
      <w:pPr>
        <w:pStyle w:val="Heading3"/>
      </w:pPr>
      <w:r>
        <w:t>6.2 Autoscaling test</w:t>
      </w:r>
    </w:p>
    <w:p>
      <w:pPr>
        <w:spacing w:after="120"/>
      </w:pPr>
      <w:r>
        <w:rPr>
          <w:i/>
          <w:color w:val="6B6660"/>
          <w:sz w:val="19"/>
        </w:rPr>
        <w:t>Trigger a scaling event (e.g. load against the ALB) and confirm the ASG scales out and back in. Cross-reference Appendix C.</w:t>
      </w:r>
    </w:p>
    <w:p>
      <w:r>
        <w:rPr>
          <w:i/>
          <w:color w:val="6B6660"/>
        </w:rPr>
        <w:t>[ Write your response here ]</w:t>
      </w:r>
    </w:p>
    <w:p>
      <w:pPr>
        <w:pStyle w:val="Heading3"/>
      </w:pPr>
      <w:r>
        <w:t>6.3 Database connectivity and basic operations</w:t>
      </w:r>
    </w:p>
    <w:p>
      <w:pPr>
        <w:spacing w:after="120"/>
      </w:pPr>
      <w:r>
        <w:rPr>
          <w:i/>
          <w:color w:val="6B6660"/>
          <w:sz w:val="19"/>
        </w:rPr>
        <w:t>Confirm the database tier is reachable from the app tier over the private network, the engine version meets the application requirement, and encryption-in-transit is in place.</w:t>
      </w:r>
    </w:p>
    <w:p>
      <w:r>
        <w:rPr>
          <w:i/>
          <w:color w:val="6B6660"/>
        </w:rPr>
        <w:t>[ Write your response here ]</w:t>
      </w:r>
    </w:p>
    <w:p>
      <w:pPr>
        <w:pStyle w:val="Heading3"/>
      </w:pPr>
      <w:r>
        <w:t>6.4 Infrastructure end-to-end smoke test</w:t>
      </w:r>
    </w:p>
    <w:p>
      <w:pPr>
        <w:spacing w:after="120"/>
      </w:pPr>
      <w:r>
        <w:rPr>
          <w:i/>
          <w:color w:val="6B6660"/>
          <w:sz w:val="19"/>
        </w:rPr>
        <w:t>Confirm the infrastructure is ready to serve traffic (e.g. a placeholder page via the ALB DNS returns HTTP 200/302 from a backend instance that can reach the database).</w:t>
      </w:r>
    </w:p>
    <w:p>
      <w:r>
        <w:rPr>
          <w:i/>
          <w:color w:val="6B6660"/>
        </w:rPr>
        <w:t>[ Write your response here ]</w:t>
      </w:r>
    </w:p>
    <w:p>
      <w:pPr>
        <w:pStyle w:val="Heading1"/>
      </w:pPr>
      <w:r>
        <w:t>7. Operational Handover</w:t>
      </w:r>
    </w:p>
    <w:p>
      <w:pPr>
        <w:spacing w:after="120"/>
      </w:pPr>
      <w:r>
        <w:rPr>
          <w:i/>
          <w:color w:val="6B6660"/>
          <w:sz w:val="19"/>
        </w:rPr>
        <w:t>Hand-over information for the team taking over the infrastructure.</w:t>
      </w:r>
    </w:p>
    <w:p>
      <w:pPr>
        <w:pStyle w:val="Heading3"/>
      </w:pPr>
      <w:r>
        <w:t>7.1 Access</w:t>
      </w:r>
    </w:p>
    <w:p>
      <w:pPr>
        <w:spacing w:after="120"/>
      </w:pPr>
      <w:r>
        <w:rPr>
          <w:i/>
          <w:color w:val="6B6660"/>
          <w:sz w:val="19"/>
        </w:rPr>
        <w:t>Who has what access post-handover, MFA enforcement, any IAM group changes.</w:t>
      </w:r>
    </w:p>
    <w:p>
      <w:r>
        <w:rPr>
          <w:i/>
          <w:color w:val="6B6660"/>
        </w:rPr>
        <w:t>[ Write your response here ]</w:t>
      </w:r>
    </w:p>
    <w:p>
      <w:pPr>
        <w:pStyle w:val="Heading3"/>
      </w:pPr>
      <w:r>
        <w:t>7.2 Runbook references</w:t>
      </w:r>
    </w:p>
    <w:p>
      <w:pPr>
        <w:spacing w:after="120"/>
      </w:pPr>
      <w:r>
        <w:rPr>
          <w:i/>
          <w:color w:val="6B6660"/>
          <w:sz w:val="19"/>
        </w:rPr>
        <w:t>Pointers to the design document, naming/tagging conventions, backup arrangements, and the alarms list + notification destinations.</w:t>
      </w:r>
    </w:p>
    <w:p>
      <w:r>
        <w:rPr>
          <w:i/>
          <w:color w:val="6B6660"/>
        </w:rPr>
        <w:t>[ Write your response here ]</w:t>
      </w:r>
    </w:p>
    <w:p>
      <w:pPr>
        <w:pStyle w:val="Heading3"/>
      </w:pPr>
      <w:r>
        <w:t>7.3 Known limitations and what's next</w:t>
      </w:r>
    </w:p>
    <w:p>
      <w:pPr>
        <w:spacing w:after="120"/>
      </w:pPr>
      <w:r>
        <w:rPr>
          <w:i/>
          <w:color w:val="6B6660"/>
          <w:sz w:val="19"/>
        </w:rPr>
        <w:t>Be explicit about what is not covered today and what a later phase would add.</w:t>
      </w:r>
    </w:p>
    <w:p>
      <w:r>
        <w:rPr>
          <w:i/>
          <w:color w:val="6B6660"/>
        </w:rPr>
        <w:t>[ Write your response here ]</w:t>
      </w:r>
    </w:p>
    <w:p>
      <w:pPr>
        <w:pStyle w:val="Heading3"/>
      </w:pPr>
      <w:r>
        <w:t>7.4 Documentation filing</w:t>
      </w:r>
    </w:p>
    <w:tbl>
      <w:tblPr>
        <w:tblW w:type="auto" w:w="0"/>
        <w:jc w:val="center"/>
        <w:tblLayout w:type="autofit"/>
        <w:tblLook w:firstColumn="1" w:firstRow="1" w:lastColumn="0" w:lastRow="0" w:noHBand="0" w:noVBand="1" w:val="04A0"/>
      </w:tblPr>
      <w:tblGrid>
        <w:gridCol w:w="3137"/>
        <w:gridCol w:w="3137"/>
        <w:gridCol w:w="3137"/>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Item</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Filed in</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Reference</w:t>
            </w:r>
          </w:p>
        </w:tc>
      </w:tr>
      <w:tr>
        <w:tc>
          <w:tcPr>
            <w:tcW w:type="dxa" w:w="3685"/>
            <w:tcBorders>
              <w:top w:val="single" w:sz="4" w:space="0" w:color="E4DED3"/>
              <w:left w:val="single" w:sz="4" w:space="0" w:color="E4DED3"/>
              <w:bottom w:val="single" w:sz="4" w:space="0" w:color="E4DED3"/>
              <w:right w:val="single" w:sz="4" w:space="0" w:color="E4DED3"/>
            </w:tcBorders>
          </w:tcPr>
          <w:p>
            <w:r>
              <w:rPr>
                <w:sz w:val="19"/>
              </w:rPr>
              <w:t>This Deployment Report</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YAT ICT shared documentation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ref ]</w:t>
            </w:r>
          </w:p>
        </w:tc>
      </w:tr>
      <w:tr>
        <w:tc>
          <w:tcPr>
            <w:tcW w:type="dxa" w:w="3685"/>
            <w:tcBorders>
              <w:top w:val="single" w:sz="4" w:space="0" w:color="E4DED3"/>
              <w:left w:val="single" w:sz="4" w:space="0" w:color="E4DED3"/>
              <w:bottom w:val="single" w:sz="4" w:space="0" w:color="E4DED3"/>
              <w:right w:val="single" w:sz="4" w:space="0" w:color="E4DED3"/>
            </w:tcBorders>
          </w:tcPr>
          <w:p>
            <w:r>
              <w:rPr>
                <w:sz w:val="19"/>
              </w:rPr>
              <w:t>Test evidence (Appendix C)</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ref ]</w:t>
            </w:r>
          </w:p>
        </w:tc>
      </w:tr>
    </w:tbl>
    <w:p/>
    <w:p>
      <w:pPr>
        <w:pStyle w:val="Heading1"/>
      </w:pPr>
      <w:r>
        <w:t>8. Knowledge Evidence Responses</w:t>
      </w:r>
    </w:p>
    <w:p>
      <w:pPr>
        <w:spacing w:after="120"/>
      </w:pPr>
      <w:r>
        <w:rPr>
          <w:i/>
          <w:color w:val="6B6660"/>
          <w:sz w:val="19"/>
        </w:rPr>
        <w:t>Q1. Identify the compute, networking and scaling services you deployed (e.g. EC2, ALB, Auto Scaling Group), and for each explain the feature it provides and how that choice supports the YAT LMS specifically (its load pattern, availability needs).</w:t>
      </w:r>
    </w:p>
    <w:p>
      <w:r>
        <w:rPr>
          <w:i/>
          <w:color w:val="6B6660"/>
        </w:rPr>
        <w:t>[ Write your response here ]</w:t>
      </w:r>
    </w:p>
    <w:p>
      <w:pPr>
        <w:spacing w:after="120"/>
      </w:pPr>
      <w:r>
        <w:rPr>
          <w:i/>
          <w:color w:val="6B6660"/>
          <w:sz w:val="19"/>
        </w:rPr>
        <w:t>Q2. In your build: (a) why did you use a managed service (RDS) rather than self-hosting the database? (b) why did you use EBS and S3 together — what does each store and why? (c) why did you scale horizontally (ASG) rather than vertically, and what trade-off did that involve?</w:t>
      </w:r>
    </w:p>
    <w:p>
      <w:r>
        <w:rPr>
          <w:i/>
          <w:color w:val="6B6660"/>
        </w:rPr>
        <w:t>[ Write your response here ]</w:t>
      </w:r>
    </w:p>
    <w:p>
      <w:pPr>
        <w:spacing w:after="120"/>
      </w:pPr>
      <w:r>
        <w:rPr>
          <w:i/>
          <w:color w:val="6B6660"/>
          <w:sz w:val="19"/>
        </w:rPr>
        <w:t>Q3. Using your own environment, name two responsibilities that remain YAT's and one that shifted to AWS under the shared-responsibility model, and say why each falls where it does.</w:t>
      </w:r>
    </w:p>
    <w:p>
      <w:r>
        <w:rPr>
          <w:i/>
          <w:color w:val="6B6660"/>
        </w:rPr>
        <w:t>[ Write your response here ]</w:t>
      </w:r>
    </w:p>
    <w:p>
      <w:pPr>
        <w:spacing w:after="120"/>
      </w:pPr>
      <w:r>
        <w:rPr>
          <w:i/>
          <w:color w:val="6B6660"/>
          <w:sz w:val="19"/>
        </w:rPr>
        <w:t>Q4. Pick one IAM group you created, describe the permissions you gave it and the job function it serves, and explain why its permissions differ from another group in your build.</w:t>
      </w:r>
    </w:p>
    <w:p>
      <w:r>
        <w:rPr>
          <w:i/>
          <w:color w:val="6B6660"/>
        </w:rPr>
        <w:t>[ Write your response here ]</w:t>
      </w:r>
    </w:p>
    <w:p>
      <w:pPr>
        <w:spacing w:after="120"/>
      </w:pPr>
      <w:r>
        <w:rPr>
          <w:i/>
          <w:color w:val="6B6660"/>
          <w:sz w:val="19"/>
        </w:rPr>
        <w:t>Q5. Pick one security group you configured, state its rules, explain why you restricted traffic that way, and describe the risk to YAT if that restriction were removed.</w:t>
      </w:r>
    </w:p>
    <w:p>
      <w:r>
        <w:rPr>
          <w:i/>
          <w:color w:val="6B6660"/>
        </w:rPr>
        <w:t>[ Write your response here ]</w:t>
      </w:r>
    </w:p>
    <w:p>
      <w:pPr>
        <w:spacing w:after="120"/>
      </w:pPr>
      <w:r>
        <w:rPr>
          <w:i/>
          <w:color w:val="6B6660"/>
          <w:sz w:val="19"/>
        </w:rPr>
        <w:t>Q6. Identify two points in your deployment where DNS resolution happens (e.g. users reaching the LMS via the ALB; EC2 reaching the RDS endpoint), and explain what would fail for YAT if each were misconfigured</w:t>
      </w:r>
    </w:p>
    <w:p>
      <w:r>
        <w:rPr>
          <w:i/>
          <w:color w:val="6B6660"/>
        </w:rPr>
        <w:t>[ Write your response here ]</w:t>
      </w:r>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Build evidence (screenshots)</w:t>
      </w:r>
    </w:p>
    <w:p>
      <w:pPr>
        <w:spacing w:after="120"/>
      </w:pPr>
      <w:r>
        <w:rPr>
          <w:i/>
          <w:color w:val="6B6660"/>
          <w:sz w:val="19"/>
        </w:rPr>
        <w:t>Capture a console screenshot evidencing each component you built, with the region indicator visible. List each below and cross-reference it from §4 / §6. Examples:</w:t>
      </w:r>
    </w:p>
    <w:tbl>
      <w:tblPr>
        <w:tblW w:type="auto" w:w="0"/>
        <w:jc w:val="center"/>
        <w:tblLayout w:type="autofit"/>
        <w:tblLook w:firstColumn="1" w:firstRow="1" w:lastColumn="0" w:lastRow="0" w:noHBand="0" w:noVBand="1" w:val="04A0"/>
      </w:tblPr>
      <w:tblGrid>
        <w:gridCol w:w="3137"/>
        <w:gridCol w:w="3137"/>
        <w:gridCol w:w="3137"/>
      </w:tblGrid>
      <w:tr>
        <w:tc>
          <w:tcPr>
            <w:tcW w:type="dxa" w:w="56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Screenshot</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What must be visible</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A1</w:t>
            </w:r>
          </w:p>
        </w:tc>
        <w:tc>
          <w:tcPr>
            <w:tcW w:type="dxa" w:w="3118"/>
            <w:tcBorders>
              <w:top w:val="single" w:sz="4" w:space="0" w:color="E4DED3"/>
              <w:left w:val="single" w:sz="4" w:space="0" w:color="E4DED3"/>
              <w:bottom w:val="single" w:sz="4" w:space="0" w:color="E4DED3"/>
              <w:right w:val="single" w:sz="4" w:space="0" w:color="E4DED3"/>
            </w:tcBorders>
          </w:tcPr>
          <w:p>
            <w:r>
              <w:rPr>
                <w:sz w:val="19"/>
              </w:rPr>
              <w:t>IAM groups / MFA</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created groups; MFA enabled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A2</w:t>
            </w:r>
          </w:p>
        </w:tc>
        <w:tc>
          <w:tcPr>
            <w:tcW w:type="dxa" w:w="3118"/>
            <w:tcBorders>
              <w:top w:val="single" w:sz="4" w:space="0" w:color="E4DED3"/>
              <w:left w:val="single" w:sz="4" w:space="0" w:color="E4DED3"/>
              <w:bottom w:val="single" w:sz="4" w:space="0" w:color="E4DED3"/>
              <w:right w:val="single" w:sz="4" w:space="0" w:color="E4DED3"/>
            </w:tcBorders>
          </w:tcPr>
          <w:p>
            <w:r>
              <w:rPr>
                <w:sz w:val="19"/>
              </w:rPr>
              <w:t>VPC subnets</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subnets + AZs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A3</w:t>
            </w:r>
          </w:p>
        </w:tc>
        <w:tc>
          <w:tcPr>
            <w:tcW w:type="dxa" w:w="3118"/>
            <w:tcBorders>
              <w:top w:val="single" w:sz="4" w:space="0" w:color="E4DED3"/>
              <w:left w:val="single" w:sz="4" w:space="0" w:color="E4DED3"/>
              <w:bottom w:val="single" w:sz="4" w:space="0" w:color="E4DED3"/>
              <w:right w:val="single" w:sz="4" w:space="0" w:color="E4DED3"/>
            </w:tcBorders>
          </w:tcPr>
          <w:p>
            <w:r>
              <w:rPr>
                <w:sz w:val="19"/>
              </w:rPr>
              <w:t>EC2 instances + ASG</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running instances; ASG min/desired/max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A4</w:t>
            </w:r>
          </w:p>
        </w:tc>
        <w:tc>
          <w:tcPr>
            <w:tcW w:type="dxa" w:w="3118"/>
            <w:tcBorders>
              <w:top w:val="single" w:sz="4" w:space="0" w:color="E4DED3"/>
              <w:left w:val="single" w:sz="4" w:space="0" w:color="E4DED3"/>
              <w:bottom w:val="single" w:sz="4" w:space="0" w:color="E4DED3"/>
              <w:right w:val="single" w:sz="4" w:space="0" w:color="E4DED3"/>
            </w:tcBorders>
          </w:tcPr>
          <w:p>
            <w:r>
              <w:rPr>
                <w:sz w:val="19"/>
              </w:rPr>
              <w:t>ALB target group health</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healthy targets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A5</w:t>
            </w:r>
          </w:p>
        </w:tc>
        <w:tc>
          <w:tcPr>
            <w:tcW w:type="dxa" w:w="3118"/>
            <w:tcBorders>
              <w:top w:val="single" w:sz="4" w:space="0" w:color="E4DED3"/>
              <w:left w:val="single" w:sz="4" w:space="0" w:color="E4DED3"/>
              <w:bottom w:val="single" w:sz="4" w:space="0" w:color="E4DED3"/>
              <w:right w:val="single" w:sz="4" w:space="0" w:color="E4DED3"/>
            </w:tcBorders>
          </w:tcPr>
          <w:p>
            <w:r>
              <w:rPr>
                <w:sz w:val="19"/>
              </w:rPr>
              <w:t>RDS database</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available; encryption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A6</w:t>
            </w:r>
          </w:p>
        </w:tc>
        <w:tc>
          <w:tcPr>
            <w:tcW w:type="dxa" w:w="3118"/>
            <w:tcBorders>
              <w:top w:val="single" w:sz="4" w:space="0" w:color="E4DED3"/>
              <w:left w:val="single" w:sz="4" w:space="0" w:color="E4DED3"/>
              <w:bottom w:val="single" w:sz="4" w:space="0" w:color="E4DED3"/>
              <w:right w:val="single" w:sz="4" w:space="0" w:color="E4DED3"/>
            </w:tcBorders>
          </w:tcPr>
          <w:p>
            <w:r>
              <w:rPr>
                <w:sz w:val="19"/>
              </w:rPr>
              <w:t>CloudWatch alarms / dashboard</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the baseline alarms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add as your deployment requires ]</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Appendix C — Test evidence</w:t>
      </w:r>
    </w:p>
    <w:p>
      <w:pPr>
        <w:spacing w:after="120"/>
      </w:pPr>
      <w:r>
        <w:rPr>
          <w:i/>
          <w:color w:val="6B6660"/>
          <w:sz w:val="19"/>
        </w:rPr>
        <w:t>Attach the evidence supporting the results in §6 — screenshots, terminal/log excerpts and metric graphs.</w:t>
      </w:r>
    </w:p>
    <w:p>
      <w:r>
        <w:rPr>
          <w:i/>
          <w:color w:val="6B6660"/>
        </w:rPr>
        <w:t>[ Test evidence ]</w:t>
      </w:r>
    </w:p>
    <w:p>
      <w:pPr>
        <w:pStyle w:val="Heading1"/>
      </w:pPr>
      <w:r>
        <w:t>Appendix D — Reflections</w:t>
      </w:r>
    </w:p>
    <w:p>
      <w:pPr>
        <w:spacing w:after="120"/>
      </w:pPr>
      <w:r>
        <w:rPr>
          <w:i/>
          <w:color w:val="6B6660"/>
          <w:sz w:val="19"/>
        </w:rPr>
        <w:t>Reflect honestly on your own build — your judgement and experience, not a summary of what you built. Honest "here's what I'd change" earns more credit than "everything went perfectly."</w:t>
      </w:r>
    </w:p>
    <w:p>
      <w:pPr>
        <w:pStyle w:val="Heading3"/>
      </w:pPr>
      <w:r>
        <w:t>R1 — Lessons applicable beyond this build.</w:t>
      </w:r>
    </w:p>
    <w:p>
      <w:pPr>
        <w:spacing w:after="120"/>
      </w:pPr>
      <w:r>
        <w:rPr>
          <w:i/>
          <w:color w:val="6B6660"/>
          <w:sz w:val="19"/>
        </w:rPr>
        <w:t>Describe one lesson from this deployment that you would carry into future cloud work. Say how you arrived at it — what happened during your build that taught it to you — and why it would apply beyond this project.</w:t>
      </w:r>
    </w:p>
    <w:p>
      <w:r>
        <w:rPr>
          <w:i/>
          <w:color w:val="6B6660"/>
        </w:rPr>
        <w:t>[ Write your response here ]</w:t>
      </w:r>
    </w:p>
    <w:p>
      <w:pPr>
        <w:pStyle w:val="Heading3"/>
      </w:pPr>
      <w:r>
        <w:t>R2 — Decisions in hindsight.</w:t>
      </w:r>
    </w:p>
    <w:p>
      <w:pPr>
        <w:spacing w:after="120"/>
      </w:pPr>
      <w:r>
        <w:rPr>
          <w:i/>
          <w:color w:val="6B6660"/>
          <w:sz w:val="19"/>
        </w:rPr>
        <w:t>Looking back over the choices you made, name one decision you'd make the same way again (and why it proved right), and one decision you would revise (what you'd do differently and why).</w:t>
      </w:r>
    </w:p>
    <w:p>
      <w:r>
        <w:rPr>
          <w:i/>
          <w:color w:val="6B6660"/>
        </w:rPr>
        <w:t>[ Write your response here ]</w:t>
      </w:r>
    </w:p>
    <w:p>
      <w:pPr>
        <w:pStyle w:val="Heading1"/>
      </w:pPr>
      <w:r>
        <w:t>Document control</w:t>
      </w:r>
    </w:p>
    <w:tbl>
      <w:tblPr>
        <w:tblW w:type="auto" w:w="0"/>
        <w:jc w:val="center"/>
        <w:tblLayout w:type="autofit"/>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Value</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v1.0 ]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Author</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Name, role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Engagement</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Engagement name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Date submitted</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DD/MM/YYYY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Distribution</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Related documents</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the design implemented; predecessor/successor reports ]</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