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Deployment Report</w:t>
      </w:r>
    </w:p>
    <w:p>
      <w:r>
        <w:rPr>
          <w:i/>
          <w:color w:val="6B6660"/>
          <w:sz w:val="30"/>
        </w:rPr>
        <w:t>[ Deployment / engagement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Report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Consultant role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Role, e.g. MTS Consultant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 submitted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the approved design this report implements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report for any deployment.</w:t>
            </w:r>
            <w:r>
              <w:rPr>
                <w:color w:val="1F2329"/>
                <w:sz w:val="20"/>
              </w:rPr>
              <w:t xml:space="preserve">  This is the standard YAT deployment report — it covers everything from a greenfield foundation build to a full high-availability hardening.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 to your deployment, mark it “Not applicable — [reason]” rather than deleting it, so the report proves nothing was overlooked.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(in terracotta) are the ones a simpler deployment will often mark Not applicable — e.g. the HA failure/resize simulations.</w:t>
            </w:r>
          </w:p>
          <w:p>
            <w:r>
              <w:rPr>
                <w:b/>
                <w:color w:val="1F5A5C"/>
                <w:sz w:val="20"/>
              </w:rPr>
              <w:t>Cross-reference your evidence.</w:t>
            </w:r>
            <w:r>
              <w:rPr>
                <w:color w:val="1F2329"/>
                <w:sz w:val="20"/>
              </w:rPr>
              <w:t xml:space="preserve">  The build narrative and testing sections reference the screenshots and configuration exports captured in the appendices.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r>
        <w:rPr>
          <w:i/>
          <w:color w:val="6B6660"/>
          <w:sz w:val="19"/>
        </w:rPr>
        <w:t>Write this last. A ≤ 1-page summary the reader sees first: what was deployed (or changed); the region/AZ footprint; the 2–3 highlights; any limitations or items deferred to a later phase; and — for a resilience deployment — whether the availability target is now met and the headline simulation outcomes. ~250–400 words.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Engagement Context</w:t>
      </w:r>
    </w:p>
    <w:p>
      <w:r>
        <w:rPr>
          <w:i/>
          <w:color w:val="6B6660"/>
          <w:sz w:val="19"/>
        </w:rPr>
        <w:t>Brief context for the reader (≤ ½ page): the strategic/prior work this deployment builds on (the approved business case and the design being implemented), your role, and the scope hand-off to any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3. Scope of Deployment</w:t>
      </w:r>
    </w:p>
    <w:p>
      <w:r>
        <w:rPr>
          <w:i/>
          <w:color w:val="6B6660"/>
          <w:sz w:val="19"/>
        </w:rPr>
        <w:t>What is included in this deployment and what is deferred (≤ ½ page). Restate from the approved design in your own words: the in-scope components, and what is out of scope / deferred to a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3.1 Maintenance-window context</w:t>
      </w:r>
    </w:p>
    <w:p>
      <w:pPr>
        <w:spacing w:after="120"/>
      </w:pPr>
      <w:r>
        <w:rPr>
          <w:i/>
          <w:color w:val="C5613B"/>
          <w:sz w:val="18"/>
        </w:rPr>
        <w:t>Applicability: complete for a change to a running production system; otherwise mark this section “Not applicable — [reason]”.</w:t>
      </w:r>
    </w:p>
    <w:p>
      <w:r>
        <w:rPr>
          <w:i/>
          <w:color w:val="6B6660"/>
          <w:sz w:val="19"/>
        </w:rPr>
        <w:t>If this work was performed on a live system within a maintenance window, describe the window (duration, timing) and the requirement to finish either with the work complete or cleanly rolled back. For a greenfield build,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Build / Change Narrative</w:t>
      </w:r>
    </w:p>
    <w:p>
      <w:r>
        <w:rPr>
          <w:i/>
          <w:color w:val="6B6660"/>
          <w:sz w:val="19"/>
        </w:rPr>
        <w:t>A layer-by-layer account of what was built or changed. For each layer, write a short narrative — for a fresh build, what you stood up; for a change to an existing build, what changed from the baseline — and cross-reference the Appendix A screenshots and Appendix B configuration exports.</w:t>
      </w:r>
    </w:p>
    <w:p>
      <w:pPr>
        <w:pStyle w:val="Heading3"/>
      </w:pPr>
      <w:r>
        <w:t>4.1 Identity and access management (IAM)</w:t>
      </w:r>
    </w:p>
    <w:p>
      <w:r>
        <w:rPr>
          <w:i/>
          <w:color w:val="6B6660"/>
          <w:sz w:val="19"/>
        </w:rPr>
        <w:t>Cover: account access, groups/users/roles, MFA, instance profiles — or, for a change, any IAM additions (state if none).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Network topology</w:t>
      </w:r>
    </w:p>
    <w:p>
      <w:r>
        <w:rPr>
          <w:i/>
          <w:color w:val="6B6660"/>
          <w:sz w:val="19"/>
        </w:rPr>
        <w:t>Cover: VPC, subnets, gateways, route tables — or the subnets/routes added (e.g. a second AZ).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Compute (EC2 + Auto Scaling)</w:t>
      </w:r>
    </w:p>
    <w:p>
      <w:r>
        <w:rPr>
          <w:i/>
          <w:color w:val="6B6660"/>
          <w:sz w:val="19"/>
        </w:rPr>
        <w:t>Cover: launch template, instance type + why, ASG min/desired/max + scaling policy — or capacity/AZ-spread changes.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Load balancing (ALB)</w:t>
      </w:r>
    </w:p>
    <w:p>
      <w:r>
        <w:rPr>
          <w:i/>
          <w:color w:val="6B6660"/>
          <w:sz w:val="19"/>
        </w:rPr>
        <w:t>Cover: the load balancer, target group, listener, health check — or cross-AZ target changes.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4.5 Database (RDS)</w:t>
      </w:r>
    </w:p>
    <w:p>
      <w:r>
        <w:rPr>
          <w:i/>
          <w:color w:val="6B6660"/>
          <w:sz w:val="19"/>
        </w:rPr>
        <w:t>Cover: instance class + why, engine version, storage, encryption, backups — or enabling Multi-AZ.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Storage (EBS + S3)</w:t>
      </w:r>
    </w:p>
    <w:p>
      <w:r>
        <w:rPr>
          <w:i/>
          <w:color w:val="6B6660"/>
          <w:sz w:val="19"/>
        </w:rPr>
        <w:t>Cover: EBS volumes, S3 buckets, encryption, public-access settings.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Security (security groups + encryption)</w:t>
      </w:r>
    </w:p>
    <w:p>
      <w:r>
        <w:rPr>
          <w:i/>
          <w:color w:val="6B6660"/>
          <w:sz w:val="19"/>
        </w:rPr>
        <w:t>Cover: the tiered security-group model, encryption in transit + at rest — or HA-related adjustments.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Monitoring</w:t>
      </w:r>
    </w:p>
    <w:p>
      <w:r>
        <w:rPr>
          <w:i/>
          <w:color w:val="6B6660"/>
          <w:sz w:val="19"/>
        </w:rPr>
        <w:t>Cover: the CloudWatch alarms and thresholds — baseline, or the HA-tuned set (per-AZ counts, failover detection, replica lag, service-level dashboard).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Cross-Region backup / replication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with cross-Region resilience in scope; otherwise mark this section “Not applicable — [reason]”.</w:t>
      </w:r>
    </w:p>
    <w:p>
      <w:r>
        <w:rPr>
          <w:i/>
          <w:color w:val="6B6660"/>
          <w:sz w:val="19"/>
        </w:rPr>
        <w:t>Cross-Region snapshot copies, AWS Backup, or S3 cross-Region replication, if in scope. Otherwise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5. Configuration Decisions</w:t>
      </w:r>
    </w:p>
    <w:p>
      <w:r>
        <w:rPr>
          <w:i/>
          <w:color w:val="6B6660"/>
          <w:sz w:val="19"/>
        </w:rPr>
        <w:t>The approved design leaves specific decisions to the implementer. For each decision you made, state your choice and justify it against the workload and requirements. Add rows as needed; examples below span foundation-build and HA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 point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decision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instance type (within the chosen family)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workload + cost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instance class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Storage sizing (EBS data volume / RDS storage)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show the calc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data footprint + growth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ASG scaling threshold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expected CPU profile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C5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Multi-AZ apply timing (HA)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maintenance-window rationale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C6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Post-HA ASG capacity (min ≥ 2 across AZs)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AZ-failure resilience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C7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Cross-Region backup destination (HA)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further decisions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Testing, Simulation and Validation</w:t>
      </w:r>
    </w:p>
    <w:p>
      <w:r>
        <w:rPr>
          <w:i/>
          <w:color w:val="6B6660"/>
          <w:sz w:val="19"/>
        </w:rPr>
        <w:t>Document the tests run to verify the deployment. For each test, state the test, the result, and reference the supporting evidence in Appendix C.</w:t>
      </w:r>
    </w:p>
    <w:p>
      <w:pPr>
        <w:pStyle w:val="Heading3"/>
      </w:pPr>
      <w:r>
        <w:t>6.1 Connectivity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Outcome (Pass/Fail)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ALB → EC2 health check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→ RDS connection (private)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→ internet via NAT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not publicly reachable (negative test)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</w:tbl>
    <w:p/>
    <w:p>
      <w:pPr>
        <w:pStyle w:val="Heading3"/>
      </w:pPr>
      <w:r>
        <w:t>6.2 Autoscaling test</w:t>
      </w:r>
    </w:p>
    <w:p>
      <w:r>
        <w:rPr>
          <w:i/>
          <w:color w:val="6B6660"/>
          <w:sz w:val="19"/>
        </w:rPr>
        <w:t>Trigger a scaling event (e.g. load against the ALB) and confirm the ASG scales out and back in. Cross-reference Appendix C.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6.3 Database connectivity and basic operations</w:t>
      </w:r>
    </w:p>
    <w:p>
      <w:r>
        <w:rPr>
          <w:i/>
          <w:color w:val="6B6660"/>
          <w:sz w:val="19"/>
        </w:rPr>
        <w:t>Confirm the database tier is reachable from the app tier over the private network, the engine version meets the application requirement, and encryption-in-transit is in place.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6.4 Infrastructure end-to-end smoke test</w:t>
      </w:r>
    </w:p>
    <w:p>
      <w:r>
        <w:rPr>
          <w:i/>
          <w:color w:val="6B6660"/>
          <w:sz w:val="19"/>
        </w:rPr>
        <w:t>Confirm the infrastructure is ready to serve traffic (e.g. a placeholder page via the ALB DNS returns HTTP 200/302 from a backend instance that can reach the database).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6.5 Failure simulation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r>
        <w:rPr>
          <w:i/>
          <w:color w:val="6B6660"/>
          <w:sz w:val="19"/>
        </w:rPr>
        <w:t>Execute each failure simulation from the design (e.g. EC2 termination, RDS Multi-AZ failover, AZ partition). Record method, observed outcome, and whether the service stayed reachable. Otherwise mark Not applicable.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04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Observed outcome</w:t>
            </w:r>
          </w:p>
        </w:tc>
        <w:tc>
          <w:tcPr>
            <w:tcW w:type="dxa" w:w="147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Reachable throughout?</w:t>
            </w:r>
          </w:p>
        </w:tc>
        <w:tc>
          <w:tcPr>
            <w:tcW w:type="dxa" w:w="85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EC2 termination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C—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RDS failover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 (brief blip) ]</w:t>
            </w:r>
          </w:p>
        </w:tc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C—</w:t>
            </w:r>
          </w:p>
        </w:tc>
      </w:tr>
    </w:tbl>
    <w:p/>
    <w:p>
      <w:pPr>
        <w:pStyle w:val="Heading3"/>
      </w:pPr>
      <w:r>
        <w:t>6.6 Resize simulation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r>
        <w:rPr>
          <w:i/>
          <w:color w:val="6B6660"/>
          <w:sz w:val="19"/>
        </w:rPr>
        <w:t>Execute each resize simulation from the design (e.g. ASG capacity increase, RDS instance class change) and record the availability impact. Otherwise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6.7 Availability measurement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with an availability target to demonstrate; otherwise mark this section “Not applicable — [reason]”.</w:t>
      </w:r>
    </w:p>
    <w:p>
      <w:r>
        <w:rPr>
          <w:i/>
          <w:color w:val="6B6660"/>
          <w:sz w:val="19"/>
        </w:rPr>
        <w:t>Describe how availability was measured (e.g. CloudWatch dashboard, a curl-loop against the ALB during the window) and report the measured availability across the window.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6.8 Simulation findings vs the design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r>
        <w:rPr>
          <w:i/>
          <w:color w:val="6B6660"/>
          <w:sz w:val="19"/>
        </w:rPr>
        <w:t>For each simulation, compare the observed outcome against the expected outcome in the design; document any divergence and why.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6.9 Adjustments made per simulation outcomes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r>
        <w:rPr>
          <w:i/>
          <w:color w:val="6B6660"/>
          <w:sz w:val="19"/>
        </w:rPr>
        <w:t>Any changes made to the architecture, configuration, or monitoring based on what the simulations revealed — or an explicit statement that none were needed, with reasoning.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Operational Handover</w:t>
      </w:r>
    </w:p>
    <w:p>
      <w:r>
        <w:rPr>
          <w:i/>
          <w:color w:val="6B6660"/>
          <w:sz w:val="19"/>
        </w:rPr>
        <w:t>Hand-over information for the team taking over the infrastructure.</w:t>
      </w:r>
    </w:p>
    <w:p>
      <w:pPr>
        <w:pStyle w:val="Heading3"/>
      </w:pPr>
      <w:r>
        <w:t>7.1 Access</w:t>
      </w:r>
    </w:p>
    <w:p>
      <w:r>
        <w:rPr>
          <w:i/>
          <w:color w:val="6B6660"/>
          <w:sz w:val="19"/>
        </w:rPr>
        <w:t>Who has what access post-handover, MFA enforcement, any IAM group changes.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7.2 Runbook references</w:t>
      </w:r>
    </w:p>
    <w:p>
      <w:r>
        <w:rPr>
          <w:i/>
          <w:color w:val="6B6660"/>
          <w:sz w:val="19"/>
        </w:rPr>
        <w:t>Pointers to the design document, naming/tagging conventions, backup arrangements, and the alarms list + notification destinations.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7.3 Known limitations and what's next</w:t>
      </w:r>
    </w:p>
    <w:p>
      <w:r>
        <w:rPr>
          <w:i/>
          <w:color w:val="6B6660"/>
          <w:sz w:val="19"/>
        </w:rPr>
        <w:t>Be explicit about what is not covered today and what a later phase would add.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7.4 Documentation filing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Filed in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This Deployment Report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YAT ICT shared documentation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Configuration exports (Appendix B)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Test / simulation evidence (Appendix C)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</w:tbl>
    <w:p/>
    <w:p>
      <w:pPr>
        <w:pStyle w:val="Heading3"/>
      </w:pPr>
      <w:r>
        <w:t>7.5 Feedback record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where stakeholder feedback is captured;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Feedback received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action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7.6 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41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Approved by (acceptance authority)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Appendix A — Build evidence (screenshots)</w:t>
      </w:r>
    </w:p>
    <w:p>
      <w:r>
        <w:rPr>
          <w:i/>
          <w:color w:val="6B6660"/>
          <w:sz w:val="19"/>
        </w:rPr>
        <w:t>Capture a console screenshot evidencing each component you built or changed, with the region indicator visible. List each below and cross-reference it from §4 / §6. Examples: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Screenshot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What must be visible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IAM groups / MFA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created groups; MFA enabled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VPC subnets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subnets + AZs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instances + ASG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running instances across AZs; ASG min/desired/max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ALB target group health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healthy targets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database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available; Multi-AZ status; encryption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CloudWatch alarms / dashboard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alarms / service-level dashboard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as your deployment requires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Appendix B — Configuration exports</w:t>
      </w:r>
    </w:p>
    <w:p>
      <w:r>
        <w:rPr>
          <w:i/>
          <w:color w:val="6B6660"/>
          <w:sz w:val="19"/>
        </w:rPr>
        <w:t>Export each configuration (AWS CLI or console) and attach as a code block or file. Examples: IAM policies; security-group rules; VPC/subnet/route tables; launch template + ASG; ALB + target groups; RDS instance; S3 bucket policy/encryption; CloudWatch alarms.</w:t>
      </w:r>
    </w:p>
    <w:p>
      <w:r>
        <w:rPr>
          <w:i/>
          <w:color w:val="6B6660"/>
        </w:rPr>
        <w:t>[ Configuration exports ]</w:t>
      </w:r>
    </w:p>
    <w:p>
      <w:pPr>
        <w:pStyle w:val="Heading1"/>
      </w:pPr>
      <w:r>
        <w:t>Appendix C — Test and simulation evidence</w:t>
      </w:r>
    </w:p>
    <w:p>
      <w:r>
        <w:rPr>
          <w:i/>
          <w:color w:val="6B6660"/>
          <w:sz w:val="19"/>
        </w:rPr>
        <w:t>Attach the evidence supporting the results in §6 — screenshots, terminal/log excerpts, metric graphs, and (for HA work) failure/resize simulation captures and the computed availability over the window.</w:t>
      </w:r>
    </w:p>
    <w:p>
      <w:r>
        <w:rPr>
          <w:i/>
          <w:color w:val="6B6660"/>
        </w:rPr>
        <w:t>[ Test and simulation evidence ]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Date submitted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Distribution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Related documents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design implemented; predecessor/successor reports ]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