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ource Sans 3" w:hAnsi="Source Sans 3"/>
          <w:b/>
          <w:color w:val="1F5A5C"/>
          <w:sz w:val="68"/>
        </w:rPr>
        <w:t>YAT</w:t>
      </w:r>
      <w:r>
        <w:rPr>
          <w:b/>
          <w:color w:val="C5613B"/>
          <w:sz w:val="32"/>
        </w:rPr>
        <w:t xml:space="preserve">  COLLEGE</w:t>
      </w:r>
    </w:p>
    <w:p>
      <w:r>
        <w:rPr>
          <w:color w:val="6B6660"/>
          <w:sz w:val="18"/>
        </w:rPr>
        <w:t>YAT College  ·  175 Cremorne St, Cremorne VIC 3121</w:t>
      </w:r>
    </w:p>
    <w:p>
      <w:pPr>
        <w:pBdr>
          <w:bottom w:val="single" w:sz="12" w:space="4" w:color="1F5A5C"/>
        </w:pBdr>
      </w:pPr>
    </w:p>
    <w:p/>
    <w:p/>
    <w:p/>
    <w:p>
      <w:pPr>
        <w:pStyle w:val="Title"/>
      </w:pPr>
      <w:r>
        <w:t>Solution Design</w:t>
      </w:r>
    </w:p>
    <w:p>
      <w:r>
        <w:rPr>
          <w:i/>
          <w:color w:val="6B6660"/>
          <w:sz w:val="30"/>
        </w:rPr>
        <w:t>[ Solution / initiative name ]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Engagement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Engagement name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Engagement reference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Reference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Document version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e.g. v1.0 ]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Consultant name, role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DD/MM/YYYY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Submitted to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Acceptance authority / sponsor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Related documents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requirements + any baseline design this supersedes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Commercial-in-confidence</w:t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/>
          <w:pgMar w:top="1474" w:right="1247" w:bottom="1247" w:left="1247" w:header="567" w:footer="567" w:gutter="0"/>
          <w:cols w:space="720"/>
          <w:docGrid w:linePitch="360"/>
        </w:sectPr>
      </w:pPr>
    </w:p>
    <w:p>
      <w:pPr>
        <w:pStyle w:val="Heading1"/>
      </w:pPr>
      <w:r>
        <w:t>How to use this template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8F4ED"/>
            <w:tcBorders>
              <w:top w:val="single" w:sz="8" w:space="0" w:color="C99932"/>
              <w:left w:val="single" w:sz="8" w:space="0" w:color="C99932"/>
              <w:bottom w:val="single" w:sz="8" w:space="0" w:color="C99932"/>
              <w:right w:val="single" w:sz="8" w:space="0" w:color="C99932"/>
            </w:tcBorders>
          </w:tcPr>
          <w:p>
            <w:r>
              <w:rPr>
                <w:b/>
                <w:color w:val="1F5A5C"/>
                <w:sz w:val="20"/>
              </w:rPr>
              <w:t>One design for any cloud solution.</w:t>
            </w:r>
            <w:r>
              <w:rPr>
                <w:color w:val="1F2329"/>
                <w:sz w:val="20"/>
              </w:rPr>
              <w:t xml:space="preserve">  Use this for a greenfield architecture or for hardening / changing an existing one.</w:t>
            </w:r>
          </w:p>
          <w:p>
            <w:r>
              <w:rPr>
                <w:b/>
                <w:color w:val="1F5A5C"/>
                <w:sz w:val="20"/>
              </w:rPr>
              <w:t>Complete every section.</w:t>
            </w:r>
            <w:r>
              <w:rPr>
                <w:color w:val="1F2329"/>
                <w:sz w:val="20"/>
              </w:rPr>
              <w:t xml:space="preserve">  Where a section does not apply, mark it “Not applicable — [reason]” rather than deleting it.</w:t>
            </w:r>
          </w:p>
          <w:p>
            <w:r>
              <w:rPr>
                <w:b/>
                <w:color w:val="1F5A5C"/>
                <w:sz w:val="20"/>
              </w:rPr>
              <w:t>Sections flagged with an applicability note</w:t>
            </w:r>
            <w:r>
              <w:rPr>
                <w:color w:val="1F2329"/>
                <w:sz w:val="20"/>
              </w:rPr>
              <w:t xml:space="preserve">  (terracotta) are the ones a greenfield design usually marks Not applicable — reviewing an existing baseline, implementation sequencing on a live system, and the simulation plan.</w:t>
            </w:r>
          </w:p>
          <w:p>
            <w:r>
              <w:rPr>
                <w:b/>
                <w:color w:val="1F5A5C"/>
                <w:sz w:val="20"/>
              </w:rPr>
              <w:t>This design is implemented by a Deployment Report.</w:t>
            </w:r>
            <w:r>
              <w:rPr>
                <w:color w:val="1F2329"/>
                <w:sz w:val="20"/>
              </w:rPr>
              <w:t xml:space="preserve">  Business Case (why) → Solution Design (what / how) → Deployment Report (what was built).</w:t>
            </w:r>
          </w:p>
        </w:tc>
      </w:tr>
    </w:tbl>
    <w:p/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</w:r>
      <w:r>
        <w:rPr>
          <w:color w:val="6B6660"/>
        </w:rPr>
        <w:t>Right-click and choose “Update Field” to build the table of contents.</w:t>
      </w:r>
      <w:r>
        <w:fldChar w:fldCharType="end"/>
      </w:r>
    </w:p>
    <w:p>
      <w:pPr>
        <w:sectPr>
          <w:headerReference w:type="default" r:id="rId11"/>
          <w:footerReference w:type="default" r:id="rId12"/>
          <w:pgSz w:w="11906" w:h="16838"/>
          <w:pgMar w:top="1474" w:right="1247" w:bottom="1247" w:left="1247" w:header="567" w:footer="567" w:gutter="0"/>
          <w:cols w:space="720"/>
          <w:docGrid w:linePitch="360"/>
        </w:sectPr>
      </w:pPr>
    </w:p>
    <w:p>
      <w:pPr>
        <w:pStyle w:val="Heading1"/>
      </w:pPr>
      <w:r>
        <w:t>1. Purpose and Scope</w:t>
      </w:r>
    </w:p>
    <w:p>
      <w:r>
        <w:rPr>
          <w:i/>
          <w:color w:val="6B6660"/>
          <w:sz w:val="19"/>
        </w:rPr>
        <w:t>What this design covers and what it doesn't (≤ ½ page): the solution being designed, the objective it serves, and what is in / out of scope.</w:t>
      </w:r>
    </w:p>
    <w:p>
      <w:r>
        <w:rPr>
          <w:i/>
          <w:color w:val="6B6660"/>
        </w:rPr>
        <w:t>[ Write your response here ]</w:t>
      </w:r>
    </w:p>
    <w:p>
      <w:pPr>
        <w:pStyle w:val="Heading1"/>
      </w:pPr>
      <w:r>
        <w:t>2. Design Inputs and Requirements</w:t>
      </w:r>
    </w:p>
    <w:p>
      <w:pPr>
        <w:pStyle w:val="Heading3"/>
      </w:pPr>
      <w:r>
        <w:t>2.1 Inputs</w:t>
      </w:r>
    </w:p>
    <w:p>
      <w:r>
        <w:rPr>
          <w:i/>
          <w:color w:val="6B6660"/>
          <w:sz w:val="19"/>
        </w:rPr>
        <w:t>The source documents this design is built from — the approved business case, the requirements, the workload/application specification, and (if hardening an existing system) the baseline design and the report of what was actually built.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2.2 Requirements the design must meet</w:t>
      </w:r>
    </w:p>
    <w:p>
      <w:r>
        <w:rPr>
          <w:i/>
          <w:color w:val="6B6660"/>
          <w:sz w:val="19"/>
        </w:rPr>
        <w:t>State the targets the design is held to — availability, recovery, performance, security, data residency. Add rows as needed.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5102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Requirement / metric</w:t>
            </w:r>
          </w:p>
        </w:tc>
        <w:tc>
          <w:tcPr>
            <w:tcW w:type="dxa" w:w="3969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Target</w:t>
            </w:r>
          </w:p>
        </w:tc>
      </w:tr>
      <w:tr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Availability</w:t>
            </w:r>
          </w:p>
        </w:tc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e.g. 99.9% ]</w:t>
            </w:r>
          </w:p>
        </w:tc>
      </w:tr>
      <w:tr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RPO (acceptable data loss)</w:t>
            </w:r>
          </w:p>
        </w:tc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e.g. ≤ 1 hour ]</w:t>
            </w:r>
          </w:p>
        </w:tc>
      </w:tr>
      <w:tr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RTO (time to recover)</w:t>
            </w:r>
          </w:p>
        </w:tc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e.g. ≤ 4 hours ]</w:t>
            </w:r>
          </w:p>
        </w:tc>
      </w:tr>
      <w:tr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Support response (severity-1)</w:t>
            </w:r>
          </w:p>
        </w:tc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e.g. ≤ 1 hour ]</w:t>
            </w:r>
          </w:p>
        </w:tc>
      </w:tr>
      <w:tr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Data residency</w:t>
            </w:r>
          </w:p>
        </w:tc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e.g. Australia ]</w:t>
            </w:r>
          </w:p>
        </w:tc>
      </w:tr>
      <w:tr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add others ]</w:t>
            </w:r>
          </w:p>
        </w:tc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1"/>
      </w:pPr>
      <w:r>
        <w:t>3. Review of the Existing Architecture</w:t>
      </w:r>
    </w:p>
    <w:p>
      <w:pPr>
        <w:spacing w:after="120"/>
      </w:pPr>
      <w:r>
        <w:rPr>
          <w:i/>
          <w:color w:val="C5613B"/>
          <w:sz w:val="18"/>
        </w:rPr>
        <w:t>Applicability: complete for designs that harden or change an existing system (a greenfield design has no baseline to review); otherwise mark this section “Not applicable — [reason]”.</w:t>
      </w:r>
    </w:p>
    <w:p>
      <w:pPr>
        <w:pStyle w:val="Heading3"/>
      </w:pPr>
      <w:r>
        <w:t>3.1 Architecture review</w:t>
      </w:r>
    </w:p>
    <w:p>
      <w:r>
        <w:rPr>
          <w:i/>
          <w:color w:val="6B6660"/>
          <w:sz w:val="19"/>
        </w:rPr>
        <w:t>Review the existing architecture against the requirements, layer by layer (compute, load balancing, database, network, monitoring) — where each currently meets or fails the targets.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3.2 Single points of failure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Failure mode</w:t>
            </w:r>
          </w:p>
        </w:tc>
        <w:tc>
          <w:tcPr>
            <w:tcW w:type="dxa" w:w="3402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Consequence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3"/>
      </w:pPr>
      <w:r>
        <w:t>3.3 Recovery objectives — current state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311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198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Current RPO</w:t>
            </w:r>
          </w:p>
        </w:tc>
        <w:tc>
          <w:tcPr>
            <w:tcW w:type="dxa" w:w="198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Current RTO</w:t>
            </w:r>
          </w:p>
        </w:tc>
        <w:tc>
          <w:tcPr>
            <w:tcW w:type="dxa" w:w="198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Meets target?</w:t>
            </w:r>
          </w:p>
        </w:tc>
      </w:tr>
      <w:tr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Yes/No ]</w:t>
            </w:r>
          </w:p>
        </w:tc>
      </w:tr>
      <w:tr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Yes/No ]</w:t>
            </w:r>
          </w:p>
        </w:tc>
      </w:tr>
    </w:tbl>
    <w:p/>
    <w:p>
      <w:pPr>
        <w:pStyle w:val="Heading3"/>
      </w:pPr>
      <w:r>
        <w:t>3.4 Components requiring vertical scaling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Vertical scale required for</w:t>
            </w:r>
          </w:p>
        </w:tc>
        <w:tc>
          <w:tcPr>
            <w:tcW w:type="dxa" w:w="3402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Availability impact during scale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3"/>
      </w:pPr>
      <w:r>
        <w:t>3.5 Review findings summary</w:t>
      </w:r>
    </w:p>
    <w:p>
      <w:r>
        <w:rPr>
          <w:i/>
          <w:color w:val="6B6660"/>
          <w:sz w:val="19"/>
        </w:rPr>
        <w:t>Summarise the gap between the current architecture and the requirements: what's met, what isn't, and which components drive the gap (≤ 250 words).</w:t>
      </w:r>
    </w:p>
    <w:p>
      <w:r>
        <w:rPr>
          <w:i/>
          <w:color w:val="6B6660"/>
        </w:rPr>
        <w:t>[ Write your response here ]</w:t>
      </w:r>
    </w:p>
    <w:p>
      <w:pPr>
        <w:pStyle w:val="Heading1"/>
      </w:pPr>
      <w:r>
        <w:t>4. Architecture Design</w:t>
      </w:r>
    </w:p>
    <w:p>
      <w:r>
        <w:rPr>
          <w:i/>
          <w:color w:val="6B6660"/>
          <w:sz w:val="19"/>
        </w:rPr>
        <w:t>The design proper. For a greenfield design this is the full architecture; for a change, describe the design relative to the baseline.</w:t>
      </w:r>
    </w:p>
    <w:p>
      <w:pPr>
        <w:pStyle w:val="Heading3"/>
      </w:pPr>
      <w:r>
        <w:t>4.1 Assumptions and constraints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4.2 AWS account and region</w:t>
      </w:r>
    </w:p>
    <w:p>
      <w:r>
        <w:rPr>
          <w:i/>
          <w:color w:val="6B6660"/>
          <w:sz w:val="19"/>
        </w:rPr>
        <w:t>Region(s) and account; note any data-residency constraint and any new region (e.g. a cross-Region backup destination).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4.3 Identity and access management (IAM)</w:t>
      </w:r>
    </w:p>
    <w:p>
      <w:r>
        <w:rPr>
          <w:i/>
          <w:color w:val="6B6660"/>
          <w:sz w:val="19"/>
        </w:rPr>
        <w:t>Cover: groups/roles/users, MFA, instance profiles — or, for a change, any additions.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4.4 Network topology</w:t>
      </w:r>
    </w:p>
    <w:p>
      <w:r>
        <w:rPr>
          <w:i/>
          <w:color w:val="6B6660"/>
          <w:sz w:val="19"/>
        </w:rPr>
        <w:t>Cover: VPC, subnets, AZ distribution, gateways, route tables (use the subnet table below).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Subnet</w:t>
            </w:r>
          </w:p>
        </w:tc>
        <w:tc>
          <w:tcPr>
            <w:tcW w:type="dxa" w:w="198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CIDR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AZ</w:t>
            </w:r>
          </w:p>
        </w:tc>
        <w:tc>
          <w:tcPr>
            <w:tcW w:type="dxa" w:w="255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3"/>
      </w:pPr>
      <w:r>
        <w:t>4.5 Compute (EC2 + Auto Scaling)</w:t>
      </w:r>
    </w:p>
    <w:p>
      <w:r>
        <w:rPr>
          <w:i/>
          <w:color w:val="6B6660"/>
          <w:sz w:val="19"/>
        </w:rPr>
        <w:t>Cover: instance type, ASG capacity + AZ spread, scaling policy, health checks.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4.6 Load balancing (ALB)</w:t>
      </w:r>
    </w:p>
    <w:p>
      <w:r>
        <w:rPr>
          <w:i/>
          <w:color w:val="6B6660"/>
          <w:sz w:val="19"/>
        </w:rPr>
        <w:t>Cover: the load balancer, target group, listener, AZ coverage.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4.7 Database (RDS)</w:t>
      </w:r>
    </w:p>
    <w:p>
      <w:r>
        <w:rPr>
          <w:i/>
          <w:color w:val="6B6660"/>
          <w:sz w:val="19"/>
        </w:rPr>
        <w:t>Cover: engine + version, instance class, storage, encryption, backups, Multi-AZ (if designed).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4.8 Storage (EBS + S3)</w:t>
      </w:r>
    </w:p>
    <w:p>
      <w:r>
        <w:rPr>
          <w:i/>
          <w:color w:val="6B6660"/>
          <w:sz w:val="19"/>
        </w:rPr>
        <w:t>Cover: volumes, buckets, encryption, public-access settings, cross-Region copy (if designed).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4.9 Security</w:t>
      </w:r>
    </w:p>
    <w:p>
      <w:r>
        <w:rPr>
          <w:i/>
          <w:color w:val="6B6660"/>
          <w:sz w:val="19"/>
        </w:rPr>
        <w:t>Cover: the tiered security-group model, encryption in transit + at rest, any HA-related adjustments.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4.10 Monitoring</w:t>
      </w:r>
    </w:p>
    <w:p>
      <w:r>
        <w:rPr>
          <w:i/>
          <w:color w:val="6B6660"/>
          <w:sz w:val="19"/>
        </w:rPr>
        <w:t>Cover: the alarms and the service-level/availability tracking (use the alarm table below).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Alarm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198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Threshold</w:t>
            </w:r>
          </w:p>
        </w:tc>
        <w:tc>
          <w:tcPr>
            <w:tcW w:type="dxa" w:w="255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Triggers</w:t>
            </w:r>
          </w:p>
        </w:tc>
      </w:tr>
      <w:tr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3"/>
      </w:pPr>
      <w:r>
        <w:t>4.11 Naming and tagging conventions</w:t>
      </w:r>
    </w:p>
    <w:p>
      <w:r>
        <w:rPr>
          <w:i/>
          <w:color w:val="6B6660"/>
          <w:sz w:val="19"/>
        </w:rPr>
        <w:t>Cover: the tagging scheme (Project, Environment, Owner, CostCentre, DataClassification, AZ).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4.12 Backup</w:t>
      </w:r>
    </w:p>
    <w:p>
      <w:r>
        <w:rPr>
          <w:i/>
          <w:color w:val="6B6660"/>
          <w:sz w:val="19"/>
        </w:rPr>
        <w:t>Cover: the backup baseline and any cross-Region copy / retention design.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4.13 Recovery objectives — designed state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198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Designed RPO</w:t>
            </w:r>
          </w:p>
        </w:tc>
        <w:tc>
          <w:tcPr>
            <w:tcW w:type="dxa" w:w="198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Designed RTO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Overall service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meets target ]</w:t>
            </w:r>
          </w:p>
        </w:tc>
      </w:tr>
    </w:tbl>
    <w:p/>
    <w:p>
      <w:pPr>
        <w:pStyle w:val="Heading3"/>
      </w:pPr>
      <w:r>
        <w:t>4.14 Components requiring vertical scaling — designed state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Vertical scale required for</w:t>
            </w:r>
          </w:p>
        </w:tc>
        <w:tc>
          <w:tcPr>
            <w:tcW w:type="dxa" w:w="3402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Availability impact (designed)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3"/>
      </w:pPr>
      <w:r>
        <w:t>4.15 Single points of failure removed</w:t>
      </w:r>
    </w:p>
    <w:p>
      <w:pPr>
        <w:spacing w:after="120"/>
      </w:pPr>
      <w:r>
        <w:rPr>
          <w:i/>
          <w:color w:val="C5613B"/>
          <w:sz w:val="18"/>
        </w:rPr>
        <w:t>Applicability: complete for designs that hardened an existing system (cross-reference §3.2); otherwise mark this section “Not applicable — [reason]”.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969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SPOF (from §3.2)</w:t>
            </w:r>
          </w:p>
        </w:tc>
        <w:tc>
          <w:tcPr>
            <w:tcW w:type="dxa" w:w="5102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Mitigation in this design</w:t>
            </w:r>
          </w:p>
        </w:tc>
      </w:tr>
      <w:tr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1"/>
      </w:pPr>
      <w:r>
        <w:t>5. Implementation Sequencing</w:t>
      </w:r>
    </w:p>
    <w:p>
      <w:pPr>
        <w:spacing w:after="120"/>
      </w:pPr>
      <w:r>
        <w:rPr>
          <w:i/>
          <w:color w:val="C5613B"/>
          <w:sz w:val="18"/>
        </w:rPr>
        <w:t>Applicability: complete for deployments into a running system, where order and rollback matter; otherwise mark this section “Not applicable — [reason]”.</w:t>
      </w:r>
    </w:p>
    <w:p>
      <w:r>
        <w:rPr>
          <w:i/>
          <w:color w:val="6B6660"/>
          <w:sz w:val="19"/>
        </w:rPr>
        <w:t>The order the changes are applied, with per-change duration, expected impact, a verification step, and a rollback if it fails. State the total window and buffer.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45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Change</w:t>
            </w:r>
          </w:p>
        </w:tc>
        <w:tc>
          <w:tcPr>
            <w:tcW w:type="dxa" w:w="113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70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Expected impact</w:t>
            </w:r>
          </w:p>
        </w:tc>
        <w:tc>
          <w:tcPr>
            <w:tcW w:type="dxa" w:w="170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Verification</w:t>
            </w:r>
          </w:p>
        </w:tc>
        <w:tc>
          <w:tcPr>
            <w:tcW w:type="dxa" w:w="170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Rollback</w:t>
            </w:r>
          </w:p>
        </w:tc>
      </w:tr>
      <w:tr>
        <w:tc>
          <w:tcPr>
            <w:tcW w:type="dxa" w:w="45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13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none ]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45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13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1"/>
      </w:pPr>
      <w:r>
        <w:t>6. Simulation and Verification Plan</w:t>
      </w:r>
    </w:p>
    <w:p>
      <w:pPr>
        <w:spacing w:after="120"/>
      </w:pPr>
      <w:r>
        <w:rPr>
          <w:i/>
          <w:color w:val="C5613B"/>
          <w:sz w:val="18"/>
        </w:rPr>
        <w:t>Applicability: complete for resilience / high-availability designs (the plan the Deployment Report then executes); otherwise mark this section “Not applicable — [reason]”.</w:t>
      </w:r>
    </w:p>
    <w:p>
      <w:pPr>
        <w:pStyle w:val="Heading3"/>
      </w:pPr>
      <w:r>
        <w:t>6.1 Failure simulation plan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45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70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Simulation</w:t>
            </w:r>
          </w:p>
        </w:tc>
        <w:tc>
          <w:tcPr>
            <w:tcW w:type="dxa" w:w="198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55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Expected outcome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Verification</w:t>
            </w:r>
          </w:p>
        </w:tc>
      </w:tr>
      <w:tr>
        <w:tc>
          <w:tcPr>
            <w:tcW w:type="dxa" w:w="45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F1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3"/>
      </w:pPr>
      <w:r>
        <w:t>6.2 Resize simulation plan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45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70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Simulation</w:t>
            </w:r>
          </w:p>
        </w:tc>
        <w:tc>
          <w:tcPr>
            <w:tcW w:type="dxa" w:w="198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55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Expected outcome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Verification</w:t>
            </w:r>
          </w:p>
        </w:tc>
      </w:tr>
      <w:tr>
        <w:tc>
          <w:tcPr>
            <w:tcW w:type="dxa" w:w="45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R1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3"/>
      </w:pPr>
      <w:r>
        <w:t>6.3 Verification criteria</w:t>
      </w:r>
    </w:p>
    <w:p>
      <w:r>
        <w:rPr>
          <w:i/>
          <w:color w:val="6B6660"/>
          <w:sz w:val="19"/>
        </w:rPr>
        <w:t>The success criteria — what evidence will demonstrate the design works as intended.</w:t>
      </w:r>
    </w:p>
    <w:p>
      <w:r>
        <w:rPr>
          <w:i/>
          <w:color w:val="6B6660"/>
        </w:rPr>
        <w:t>[ Write your response here ]</w:t>
      </w:r>
    </w:p>
    <w:p>
      <w:pPr>
        <w:pStyle w:val="Heading1"/>
      </w:pPr>
      <w:r>
        <w:t>7. Out of Scope</w:t>
      </w:r>
    </w:p>
    <w:p>
      <w:r>
        <w:rPr>
          <w:i/>
          <w:color w:val="6B6660"/>
          <w:sz w:val="19"/>
        </w:rPr>
        <w:t>What this design deliberately does not address, and why (e.g. cross-Region active-active DR, application-layer HA, items owned by another team).</w:t>
      </w:r>
    </w:p>
    <w:p>
      <w:r>
        <w:rPr>
          <w:i/>
          <w:color w:val="6B6660"/>
        </w:rPr>
        <w:t>[ Write your response here ]</w:t>
      </w:r>
    </w:p>
    <w:p>
      <w:pPr>
        <w:pStyle w:val="Heading1"/>
      </w:pPr>
      <w:r>
        <w:t>8. References</w:t>
      </w:r>
    </w:p>
    <w:p>
      <w:r>
        <w:rPr>
          <w:i/>
          <w:color w:val="6B6660"/>
          <w:sz w:val="19"/>
        </w:rPr>
        <w:t>The source documents and standards informing this design (requirements, baseline design, application specification, reference architectures, industry standards), with external sources cited with access dates.</w:t>
      </w:r>
    </w:p>
    <w:p>
      <w:r>
        <w:rPr>
          <w:i/>
          <w:color w:val="6B6660"/>
        </w:rPr>
        <w:t>[ Write your response here ]</w:t>
      </w:r>
    </w:p>
    <w:p>
      <w:pPr>
        <w:pStyle w:val="Heading1"/>
      </w:pPr>
      <w:r>
        <w:t>Document control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5953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Document version</w:t>
            </w:r>
          </w:p>
        </w:tc>
        <w:tc>
          <w:tcPr>
            <w:tcW w:type="dxa" w:w="595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v1.0 ]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Author</w:t>
            </w:r>
          </w:p>
        </w:tc>
        <w:tc>
          <w:tcPr>
            <w:tcW w:type="dxa" w:w="595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Name, role ]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Engagement</w:t>
            </w:r>
          </w:p>
        </w:tc>
        <w:tc>
          <w:tcPr>
            <w:tcW w:type="dxa" w:w="595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Engagement name ]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Supersedes</w:t>
            </w:r>
          </w:p>
        </w:tc>
        <w:tc>
          <w:tcPr>
            <w:tcW w:type="dxa" w:w="595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any baseline design this replaces ]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Implemented by</w:t>
            </w:r>
          </w:p>
        </w:tc>
        <w:tc>
          <w:tcPr>
            <w:tcW w:type="dxa" w:w="595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the Deployment Report that builds this design ]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Approval status</w:t>
            </w:r>
          </w:p>
        </w:tc>
        <w:tc>
          <w:tcPr>
            <w:tcW w:type="dxa" w:w="595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Pending / Approved / Rejected with comments ]</w:t>
            </w:r>
          </w:p>
        </w:tc>
      </w:tr>
    </w:tbl>
    <w:p/>
    <w:sectPr w:rsidR="00FC693F" w:rsidRPr="0006063C" w:rsidSect="00034616">
      <w:headerReference w:type="default" r:id="rId13"/>
      <w:footerReference w:type="default" r:id="rId14"/>
      <w:pgSz w:w="11906" w:h="16838"/>
      <w:pgMar w:top="1474" w:right="1247" w:bottom="1247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4" w:color="1F5A5C"/>
      </w:pBdr>
      <w:tabs>
        <w:tab w:pos="9354" w:val="right"/>
      </w:tabs>
    </w:pPr>
    <w:r/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  <w:instrText xml:space="preserve">PAGE</w:instrText>
      <w:fldChar w:fldCharType="separate"/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  <w:instrText xml:space="preserve">NUMPAGES</w:instrText>
      <w:fldChar w:fldCharType="separate"/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4" w:color="1F5A5C"/>
      </w:pBdr>
      <w:tabs>
        <w:tab w:pos="9354" w:val="right"/>
      </w:tabs>
    </w:pPr>
    <w:r/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  <w:instrText xml:space="preserve">PAGE</w:instrText>
      <w:fldChar w:fldCharType="separate"/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  <w:instrText xml:space="preserve">NUMPAGES</w:instrText>
      <w:fldChar w:fldCharType="separate"/>
    </w:r>
    <w: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4" w:color="1F5A5C"/>
      </w:pBdr>
      <w:tabs>
        <w:tab w:pos="9354" w:val="right"/>
      </w:tabs>
    </w:pPr>
    <w:r/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  <w:instrText xml:space="preserve">PAGE</w:instrText>
      <w:fldChar w:fldCharType="separate"/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  <w:instrText xml:space="preserve">NUMPAGES</w:instrText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hd w:val="clear" w:color="auto" w:fill="C99932"/>
    </w:pPr>
    <w:r>
      <w:rPr>
        <w:b/>
        <w:color w:val="1F2329"/>
        <w:sz w:val="17"/>
      </w:rPr>
      <w:t>This is a fictional organisation used as a case study in an educational context.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hd w:val="clear" w:color="auto" w:fill="C99932"/>
    </w:pPr>
    <w:r>
      <w:rPr>
        <w:b/>
        <w:color w:val="1F2329"/>
        <w:sz w:val="17"/>
      </w:rPr>
      <w:t>This is a fictional organisation used as a case study in an educational context.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hd w:val="clear" w:color="auto" w:fill="C99932"/>
    </w:pPr>
    <w:r>
      <w:rPr>
        <w:b/>
        <w:color w:val="1F2329"/>
        <w:sz w:val="17"/>
      </w:rPr>
      <w:t>This is a fictional organisation used as a case study in an educational context.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ource Sans 3" w:hAnsi="Source Sans 3" w:eastAsia="Source Sans 3"/>
      <w:color w:val="1F23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urce Sans 3" w:hAnsi="Source Sans 3" w:eastAsia="Source Sans 3"/>
      <w:b/>
      <w:bCs/>
      <w:color w:val="1F5A5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urce Sans 3" w:hAnsi="Source Sans 3" w:eastAsia="Source Sans 3"/>
      <w:b/>
      <w:bCs/>
      <w:color w:val="1F5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urce Sans 3" w:hAnsi="Source Sans 3" w:eastAsia="Source Sans 3"/>
      <w:b/>
      <w:bCs/>
      <w:color w:val="1F232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ource Sans 3" w:hAnsi="Source Sans 3" w:eastAsia="Source Sans 3"/>
      <w:b/>
      <w:color w:val="1F5A5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