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64E95747" w:rsidR="003167D9" w:rsidRPr="00227BBC" w:rsidRDefault="00985471" w:rsidP="00C022D4">
      <w:pPr>
        <w:pStyle w:val="Heading1"/>
      </w:pPr>
      <w:r>
        <w:t>Project</w:t>
      </w:r>
      <w:r w:rsidR="003A316B" w:rsidRPr="00227BBC">
        <w:t xml:space="preserve"> Assessment – </w:t>
      </w:r>
      <w:r w:rsidR="001A0BF7" w:rsidRPr="00227BBC">
        <w:t>Student</w:t>
      </w:r>
      <w:r w:rsidR="003A316B" w:rsidRPr="00227BBC">
        <w:t xml:space="preserve"> Instructions</w:t>
      </w:r>
    </w:p>
    <w:p w14:paraId="6D8DD09C" w14:textId="7777777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10745" w:type="dxa"/>
        <w:tblCellMar>
          <w:top w:w="57" w:type="dxa"/>
          <w:left w:w="113" w:type="dxa"/>
          <w:bottom w:w="57" w:type="dxa"/>
          <w:right w:w="57" w:type="dxa"/>
        </w:tblCellMar>
        <w:tblLook w:val="04A0" w:firstRow="1" w:lastRow="0" w:firstColumn="1" w:lastColumn="0" w:noHBand="0" w:noVBand="1"/>
        <w:tblCaption w:val="Details"/>
        <w:tblDescription w:val="Qualification, Unit of Competency, Assessment task and Assessor details."/>
      </w:tblPr>
      <w:tblGrid>
        <w:gridCol w:w="2807"/>
        <w:gridCol w:w="4639"/>
        <w:gridCol w:w="1314"/>
        <w:gridCol w:w="1985"/>
      </w:tblGrid>
      <w:tr w:rsidR="002A6715" w:rsidRPr="002F7C81" w14:paraId="3AC51D49" w14:textId="77777777" w:rsidTr="00D262CE">
        <w:trPr>
          <w:tblHeader/>
        </w:trPr>
        <w:tc>
          <w:tcPr>
            <w:tcW w:w="10745" w:type="dxa"/>
            <w:gridSpan w:val="4"/>
            <w:tcBorders>
              <w:top w:val="nil"/>
              <w:left w:val="nil"/>
              <w:bottom w:val="nil"/>
              <w:right w:val="nil"/>
            </w:tcBorders>
            <w:shd w:val="clear" w:color="auto" w:fill="595959" w:themeFill="text1" w:themeFillTint="A6"/>
            <w:vAlign w:val="center"/>
          </w:tcPr>
          <w:p w14:paraId="18817DD5" w14:textId="6A34A293" w:rsidR="002A6715" w:rsidRPr="002A6715" w:rsidRDefault="002A6715" w:rsidP="000333FE">
            <w:pPr>
              <w:pStyle w:val="Heading2"/>
              <w:rPr>
                <w:color w:val="365F91" w:themeColor="accent1" w:themeShade="BF"/>
              </w:rPr>
            </w:pPr>
            <w:r w:rsidRPr="002A6715">
              <w:t>Details</w:t>
            </w:r>
          </w:p>
        </w:tc>
      </w:tr>
      <w:tr w:rsidR="002D1EB4" w:rsidRPr="0029391E" w14:paraId="7D4447ED" w14:textId="77777777" w:rsidTr="002D1EB4">
        <w:trPr>
          <w:trHeight w:val="340"/>
        </w:trPr>
        <w:tc>
          <w:tcPr>
            <w:tcW w:w="2807" w:type="dxa"/>
            <w:tcBorders>
              <w:top w:val="nil"/>
              <w:left w:val="nil"/>
            </w:tcBorders>
            <w:vAlign w:val="center"/>
          </w:tcPr>
          <w:p w14:paraId="2572F15D" w14:textId="3B1DE489" w:rsidR="002D1EB4" w:rsidRPr="0029391E" w:rsidRDefault="002D1EB4" w:rsidP="000333FE">
            <w:pPr>
              <w:pStyle w:val="Heading3"/>
            </w:pPr>
            <w:r>
              <w:t>Student name</w:t>
            </w:r>
          </w:p>
        </w:tc>
        <w:tc>
          <w:tcPr>
            <w:tcW w:w="4639" w:type="dxa"/>
            <w:tcBorders>
              <w:top w:val="nil"/>
              <w:bottom w:val="single" w:sz="4" w:space="0" w:color="auto"/>
              <w:right w:val="nil"/>
            </w:tcBorders>
            <w:vAlign w:val="center"/>
          </w:tcPr>
          <w:p w14:paraId="119753A3" w14:textId="77777777" w:rsidR="002D1EB4" w:rsidRPr="0029391E" w:rsidRDefault="002D1EB4" w:rsidP="000333FE"/>
        </w:tc>
        <w:tc>
          <w:tcPr>
            <w:tcW w:w="1314" w:type="dxa"/>
            <w:tcBorders>
              <w:top w:val="nil"/>
              <w:bottom w:val="single" w:sz="4" w:space="0" w:color="auto"/>
              <w:right w:val="nil"/>
            </w:tcBorders>
            <w:vAlign w:val="center"/>
          </w:tcPr>
          <w:p w14:paraId="548E4580" w14:textId="710D228D" w:rsidR="002D1EB4" w:rsidRPr="0029391E" w:rsidRDefault="002D1EB4" w:rsidP="002D1EB4">
            <w:pPr>
              <w:pStyle w:val="Heading3"/>
            </w:pPr>
            <w:r>
              <w:t>Student ID</w:t>
            </w:r>
          </w:p>
        </w:tc>
        <w:tc>
          <w:tcPr>
            <w:tcW w:w="1985" w:type="dxa"/>
            <w:tcBorders>
              <w:top w:val="nil"/>
              <w:bottom w:val="single" w:sz="4" w:space="0" w:color="auto"/>
              <w:right w:val="nil"/>
            </w:tcBorders>
            <w:vAlign w:val="center"/>
          </w:tcPr>
          <w:p w14:paraId="45A2452A" w14:textId="0B584651" w:rsidR="002D1EB4" w:rsidRPr="0029391E" w:rsidRDefault="002D1EB4" w:rsidP="000333FE"/>
        </w:tc>
      </w:tr>
      <w:tr w:rsidR="002D1EB4" w:rsidRPr="0029391E" w14:paraId="680A4138" w14:textId="77777777" w:rsidTr="002D1EB4">
        <w:trPr>
          <w:trHeight w:val="340"/>
        </w:trPr>
        <w:tc>
          <w:tcPr>
            <w:tcW w:w="2807" w:type="dxa"/>
            <w:tcBorders>
              <w:top w:val="nil"/>
              <w:left w:val="nil"/>
            </w:tcBorders>
            <w:vAlign w:val="center"/>
          </w:tcPr>
          <w:p w14:paraId="2875EDDB" w14:textId="2474D2FB" w:rsidR="002D1EB4" w:rsidRPr="0029391E" w:rsidRDefault="002D1EB4" w:rsidP="000333FE">
            <w:pPr>
              <w:pStyle w:val="Heading3"/>
            </w:pPr>
            <w:r w:rsidRPr="002D1EB4">
              <w:t>Qualification code and title</w:t>
            </w:r>
          </w:p>
        </w:tc>
        <w:tc>
          <w:tcPr>
            <w:tcW w:w="7938" w:type="dxa"/>
            <w:gridSpan w:val="3"/>
            <w:tcBorders>
              <w:top w:val="nil"/>
              <w:bottom w:val="single" w:sz="4" w:space="0" w:color="auto"/>
              <w:right w:val="nil"/>
            </w:tcBorders>
            <w:vAlign w:val="center"/>
          </w:tcPr>
          <w:p w14:paraId="4F32B9AF" w14:textId="77777777" w:rsidR="002D1EB4" w:rsidRPr="0029391E" w:rsidRDefault="002D1EB4" w:rsidP="000333FE">
            <w:r>
              <w:t>ICT50220 Diploma of Information Technology</w:t>
            </w:r>
          </w:p>
        </w:tc>
      </w:tr>
      <w:tr w:rsidR="003A316B" w:rsidRPr="0029391E" w14:paraId="58F52A60" w14:textId="77777777" w:rsidTr="002D1EB4">
        <w:trPr>
          <w:trHeight w:val="340"/>
        </w:trPr>
        <w:tc>
          <w:tcPr>
            <w:tcW w:w="2807" w:type="dxa"/>
            <w:tcBorders>
              <w:left w:val="nil"/>
            </w:tcBorders>
            <w:vAlign w:val="center"/>
          </w:tcPr>
          <w:p w14:paraId="18385B2D" w14:textId="48AD0100" w:rsidR="003A316B" w:rsidRPr="0029391E" w:rsidRDefault="003A316B" w:rsidP="000333FE">
            <w:pPr>
              <w:pStyle w:val="Heading3"/>
            </w:pPr>
            <w:r w:rsidRPr="0029391E">
              <w:t xml:space="preserve">Unit </w:t>
            </w:r>
            <w:r w:rsidR="002F7C81" w:rsidRPr="0029391E">
              <w:t>c</w:t>
            </w:r>
            <w:r w:rsidRPr="0029391E">
              <w:t xml:space="preserve">ode and </w:t>
            </w:r>
            <w:r w:rsidR="002F7C81" w:rsidRPr="0029391E">
              <w:t>t</w:t>
            </w:r>
            <w:r w:rsidRPr="0029391E">
              <w:t>itle</w:t>
            </w:r>
          </w:p>
        </w:tc>
        <w:tc>
          <w:tcPr>
            <w:tcW w:w="7938" w:type="dxa"/>
            <w:gridSpan w:val="3"/>
            <w:tcBorders>
              <w:right w:val="nil"/>
            </w:tcBorders>
            <w:vAlign w:val="center"/>
          </w:tcPr>
          <w:p w14:paraId="450E8445" w14:textId="77777777" w:rsidR="003A316B" w:rsidRPr="0029391E" w:rsidRDefault="003A316B" w:rsidP="000333FE">
            <w:r>
              <w:t>ICTICT517 Match ICT needs with the strategic direction of the organisation</w:t>
            </w:r>
          </w:p>
          <w:p>
            <w:pPr/>
            <w:r>
              <w:t>ICTCLD401 Configure cloud services</w:t>
            </w:r>
          </w:p>
          <w:p>
            <w:pPr/>
            <w:r>
              <w:t>ICTCLD502 Design and implement highly-available cloud infrastructure</w:t>
            </w:r>
          </w:p>
        </w:tc>
      </w:tr>
      <w:tr w:rsidR="00F46169" w:rsidRPr="0029391E" w14:paraId="2F32EE2E" w14:textId="77777777" w:rsidTr="002D1EB4">
        <w:trPr>
          <w:trHeight w:val="340"/>
        </w:trPr>
        <w:tc>
          <w:tcPr>
            <w:tcW w:w="2807" w:type="dxa"/>
            <w:tcBorders>
              <w:left w:val="nil"/>
            </w:tcBorders>
            <w:vAlign w:val="center"/>
          </w:tcPr>
          <w:p w14:paraId="172E320B" w14:textId="1B44427A" w:rsidR="00F46169" w:rsidRPr="0029391E" w:rsidRDefault="00F46169" w:rsidP="000333FE">
            <w:pPr>
              <w:pStyle w:val="Heading3"/>
            </w:pPr>
            <w:r w:rsidRPr="0029391E">
              <w:t>Assessment task title</w:t>
            </w:r>
          </w:p>
        </w:tc>
        <w:tc>
          <w:tcPr>
            <w:tcW w:w="7938" w:type="dxa"/>
            <w:gridSpan w:val="3"/>
            <w:tcBorders>
              <w:right w:val="nil"/>
            </w:tcBorders>
            <w:vAlign w:val="center"/>
          </w:tcPr>
          <w:p w14:paraId="624293F4" w14:textId="286273C8" w:rsidR="00F46169" w:rsidRPr="0029391E" w:rsidRDefault="00F46169" w:rsidP="000333FE">
            <w:r>
              <w:t>AT2 — Cloud Foundation Build: YAT LMS Migration</w:t>
            </w:r>
          </w:p>
        </w:tc>
      </w:tr>
      <w:tr w:rsidR="00F46169" w:rsidRPr="0029391E" w14:paraId="6E42D5E4" w14:textId="77777777" w:rsidTr="002D1EB4">
        <w:trPr>
          <w:trHeight w:val="340"/>
        </w:trPr>
        <w:tc>
          <w:tcPr>
            <w:tcW w:w="2807" w:type="dxa"/>
            <w:tcBorders>
              <w:left w:val="nil"/>
            </w:tcBorders>
            <w:vAlign w:val="center"/>
          </w:tcPr>
          <w:p w14:paraId="1DFCBBA8" w14:textId="77777777" w:rsidR="00F46169" w:rsidRPr="0029391E" w:rsidRDefault="00F46169" w:rsidP="000333FE">
            <w:pPr>
              <w:pStyle w:val="Heading3"/>
            </w:pPr>
            <w:r w:rsidRPr="0029391E">
              <w:t>Assessment task number</w:t>
            </w:r>
          </w:p>
        </w:tc>
        <w:tc>
          <w:tcPr>
            <w:tcW w:w="4639" w:type="dxa"/>
            <w:tcBorders>
              <w:right w:val="nil"/>
            </w:tcBorders>
            <w:vAlign w:val="center"/>
          </w:tcPr>
          <w:p w14:paraId="03B7CE50" w14:textId="77777777" w:rsidR="00F46169" w:rsidRPr="0029391E" w:rsidRDefault="00F46169" w:rsidP="000333FE">
            <w:r>
              <w:t>2 of 3</w:t>
            </w:r>
          </w:p>
        </w:tc>
        <w:tc>
          <w:tcPr>
            <w:tcW w:w="1314" w:type="dxa"/>
            <w:tcBorders>
              <w:right w:val="nil"/>
            </w:tcBorders>
            <w:vAlign w:val="center"/>
          </w:tcPr>
          <w:p w14:paraId="3D7281F8" w14:textId="77777777" w:rsidR="00F46169" w:rsidRPr="0029391E" w:rsidRDefault="00F46169" w:rsidP="000333FE">
            <w:pPr>
              <w:pStyle w:val="Heading3"/>
            </w:pPr>
            <w:r w:rsidRPr="0029391E">
              <w:t>Due date</w:t>
            </w:r>
          </w:p>
        </w:tc>
        <w:tc>
          <w:tcPr>
            <w:tcW w:w="1985" w:type="dxa"/>
            <w:tcBorders>
              <w:right w:val="nil"/>
            </w:tcBorders>
            <w:vAlign w:val="center"/>
          </w:tcPr>
          <w:p w14:paraId="6CF0D5B1" w14:textId="77777777" w:rsidR="00F46169" w:rsidRPr="0029391E" w:rsidRDefault="00F46169" w:rsidP="000333FE"/>
        </w:tc>
      </w:tr>
      <w:tr w:rsidR="00F46169" w:rsidRPr="0029391E" w14:paraId="16A0C958" w14:textId="77777777" w:rsidTr="002D1EB4">
        <w:trPr>
          <w:trHeight w:val="340"/>
        </w:trPr>
        <w:tc>
          <w:tcPr>
            <w:tcW w:w="2807" w:type="dxa"/>
            <w:tcBorders>
              <w:left w:val="nil"/>
            </w:tcBorders>
            <w:vAlign w:val="center"/>
          </w:tcPr>
          <w:p w14:paraId="15148FEE" w14:textId="77777777" w:rsidR="00F46169" w:rsidRPr="0029391E" w:rsidRDefault="00F46169" w:rsidP="000333FE">
            <w:pPr>
              <w:pStyle w:val="Heading3"/>
            </w:pPr>
            <w:r w:rsidRPr="0029391E">
              <w:t>Teacher/Assessor name</w:t>
            </w:r>
          </w:p>
        </w:tc>
        <w:tc>
          <w:tcPr>
            <w:tcW w:w="7938" w:type="dxa"/>
            <w:gridSpan w:val="3"/>
            <w:tcBorders>
              <w:right w:val="nil"/>
            </w:tcBorders>
            <w:vAlign w:val="center"/>
          </w:tcPr>
          <w:p w14:paraId="50E259ED" w14:textId="77777777" w:rsidR="00F46169" w:rsidRPr="0029391E" w:rsidRDefault="00F46169" w:rsidP="000333FE"/>
        </w:tc>
      </w:tr>
      <w:tr w:rsidR="00F46169" w:rsidRPr="002F7C81" w14:paraId="690DE6EA" w14:textId="77777777" w:rsidTr="002D1EB4">
        <w:trPr>
          <w:trHeight w:val="340"/>
        </w:trPr>
        <w:tc>
          <w:tcPr>
            <w:tcW w:w="2807" w:type="dxa"/>
            <w:tcBorders>
              <w:left w:val="nil"/>
            </w:tcBorders>
            <w:vAlign w:val="center"/>
          </w:tcPr>
          <w:p w14:paraId="3158EC31" w14:textId="77777777" w:rsidR="00F46169" w:rsidRPr="0029391E" w:rsidRDefault="00F46169" w:rsidP="000333FE">
            <w:pPr>
              <w:pStyle w:val="Heading3"/>
            </w:pPr>
            <w:r w:rsidRPr="0029391E">
              <w:t>Teacher/Assessor email</w:t>
            </w:r>
          </w:p>
        </w:tc>
        <w:tc>
          <w:tcPr>
            <w:tcW w:w="7938" w:type="dxa"/>
            <w:gridSpan w:val="3"/>
            <w:tcBorders>
              <w:right w:val="nil"/>
            </w:tcBorders>
            <w:vAlign w:val="center"/>
          </w:tcPr>
          <w:p w14:paraId="3B69E89F" w14:textId="77777777" w:rsidR="00F46169" w:rsidRPr="002E7C77" w:rsidRDefault="00F46169" w:rsidP="000333FE"/>
        </w:tc>
      </w:tr>
    </w:tbl>
    <w:p w14:paraId="7488E7F5" w14:textId="77777777" w:rsidR="003A316B" w:rsidRPr="000333FE" w:rsidRDefault="003A316B" w:rsidP="000333FE">
      <w:pPr>
        <w:pStyle w:val="NoSpacing"/>
      </w:pPr>
    </w:p>
    <w:tbl>
      <w:tblPr>
        <w:tblStyle w:val="TableGrid"/>
        <w:tblW w:w="10745" w:type="dxa"/>
        <w:tblLayout w:type="fixed"/>
        <w:tblCellMar>
          <w:top w:w="57" w:type="dxa"/>
          <w:left w:w="113" w:type="dxa"/>
          <w:bottom w:w="57" w:type="dxa"/>
          <w:right w:w="57" w:type="dxa"/>
        </w:tblCellMar>
        <w:tblLook w:val="04A0" w:firstRow="1" w:lastRow="0" w:firstColumn="1" w:lastColumn="0" w:noHBand="0" w:noVBand="1"/>
        <w:tblCaption w:val="Student instructions"/>
        <w:tblDescription w:val="Instructions for the assessment task including an overview, tasks(s) to be assessed, time allowed, location, resources, assessment criteria, results, second attempt instructions and other important information."/>
      </w:tblPr>
      <w:tblGrid>
        <w:gridCol w:w="2807"/>
        <w:gridCol w:w="7938"/>
      </w:tblGrid>
      <w:tr w:rsidR="002A6715" w:rsidRPr="002F7C81" w14:paraId="161A8066" w14:textId="77777777" w:rsidTr="000333FE">
        <w:trPr>
          <w:cantSplit/>
          <w:tblHeader/>
        </w:trPr>
        <w:tc>
          <w:tcPr>
            <w:tcW w:w="10745" w:type="dxa"/>
            <w:gridSpan w:val="2"/>
            <w:tcBorders>
              <w:top w:val="nil"/>
              <w:left w:val="nil"/>
              <w:bottom w:val="nil"/>
              <w:right w:val="nil"/>
            </w:tcBorders>
            <w:shd w:val="clear" w:color="auto" w:fill="595959" w:themeFill="text1" w:themeFillTint="A6"/>
            <w:vAlign w:val="center"/>
          </w:tcPr>
          <w:p w14:paraId="674D2893" w14:textId="0FD9C023" w:rsidR="00667552" w:rsidRPr="00667552" w:rsidRDefault="00985471" w:rsidP="00667552">
            <w:pPr>
              <w:pStyle w:val="Heading2"/>
              <w:rPr>
                <w:color w:val="auto"/>
                <w:sz w:val="22"/>
              </w:rPr>
            </w:pPr>
            <w:r>
              <w:t>Student instructions</w:t>
            </w:r>
          </w:p>
        </w:tc>
      </w:tr>
      <w:tr w:rsidR="00E81213" w:rsidRPr="00E81213" w14:paraId="32E72483" w14:textId="77777777" w:rsidTr="002D1EB4">
        <w:trPr>
          <w:cantSplit/>
        </w:trPr>
        <w:tc>
          <w:tcPr>
            <w:tcW w:w="2807" w:type="dxa"/>
            <w:tcBorders>
              <w:top w:val="nil"/>
              <w:left w:val="nil"/>
            </w:tcBorders>
            <w:vAlign w:val="center"/>
          </w:tcPr>
          <w:p w14:paraId="17F77E68" w14:textId="5DA83CD6" w:rsidR="00667552" w:rsidRPr="00667552" w:rsidRDefault="003A316B" w:rsidP="00667552">
            <w:pPr>
              <w:pStyle w:val="Heading3"/>
            </w:pPr>
            <w:bookmarkStart w:id="5" w:name="_Toc19611986"/>
            <w:bookmarkEnd w:id="0"/>
            <w:bookmarkEnd w:id="1"/>
            <w:bookmarkEnd w:id="2"/>
            <w:bookmarkEnd w:id="3"/>
            <w:bookmarkEnd w:id="4"/>
            <w:r w:rsidRPr="002A6715">
              <w:t>Assessment overview</w:t>
            </w:r>
          </w:p>
        </w:tc>
        <w:tc>
          <w:tcPr>
            <w:tcW w:w="7938" w:type="dxa"/>
            <w:tcBorders>
              <w:top w:val="nil"/>
              <w:right w:val="nil"/>
            </w:tcBorders>
            <w:vAlign w:val="center"/>
          </w:tcPr>
          <w:p w14:paraId="26EE15FA" w14:textId="3CBFBBE9" w:rsidR="003A316B" w:rsidRPr="008A0AD8" w:rsidRDefault="002A6715" w:rsidP="00C022D4">
            <w:pPr>
              <w:pStyle w:val="Assessortext"/>
              <w:spacing w:after="160"/>
            </w:pPr>
            <w:r>
              <w:t>You are assessed on building a cloud platform for the YAT LMS migration, following the build run sheet in the second half of this document, and on the evidence and answers you record in it as you go.</w:t>
            </w:r>
          </w:p>
          <w:p>
            <w:pPr>
              <w:pStyle w:val="Assessortext"/>
              <w:spacing w:after="160"/>
            </w:pPr>
            <w:r>
              <w:t>This is an open-book practical assessment. You may use the YAT intranet, the AWS Academy lab environment, AWS documentation and course materials throughout.</w:t>
            </w:r>
          </w:p>
          <w:p>
            <w:pPr>
              <w:pStyle w:val="Assessortext"/>
              <w:spacing w:after="160"/>
            </w:pPr>
            <w:r>
              <w:t>AT2 is the second of three assessment tasks in the S1-CL1 Cloud Design and Build cluster. It follows AT1 (the Business Case engagement) and feeds into AT3 (high-availability hardening). You continue in the same MTS consultant role across all three.</w:t>
            </w:r>
          </w:p>
          <w:p>
            <w:pPr>
              <w:pStyle w:val="Assessortext"/>
              <w:spacing w:after="160"/>
            </w:pPr>
            <w:r>
              <w:t>Submission: this document, completed — every screenshot box filled and every question answered — submitted via the LMS.</w:t>
            </w:r>
          </w:p>
          <w:p>
            <w:pPr>
              <w:pStyle w:val="Assessortext"/>
              <w:spacing w:after="160"/>
            </w:pPr>
            <w:r>
              <w:t>The assessment will not proceed if for any reason it is not safe to do so. The assessor must advise you of the reason for suspending the assessment, what safety action should be taken, and of revised arrangements when it is safe to resume.</w:t>
            </w:r>
          </w:p>
          <w:p>
            <w:pPr>
              <w:pStyle w:val="Assessortext"/>
              <w:spacing w:after="160"/>
            </w:pPr>
            <w:r>
              <w:t>There is zero tolerance for plagiarism, cheating and collusion. You will be expected to make a declaration that all work is your own prior to submission. Refer to the Training and Assessment Policy for further information.</w:t>
            </w:r>
          </w:p>
        </w:tc>
      </w:tr>
      <w:tr w:rsidR="003A316B" w:rsidRPr="002F7C81" w14:paraId="05E83D64" w14:textId="77777777" w:rsidTr="002D1EB4">
        <w:trPr>
          <w:cantSplit/>
        </w:trPr>
        <w:tc>
          <w:tcPr>
            <w:tcW w:w="2807" w:type="dxa"/>
            <w:tcBorders>
              <w:left w:val="nil"/>
            </w:tcBorders>
            <w:vAlign w:val="center"/>
          </w:tcPr>
          <w:p w14:paraId="68707E31" w14:textId="1A32D242" w:rsidR="00667552" w:rsidRPr="00667552" w:rsidRDefault="002F7C81" w:rsidP="00667552">
            <w:pPr>
              <w:pStyle w:val="Heading3"/>
            </w:pPr>
            <w:r w:rsidRPr="002A6715">
              <w:t>Task(s) to be assessed</w:t>
            </w:r>
          </w:p>
        </w:tc>
        <w:tc>
          <w:tcPr>
            <w:tcW w:w="7938" w:type="dxa"/>
            <w:tcBorders>
              <w:right w:val="nil"/>
            </w:tcBorders>
            <w:vAlign w:val="center"/>
          </w:tcPr>
          <w:p w14:paraId="1510275C" w14:textId="77777777" w:rsidR="009C0C9E" w:rsidRPr="009C0C9E" w:rsidRDefault="009C0C9E" w:rsidP="00C022D4">
            <w:pPr>
              <w:pStyle w:val="Assessortext"/>
              <w:spacing w:after="160"/>
            </w:pPr>
            <w:r>
              <w:t>Following the YAT board's approval of your action plan in AT1, MTS Senior Architecture worked with YAT IT to turn that direction into a cloud architecture design, and an MTS implementation lead turned the design into a build run sheet for the engagement.</w:t>
            </w:r>
          </w:p>
          <w:p>
            <w:pPr>
              <w:pStyle w:val="Assessortext"/>
              <w:spacing w:after="160"/>
            </w:pPr>
            <w:r>
              <w:t>You are the implementer. Your work has three parts, all recorded in this one document:</w:t>
            </w:r>
          </w:p>
          <w:p>
            <w:pPr>
              <w:pStyle w:val="Assessortext"/>
              <w:spacing w:after="80"/>
              <w:ind w:left="280"/>
            </w:pPr>
            <w:r>
              <w:t>• Work through the build run sheet, creating each piece of the platform to the settings given, and paste the screenshot each task asks for into the box provided.</w:t>
            </w:r>
          </w:p>
          <w:p>
            <w:pPr>
              <w:pStyle w:val="Assessortext"/>
              <w:spacing w:after="80"/>
              <w:ind w:left="280"/>
            </w:pPr>
            <w:r>
              <w:t>• Run the five tests and paste in what each one returned.</w:t>
            </w:r>
          </w:p>
          <w:p>
            <w:pPr>
              <w:pStyle w:val="Assessortext"/>
              <w:spacing w:after="80"/>
              <w:ind w:left="280"/>
            </w:pPr>
            <w:r>
              <w:t>• Answer the six knowledge questions about the platform you built, then record where you filed the completed document.</w:t>
            </w:r>
          </w:p>
          <w:p>
            <w:pPr>
              <w:pStyle w:val="Assessortext"/>
              <w:spacing w:after="160"/>
            </w:pPr>
            <w:r>
              <w:t>This phase is the foundation build only. The platform is deliberately single-zone at this stage — high-availability hardening is the next phase and is out of scope here.</w:t>
            </w:r>
          </w:p>
        </w:tc>
      </w:tr>
      <w:tr w:rsidR="003A316B" w:rsidRPr="002F7C81" w14:paraId="15C9695D" w14:textId="77777777" w:rsidTr="002D1EB4">
        <w:trPr>
          <w:cantSplit/>
        </w:trPr>
        <w:tc>
          <w:tcPr>
            <w:tcW w:w="2807" w:type="dxa"/>
            <w:tcBorders>
              <w:left w:val="nil"/>
            </w:tcBorders>
            <w:vAlign w:val="center"/>
          </w:tcPr>
          <w:p w14:paraId="3987EA1D" w14:textId="73CE5574" w:rsidR="003A316B" w:rsidRPr="002A6715" w:rsidRDefault="002F7C81" w:rsidP="000333FE">
            <w:pPr>
              <w:pStyle w:val="Heading3"/>
            </w:pPr>
            <w:r w:rsidRPr="002A6715">
              <w:lastRenderedPageBreak/>
              <w:t>Time allowed</w:t>
            </w:r>
          </w:p>
        </w:tc>
        <w:tc>
          <w:tcPr>
            <w:tcW w:w="7938" w:type="dxa"/>
            <w:tcBorders>
              <w:right w:val="nil"/>
            </w:tcBorders>
            <w:vAlign w:val="center"/>
          </w:tcPr>
          <w:p w14:paraId="1D0F4CF3" w14:textId="77777777" w:rsidR="003A316B" w:rsidRPr="008A0AD8" w:rsidRDefault="00ED3590" w:rsidP="00C022D4">
            <w:pPr>
              <w:pStyle w:val="Assessortext"/>
            </w:pPr>
            <w:r/>
          </w:p>
        </w:tc>
      </w:tr>
      <w:tr w:rsidR="003A316B" w:rsidRPr="002F7C81" w14:paraId="61A1531A" w14:textId="77777777" w:rsidTr="002D1EB4">
        <w:trPr>
          <w:cantSplit/>
        </w:trPr>
        <w:tc>
          <w:tcPr>
            <w:tcW w:w="2807" w:type="dxa"/>
            <w:tcBorders>
              <w:left w:val="nil"/>
            </w:tcBorders>
            <w:vAlign w:val="center"/>
          </w:tcPr>
          <w:p w14:paraId="6ADBC676" w14:textId="1F949875" w:rsidR="003A316B" w:rsidRPr="002A6715" w:rsidRDefault="000F75D7" w:rsidP="000333FE">
            <w:pPr>
              <w:pStyle w:val="Heading3"/>
            </w:pPr>
            <w:r>
              <w:t>Location</w:t>
            </w:r>
          </w:p>
        </w:tc>
        <w:tc>
          <w:tcPr>
            <w:tcW w:w="7938" w:type="dxa"/>
            <w:tcBorders>
              <w:right w:val="nil"/>
            </w:tcBorders>
            <w:vAlign w:val="center"/>
          </w:tcPr>
          <w:p w14:paraId="7373C180" w14:textId="77777777" w:rsidR="003A316B" w:rsidRPr="008A0AD8" w:rsidRDefault="00ED3590" w:rsidP="00C022D4">
            <w:pPr>
              <w:pStyle w:val="Assessortext"/>
            </w:pPr>
            <w:r/>
          </w:p>
        </w:tc>
      </w:tr>
      <w:tr w:rsidR="003A316B" w:rsidRPr="002F7C81" w14:paraId="08D94948" w14:textId="77777777" w:rsidTr="002D1EB4">
        <w:trPr>
          <w:cantSplit/>
        </w:trPr>
        <w:tc>
          <w:tcPr>
            <w:tcW w:w="2807" w:type="dxa"/>
            <w:tcBorders>
              <w:left w:val="nil"/>
            </w:tcBorders>
            <w:vAlign w:val="center"/>
          </w:tcPr>
          <w:p w14:paraId="04FDF80C" w14:textId="252F102F" w:rsidR="003A316B" w:rsidRPr="002A6715" w:rsidRDefault="002F7C81" w:rsidP="000333FE">
            <w:pPr>
              <w:pStyle w:val="Heading3"/>
            </w:pPr>
            <w:r w:rsidRPr="002A6715">
              <w:t>Resources required</w:t>
            </w:r>
          </w:p>
        </w:tc>
        <w:tc>
          <w:tcPr>
            <w:tcW w:w="7938" w:type="dxa"/>
            <w:tcBorders>
              <w:right w:val="nil"/>
            </w:tcBorders>
            <w:vAlign w:val="center"/>
          </w:tcPr>
          <w:p w14:paraId="6286BCA5" w14:textId="7CFC42C3" w:rsidR="00ED3590" w:rsidRPr="005903E8" w:rsidRDefault="00ED3590" w:rsidP="005903E8">
            <w:pPr>
              <w:pStyle w:val="Assessortext"/>
              <w:spacing w:after="80" w:before="160"/>
            </w:pPr>
            <w:r>
              <w:rPr>
                <w:b/>
              </w:rPr>
              <w:t>Provided to you</w:t>
            </w:r>
          </w:p>
          <w:p>
            <w:pPr>
              <w:pStyle w:val="Assessortext"/>
              <w:spacing w:after="80"/>
              <w:ind w:left="280"/>
            </w:pPr>
            <w:r>
              <w:t>• This document, containing the build run sheet you work through</w:t>
            </w:r>
          </w:p>
          <w:p>
            <w:pPr>
              <w:pStyle w:val="Assessortext"/>
              <w:spacing w:after="80"/>
              <w:ind w:left="280"/>
            </w:pPr>
            <w:r>
              <w:t>• LMS Application Specification (on the YAT intranet) — the workload your two sizing decisions are justified against</w:t>
            </w:r>
          </w:p>
          <w:p>
            <w:pPr>
              <w:pStyle w:val="Assessortext"/>
              <w:spacing w:after="80"/>
              <w:ind w:left="280"/>
            </w:pPr>
            <w:r>
              <w:t>• Records Management Policy (on the YAT intranet) — where a completed engagement document has to be filed</w:t>
            </w:r>
          </w:p>
          <w:p>
            <w:pPr>
              <w:pStyle w:val="Assessortext"/>
              <w:spacing w:after="80" w:before="160"/>
            </w:pPr>
            <w:r>
              <w:rPr>
                <w:b/>
              </w:rPr>
              <w:t>Provided externally</w:t>
            </w:r>
          </w:p>
          <w:p>
            <w:pPr>
              <w:pStyle w:val="Assessortext"/>
              <w:spacing w:after="80"/>
              <w:ind w:left="280"/>
            </w:pPr>
            <w:r>
              <w:t>• AWS Academy lab access</w:t>
            </w:r>
          </w:p>
          <w:p>
            <w:pPr>
              <w:pStyle w:val="Assessortext"/>
              <w:spacing w:after="80" w:before="160"/>
            </w:pPr>
            <w:r>
              <w:rPr>
                <w:b/>
              </w:rPr>
              <w:t>You supply</w:t>
            </w:r>
          </w:p>
          <w:p>
            <w:pPr>
              <w:pStyle w:val="Assessortext"/>
              <w:spacing w:after="80"/>
              <w:ind w:left="280"/>
            </w:pPr>
            <w:r>
              <w:t>• Computer with a web browser</w:t>
            </w:r>
          </w:p>
          <w:p>
            <w:pPr>
              <w:pStyle w:val="Assessortext"/>
              <w:spacing w:after="80"/>
              <w:ind w:left="280"/>
            </w:pPr>
            <w:r>
              <w:t>• Word-processing software (Microsoft Word or equivalent)</w:t>
            </w:r>
          </w:p>
          <w:p>
            <w:pPr>
              <w:pStyle w:val="Assessortext"/>
              <w:spacing w:after="80"/>
              <w:ind w:left="280"/>
            </w:pPr>
            <w:r>
              <w:t>• A screenshot tool</w:t>
            </w:r>
          </w:p>
        </w:tc>
      </w:tr>
      <w:tr w:rsidR="00ED3590" w:rsidRPr="002F7C81" w14:paraId="6E602484" w14:textId="77777777" w:rsidTr="002D1EB4">
        <w:trPr>
          <w:cantSplit/>
        </w:trPr>
        <w:tc>
          <w:tcPr>
            <w:tcW w:w="2807" w:type="dxa"/>
            <w:tcBorders>
              <w:left w:val="nil"/>
            </w:tcBorders>
            <w:vAlign w:val="center"/>
          </w:tcPr>
          <w:p w14:paraId="075D8A0E" w14:textId="568F9D15" w:rsidR="00ED3590" w:rsidRPr="002A6715" w:rsidRDefault="00CC63F7" w:rsidP="000333FE">
            <w:pPr>
              <w:pStyle w:val="Heading3"/>
            </w:pPr>
            <w:r w:rsidRPr="002A6715">
              <w:t xml:space="preserve">Assessment </w:t>
            </w:r>
            <w:r w:rsidR="002C2E32">
              <w:t>criteria</w:t>
            </w:r>
          </w:p>
        </w:tc>
        <w:tc>
          <w:tcPr>
            <w:tcW w:w="7938" w:type="dxa"/>
            <w:tcBorders>
              <w:right w:val="nil"/>
            </w:tcBorders>
            <w:vAlign w:val="center"/>
          </w:tcPr>
          <w:p w14:paraId="523081B1" w14:textId="77777777" w:rsidR="00ED3590" w:rsidRDefault="00CC63F7" w:rsidP="00C022D4">
            <w:pPr>
              <w:spacing w:after="160"/>
            </w:pPr>
            <w:r>
              <w:t>To receive a Satisfactory result for AT2 you must:</w:t>
            </w:r>
          </w:p>
          <w:p>
            <w:pPr>
              <w:spacing w:after="80"/>
              <w:ind w:left="280"/>
            </w:pPr>
            <w:r>
              <w:t>• Achieve Satisfactory on every criterion in the Assessment Criteria table (below)</w:t>
            </w:r>
          </w:p>
          <w:p>
            <w:pPr>
              <w:spacing w:after="80"/>
              <w:ind w:left="280"/>
            </w:pPr>
            <w:r>
              <w:t>• Complete every task in the run sheet, with the screenshot each one asks for</w:t>
            </w:r>
          </w:p>
          <w:p>
            <w:pPr>
              <w:spacing w:after="80"/>
              <w:ind w:left="280"/>
            </w:pPr>
            <w:r>
              <w:t>• Run all five tests and record what each returned</w:t>
            </w:r>
          </w:p>
          <w:p>
            <w:pPr>
              <w:spacing w:after="80"/>
              <w:ind w:left="280"/>
            </w:pPr>
            <w:r>
              <w:t>• Answer all six knowledge questions with reference to your own build</w:t>
            </w:r>
          </w:p>
        </w:tc>
      </w:tr>
      <w:tr w:rsidR="00416D85" w:rsidRPr="002F7C81" w14:paraId="62B19B88" w14:textId="77777777" w:rsidTr="002D1EB4">
        <w:trPr>
          <w:cantSplit/>
        </w:trPr>
        <w:tc>
          <w:tcPr>
            <w:tcW w:w="2807" w:type="dxa"/>
            <w:tcBorders>
              <w:left w:val="nil"/>
            </w:tcBorders>
            <w:vAlign w:val="center"/>
          </w:tcPr>
          <w:p w14:paraId="29D03322" w14:textId="77777777" w:rsidR="00416D85" w:rsidRPr="0029391E" w:rsidRDefault="00416D85" w:rsidP="000333FE">
            <w:pPr>
              <w:pStyle w:val="Heading3"/>
            </w:pPr>
            <w:r w:rsidRPr="0029391E">
              <w:t>Results/Second attempt</w:t>
            </w:r>
          </w:p>
        </w:tc>
        <w:tc>
          <w:tcPr>
            <w:tcW w:w="7938" w:type="dxa"/>
            <w:tcBorders>
              <w:right w:val="nil"/>
            </w:tcBorders>
            <w:vAlign w:val="center"/>
          </w:tcPr>
          <w:p w14:paraId="334677B1" w14:textId="77777777" w:rsidR="00416D85" w:rsidRPr="0029391E" w:rsidRDefault="00416D85" w:rsidP="00C022D4">
            <w:pPr>
              <w:pStyle w:val="Assessortext"/>
              <w:spacing w:after="160"/>
            </w:pPr>
            <w:r>
              <w:t>If you are deemed not satisfactory for this assessment, you will be given one (1) more attempt at this assessment (or part thereof), or your teacher/assessor will negotiate a further assessment with you. The second attempt must be completed within 10 working days from the date your feedback is given.</w:t>
            </w:r>
          </w:p>
        </w:tc>
      </w:tr>
      <w:tr w:rsidR="003A316B" w:rsidRPr="002F7C81" w14:paraId="06D1B36B" w14:textId="77777777" w:rsidTr="002D1EB4">
        <w:trPr>
          <w:cantSplit/>
        </w:trPr>
        <w:tc>
          <w:tcPr>
            <w:tcW w:w="2807" w:type="dxa"/>
            <w:tcBorders>
              <w:left w:val="nil"/>
            </w:tcBorders>
            <w:vAlign w:val="center"/>
          </w:tcPr>
          <w:p w14:paraId="12DD0316" w14:textId="0045FAA4" w:rsidR="003A316B" w:rsidRPr="002A6715" w:rsidRDefault="00CE06BC" w:rsidP="000333FE">
            <w:pPr>
              <w:pStyle w:val="Heading3"/>
            </w:pPr>
            <w:r w:rsidRPr="002A6715">
              <w:t>Important information</w:t>
            </w:r>
          </w:p>
        </w:tc>
        <w:tc>
          <w:tcPr>
            <w:tcW w:w="7938" w:type="dxa"/>
            <w:tcBorders>
              <w:right w:val="nil"/>
            </w:tcBorders>
            <w:vAlign w:val="center"/>
          </w:tcPr>
          <w:p w14:paraId="43CC11BF" w14:textId="3DC8E777" w:rsidR="003A316B" w:rsidRPr="002F7C81" w:rsidRDefault="00FD2774" w:rsidP="00C022D4">
            <w:r w:rsidRPr="00FD2774">
              <w:t>You can access further information regarding assessment, including Recognition of Prior Learning, Reasonable Adjustment and Assessment Appeals in the Student handbook which can be found on the MyLearning portal.</w:t>
            </w:r>
          </w:p>
        </w:tc>
      </w:tr>
      <w:tr>
        <w:tc>
          <w:tcPr>
            <w:tcW w:type="dxa" w:w="2807"/>
          </w:tcPr>
          <w:p>
            <w:r>
              <w:rPr>
                <w:b/>
              </w:rPr>
              <w:t>How To Submit</w:t>
            </w:r>
          </w:p>
        </w:tc>
        <w:tc>
          <w:tcPr>
            <w:tcW w:type="dxa" w:w="7938"/>
          </w:tcPr>
          <w:p>
            <w:pPr>
              <w:spacing w:after="160"/>
            </w:pPr>
            <w:r>
              <w:t>Submit this completed document to the LMS by the due date. Everything is recorded in it — there are no separate files to submit.</w:t>
            </w:r>
          </w:p>
        </w:tc>
      </w:tr>
    </w:tbl>
    <w:p w14:paraId="56F88704" w14:textId="77777777" w:rsidR="00FE5400" w:rsidRPr="00C677AA" w:rsidRDefault="00FE5400" w:rsidP="00FE5400">
      <w:pPr>
        <w:pStyle w:val="NoSpacing"/>
        <w:rPr>
          <w:color w:val="4F81BD" w:themeColor="accent1"/>
        </w:rPr>
      </w:pPr>
    </w:p>
    <w:tbl>
      <w:tblPr>
        <w:tblStyle w:val="TableGrid"/>
        <w:tblW w:w="10740" w:type="dxa"/>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797"/>
        <w:gridCol w:w="1943"/>
      </w:tblGrid>
      <w:tr w:rsidR="00C022D4" w:rsidRPr="00C022D4" w14:paraId="03046C8F" w14:textId="77777777" w:rsidTr="000333FE">
        <w:trPr>
          <w:tblHeader/>
        </w:trPr>
        <w:tc>
          <w:tcPr>
            <w:tcW w:w="10740" w:type="dxa"/>
            <w:gridSpan w:val="2"/>
            <w:tcBorders>
              <w:top w:val="nil"/>
              <w:left w:val="nil"/>
              <w:bottom w:val="nil"/>
              <w:right w:val="nil"/>
            </w:tcBorders>
            <w:shd w:val="clear" w:color="auto" w:fill="595959" w:themeFill="text1" w:themeFillTint="A6"/>
            <w:vAlign w:val="center"/>
          </w:tcPr>
          <w:p w14:paraId="1A8F3582" w14:textId="77777777" w:rsidR="00C022D4" w:rsidRPr="00C022D4" w:rsidRDefault="00C022D4" w:rsidP="000333FE">
            <w:pPr>
              <w:pStyle w:val="Heading2"/>
              <w:rPr>
                <w:color w:val="365F91" w:themeColor="accent1" w:themeShade="BF"/>
              </w:rPr>
            </w:pPr>
            <w:r w:rsidRPr="00C022D4">
              <w:t>Assessment criteria</w:t>
            </w:r>
          </w:p>
        </w:tc>
      </w:tr>
      <w:tr w:rsidR="00C022D4" w:rsidRPr="00C022D4" w14:paraId="535EF89A" w14:textId="77777777" w:rsidTr="000333FE">
        <w:trPr>
          <w:trHeight w:val="340"/>
        </w:trPr>
        <w:tc>
          <w:tcPr>
            <w:tcW w:w="8797" w:type="dxa"/>
            <w:tcBorders>
              <w:top w:val="nil"/>
              <w:left w:val="nil"/>
            </w:tcBorders>
            <w:vAlign w:val="center"/>
          </w:tcPr>
          <w:p w14:paraId="5BC5637E" w14:textId="77777777" w:rsidR="00C022D4" w:rsidRPr="00C022D4" w:rsidRDefault="00C022D4" w:rsidP="000333FE">
            <w:pPr>
              <w:pStyle w:val="Heading3"/>
            </w:pPr>
            <w:r w:rsidRPr="00C022D4">
              <w:t>Criteria</w:t>
            </w:r>
          </w:p>
        </w:tc>
        <w:tc>
          <w:tcPr>
            <w:tcW w:w="1943" w:type="dxa"/>
            <w:tcBorders>
              <w:top w:val="nil"/>
              <w:right w:val="nil"/>
            </w:tcBorders>
            <w:vAlign w:val="center"/>
          </w:tcPr>
          <w:p w14:paraId="3E86C5CC" w14:textId="77777777" w:rsidR="00C022D4" w:rsidRPr="000333FE" w:rsidRDefault="00C022D4" w:rsidP="000333FE">
            <w:pPr>
              <w:pStyle w:val="Heading3"/>
            </w:pPr>
            <w:r w:rsidRPr="000333FE">
              <w:t>Satisfactory?</w:t>
            </w:r>
          </w:p>
        </w:tc>
      </w:tr>
      <w:tr>
        <w:tc>
          <w:tcPr>
            <w:tcW w:type="dxa" w:w="8797"/>
          </w:tcPr>
          <w:p>
            <w:r>
              <w:t>A1 - Network foundation (tasks 2-7) — you built the VPC, the five subnets across two zones, the internet and NAT gateways, the route tables, and the three security groups with the database reachable only from the application tier</w:t>
            </w:r>
          </w:p>
        </w:tc>
        <w:tc>
          <w:tcPr>
            <w:tcW w:type="dxa" w:w="1943"/>
          </w:tcPr>
          <w:p>
            <w:r>
              <w:t>☐ Yes  ☐ No</w:t>
            </w:r>
          </w:p>
        </w:tc>
      </w:tr>
      <w:tr>
        <w:tc>
          <w:tcPr>
            <w:tcW w:type="dxa" w:w="8797"/>
          </w:tcPr>
          <w:p>
            <w:r>
              <w:t>A2 - Identity and access (tasks 1, 8-9) — you accessed the platform, worked through the group and user creation and captured the result, and reviewed the role your servers use</w:t>
            </w:r>
          </w:p>
        </w:tc>
        <w:tc>
          <w:tcPr>
            <w:tcW w:type="dxa" w:w="1943"/>
          </w:tcPr>
          <w:p>
            <w:r>
              <w:t>☐ Yes  ☐ No</w:t>
            </w:r>
          </w:p>
        </w:tc>
      </w:tr>
      <w:tr>
        <w:tc>
          <w:tcPr>
            <w:tcW w:type="dxa" w:w="8797"/>
          </w:tcPr>
          <w:p>
            <w:r>
              <w:t>A3 - Compute and load balancing (tasks 10-13) — you created the launch template, the target group, the load balancer and the Auto Scaling group, and the group is attached to the target group</w:t>
            </w:r>
          </w:p>
        </w:tc>
        <w:tc>
          <w:tcPr>
            <w:tcW w:type="dxa" w:w="1943"/>
          </w:tcPr>
          <w:p>
            <w:r>
              <w:t>☐ Yes  ☐ No</w:t>
            </w:r>
          </w:p>
        </w:tc>
      </w:tr>
      <w:tr>
        <w:tc>
          <w:tcPr>
            <w:tcW w:type="dxa" w:w="8797"/>
          </w:tcPr>
          <w:p>
            <w:r>
              <w:t>A4 - Database (tasks 14-15) — you created the subnet group across two zones and deployed the database: single-zone, encrypted, not publicly accessible, and in the database security group</w:t>
            </w:r>
          </w:p>
        </w:tc>
        <w:tc>
          <w:tcPr>
            <w:tcW w:type="dxa" w:w="1943"/>
          </w:tcPr>
          <w:p>
            <w:r>
              <w:t>☐ Yes  ☐ No</w:t>
            </w:r>
          </w:p>
        </w:tc>
      </w:tr>
      <w:tr>
        <w:tc>
          <w:tcPr>
            <w:tcW w:type="dxa" w:w="8797"/>
          </w:tcPr>
          <w:p>
            <w:r>
              <w:t>A5 - Monitoring (task 16) — you created both alarms with the metrics and thresholds given</w:t>
            </w:r>
          </w:p>
        </w:tc>
        <w:tc>
          <w:tcPr>
            <w:tcW w:type="dxa" w:w="1943"/>
          </w:tcPr>
          <w:p>
            <w:r>
              <w:t>☐ Yes  ☐ No</w:t>
            </w:r>
          </w:p>
        </w:tc>
      </w:tr>
      <w:tr>
        <w:tc>
          <w:tcPr>
            <w:tcW w:type="dxa" w:w="8797"/>
          </w:tcPr>
          <w:p>
            <w:r>
              <w:t>A6 - Configuration decisions (tasks 10 and 15) — for each of the two decisions the run sheet leaves open, you named the option you did not choose, stated the one you did, and justified it against the YAT LMS workload</w:t>
            </w:r>
          </w:p>
        </w:tc>
        <w:tc>
          <w:tcPr>
            <w:tcW w:type="dxa" w:w="1943"/>
          </w:tcPr>
          <w:p>
            <w:r>
              <w:t>☐ Yes  ☐ No</w:t>
            </w:r>
          </w:p>
        </w:tc>
      </w:tr>
      <w:tr>
        <w:tc>
          <w:tcPr>
            <w:tcW w:type="dxa" w:w="8797"/>
          </w:tcPr>
          <w:p>
            <w:r>
              <w:t>A7 - Testing (tests 1-5) — you connected to the application server, reached the internet, the database and the load balancer, and demonstrated the Auto Scaling group scaling out and back in on its own. Each screenshot shows what its box asks for</w:t>
            </w:r>
          </w:p>
        </w:tc>
        <w:tc>
          <w:tcPr>
            <w:tcW w:type="dxa" w:w="1943"/>
          </w:tcPr>
          <w:p>
            <w:r>
              <w:t>☐ Yes  ☐ No</w:t>
            </w:r>
          </w:p>
        </w:tc>
      </w:tr>
      <w:tr>
        <w:tc>
          <w:tcPr>
            <w:tcW w:type="dxa" w:w="8797"/>
          </w:tcPr>
          <w:p>
            <w:r>
              <w:t>A8 - Knowledge questions (Q1-Q6) — you answered all six with reference to your own build, not in general terms, in clear written English</w:t>
            </w:r>
          </w:p>
        </w:tc>
        <w:tc>
          <w:tcPr>
            <w:tcW w:type="dxa" w:w="1943"/>
          </w:tcPr>
          <w:p>
            <w:r>
              <w:t>☐ Yes  ☐ No</w:t>
            </w:r>
          </w:p>
        </w:tc>
      </w:tr>
      <w:tr>
        <w:tc>
          <w:tcPr>
            <w:tcW w:type="dxa" w:w="8797"/>
          </w:tcPr>
          <w:p>
            <w:r>
              <w:t>A9 - Handover — you stated where you filed the completed document and which YAT policy required that location</w:t>
            </w:r>
          </w:p>
        </w:tc>
        <w:tc>
          <w:tcPr>
            <w:tcW w:type="dxa" w:w="1943"/>
          </w:tcPr>
          <w:p>
            <w:r>
              <w:t>☐ Yes  ☐ No</w:t>
            </w:r>
          </w:p>
        </w:tc>
      </w:tr>
    </w:tbl>
    <w:p w14:paraId="3274B3E2" w14:textId="77777777" w:rsidR="00C022D4" w:rsidRPr="00C022D4" w:rsidRDefault="00C022D4" w:rsidP="00C022D4">
      <w:pPr>
        <w:pStyle w:val="Assessortext"/>
      </w:pPr>
    </w:p>
    <w:bookmarkEnd w:id="5"/>
    <w:p w14:paraId="3B5466B7" w14:textId="77777777" w:rsidR="00FA41B0" w:rsidRPr="00FA41B0" w:rsidRDefault="00FA41B0" w:rsidP="00C022D4"/>
    <w:p>
      <w:pPr>
        <w:pStyle w:val="Heading1"/>
      </w:pPr>
      <w:r>
        <w:t>Scenario</w:t>
      </w:r>
    </w:p>
    <w:p>
      <w:pPr>
        <w:spacing w:after="160"/>
      </w:pPr>
      <w:r>
        <w:rPr>
          <w:b w:val="0"/>
          <w:i w:val="0"/>
          <w:sz w:val="21"/>
        </w:rPr>
        <w:t>YAT College is migrating their Learning Management System from on-premises to AWS. You are an MTS Consultant on this engagement, reporting to Pat Lin (MTS Senior Consultant). Sam Walker (YAT IT Manager) is your primary YAT-side stakeholder.</w:t>
      </w:r>
    </w:p>
    <w:p>
      <w:pPr>
        <w:spacing w:after="160"/>
      </w:pPr>
      <w:r>
        <w:rPr>
          <w:b w:val="0"/>
          <w:i w:val="0"/>
          <w:sz w:val="21"/>
        </w:rPr>
        <w:t>At the end of the AT1 engagement the YAT board approved your action plan. MTS Senior Architecture then worked with YAT IT to turn that direction into a cloud architecture design, and an MTS implementation lead turned the design into the build run sheet that forms the second half of this document.</w:t>
      </w:r>
    </w:p>
    <w:p>
      <w:pPr>
        <w:spacing w:after="160"/>
      </w:pPr>
      <w:r>
        <w:rPr>
          <w:b w:val="0"/>
          <w:i w:val="0"/>
          <w:sz w:val="21"/>
        </w:rPr>
        <w:t>Your job is to work through that run sheet and stand up the infrastructure. You are the implementer: the design decisions have been made, and the run sheet tells you what to build and what to build it to.</w:t>
      </w:r>
    </w:p>
    <w:p>
      <w:pPr>
        <w:pStyle w:val="Heading1"/>
      </w:pPr>
      <w:r>
        <w:t>Required resources (assessment conditions)</w:t>
      </w:r>
    </w:p>
    <w:p>
      <w:pPr>
        <w:spacing w:after="120"/>
        <w:ind w:left="340"/>
      </w:pPr>
      <w:r>
        <w:rPr>
          <w:sz w:val="21"/>
        </w:rPr>
        <w:t xml:space="preserve">•  </w:t>
      </w:r>
      <w:hyperlink r:id="rId17">
        <w:r>
          <w:rPr>
            <w:sz w:val="21"/>
            <w:color w:val="0563C1"/>
            <w:u w:val="single"/>
          </w:rPr>
          <w:t>LMS Application Specification — the workload your two sizing decisions are justified against</w:t>
        </w:r>
      </w:hyperlink>
    </w:p>
    <w:p>
      <w:pPr>
        <w:spacing w:after="120"/>
        <w:ind w:left="340"/>
      </w:pPr>
      <w:r>
        <w:rPr>
          <w:sz w:val="21"/>
        </w:rPr>
        <w:t xml:space="preserve">•  </w:t>
      </w:r>
      <w:hyperlink r:id="rId18">
        <w:r>
          <w:rPr>
            <w:sz w:val="21"/>
            <w:color w:val="0563C1"/>
            <w:u w:val="single"/>
          </w:rPr>
          <w:t>Records Management Policy — where a completed engagement document has to be filed</w:t>
        </w:r>
      </w:hyperlink>
    </w:p>
    <w:p>
      <w:pPr>
        <w:pStyle w:val="Heading1"/>
      </w:pPr>
      <w:r>
        <w:t>Instructions to Student</w:t>
      </w:r>
    </w:p>
    <w:p>
      <w:pPr>
        <w:spacing w:after="160"/>
      </w:pPr>
      <w:r>
        <w:rPr>
          <w:b w:val="0"/>
          <w:i w:val="0"/>
          <w:sz w:val="21"/>
        </w:rPr>
        <w:t>Work the tasks in order. Each one tells you what to build and the settings to build it to; finding your way around the console is left to you.</w:t>
      </w:r>
    </w:p>
    <w:p>
      <w:pPr>
        <w:spacing w:after="160"/>
      </w:pPr>
      <w:r>
        <w:rPr>
          <w:b w:val="0"/>
          <w:i w:val="0"/>
          <w:sz w:val="21"/>
        </w:rPr>
        <w:t>Take each screenshot as you finish the task, not at the end. Recreating a screen after you have moved on is painful and sometimes impossible — this is the single most common way students lose marks here.</w:t>
      </w:r>
    </w:p>
    <w:p>
      <w:pPr>
        <w:spacing w:after="160"/>
      </w:pPr>
      <w:r>
        <w:rPr>
          <w:b w:val="0"/>
          <w:i w:val="0"/>
          <w:sz w:val="21"/>
        </w:rPr>
        <w:t>Two tasks ask you to choose between two options. Name the one you did not pick as well as the one you did — a choice with no alternative beside it is not a comparison.</w:t>
      </w:r>
    </w:p>
    <w:p>
      <w:pPr>
        <w:spacing w:after="160"/>
      </w:pPr>
      <w:r>
        <w:rPr>
          <w:b w:val="0"/>
          <w:i w:val="0"/>
          <w:sz w:val="21"/>
        </w:rPr>
        <w:t>Run the tests yourself and screenshot what actually happened. If a test fails, fix it, run it again, and say what you changed.</w:t>
      </w:r>
    </w:p>
    <w:p>
      <w:pPr>
        <w:spacing w:after="160"/>
      </w:pPr>
      <w:r>
        <w:rPr>
          <w:b w:val="0"/>
          <w:i w:val="0"/>
          <w:sz w:val="21"/>
        </w:rPr>
        <w:t>Answer the knowledge questions about your own build. Generic answers about cloud computing will not pass.</w:t>
      </w:r>
    </w:p>
    <w:p>
      <w:pPr>
        <w:spacing w:after="200"/>
      </w:pPr>
      <w:r>
        <w:rPr>
          <w:b w:val="0"/>
          <w:i w:val="0"/>
          <w:sz w:val="21"/>
        </w:rPr>
        <w:t>This engagement's production region is ap-southeast-2 (Sydney). The build environment for this work is us-east-1 — build there, and treat it as standing in for Sydney throughout.</w:t>
      </w:r>
    </w:p>
    <w:p>
      <w:pPr>
        <w:spacing w:before="200" w:after="0"/>
      </w:pPr>
      <w:r>
        <w:rPr>
          <w:b/>
          <w:color w:val="1F5A5C"/>
          <w:sz w:val="16"/>
        </w:rPr>
        <w:t>TASK 1</w:t>
      </w:r>
    </w:p>
    <w:p>
      <w:pPr>
        <w:pStyle w:val="Heading2"/>
      </w:pPr>
      <w:r>
        <w:t>Sign in and confirm your working region</w:t>
      </w:r>
    </w:p>
    <w:p>
      <w:pPr>
        <w:spacing w:after="120"/>
      </w:pPr>
      <w:r>
        <w:rPr>
          <w:b w:val="0"/>
          <w:i w:val="0"/>
          <w:sz w:val="21"/>
        </w:rPr>
        <w:t>Sign in to the AWS console for this engagement and set your region.</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Region</w:t>
            </w:r>
          </w:p>
        </w:tc>
        <w:tc>
          <w:tcPr>
            <w:tcW w:type="dxa" w:w="6576"/>
            <w:tcBorders>
              <w:top w:val="single" w:sz="4" w:space="0" w:color="E4DED3"/>
              <w:left w:val="single" w:sz="4" w:space="0" w:color="E4DED3"/>
              <w:bottom w:val="single" w:sz="4" w:space="0" w:color="E4DED3"/>
              <w:right w:val="single" w:sz="4" w:space="0" w:color="E4DED3"/>
            </w:tcBorders>
          </w:tcPr>
          <w:p>
            <w:r>
              <w:rPr>
                <w:sz w:val="19"/>
              </w:rPr>
              <w:t>us-east-1</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console with the region selector visible, showing the correct region.</w:t>
            </w:r>
          </w:p>
        </w:tc>
      </w:tr>
    </w:tbl>
    <w:p/>
    <w:p>
      <w:pPr>
        <w:spacing w:before="200" w:after="0"/>
      </w:pPr>
      <w:r>
        <w:rPr>
          <w:b/>
          <w:color w:val="1F5A5C"/>
          <w:sz w:val="16"/>
        </w:rPr>
        <w:t>TASK 2</w:t>
      </w:r>
    </w:p>
    <w:p>
      <w:pPr>
        <w:pStyle w:val="Heading2"/>
      </w:pPr>
      <w:r>
        <w:t>Create the VPC</w:t>
      </w:r>
    </w:p>
    <w:p>
      <w:pPr>
        <w:spacing w:after="120"/>
      </w:pPr>
      <w:r>
        <w:rPr>
          <w:b w:val="0"/>
          <w:i w:val="0"/>
          <w:sz w:val="21"/>
        </w:rPr>
        <w:t>Create the virtual private cloud all of this engagement's infrastructure sits in.</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yat-lms-vpc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IPv4 CIDR</w:t>
            </w:r>
          </w:p>
        </w:tc>
        <w:tc>
          <w:tcPr>
            <w:tcW w:type="dxa" w:w="6576"/>
            <w:tcBorders>
              <w:top w:val="single" w:sz="4" w:space="0" w:color="E4DED3"/>
              <w:left w:val="single" w:sz="4" w:space="0" w:color="E4DED3"/>
              <w:bottom w:val="single" w:sz="4" w:space="0" w:color="E4DED3"/>
              <w:right w:val="single" w:sz="4" w:space="0" w:color="E4DED3"/>
            </w:tcBorders>
          </w:tcPr>
          <w:p>
            <w:r>
              <w:rPr>
                <w:sz w:val="19"/>
              </w:rPr>
              <w:t>10.0.0.0/16</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DNS hostnames</w:t>
            </w:r>
          </w:p>
        </w:tc>
        <w:tc>
          <w:tcPr>
            <w:tcW w:type="dxa" w:w="6576"/>
            <w:tcBorders>
              <w:top w:val="single" w:sz="4" w:space="0" w:color="E4DED3"/>
              <w:left w:val="single" w:sz="4" w:space="0" w:color="E4DED3"/>
              <w:bottom w:val="single" w:sz="4" w:space="0" w:color="E4DED3"/>
              <w:right w:val="single" w:sz="4" w:space="0" w:color="E4DED3"/>
            </w:tcBorders>
          </w:tcPr>
          <w:p>
            <w:r>
              <w:rPr>
                <w:sz w:val="19"/>
              </w:rPr>
              <w:t>Enabled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DNS resolution</w:t>
            </w:r>
          </w:p>
        </w:tc>
        <w:tc>
          <w:tcPr>
            <w:tcW w:type="dxa" w:w="6576"/>
            <w:tcBorders>
              <w:top w:val="single" w:sz="4" w:space="0" w:color="E4DED3"/>
              <w:left w:val="single" w:sz="4" w:space="0" w:color="E4DED3"/>
              <w:bottom w:val="single" w:sz="4" w:space="0" w:color="E4DED3"/>
              <w:right w:val="single" w:sz="4" w:space="0" w:color="E4DED3"/>
            </w:tcBorders>
          </w:tcPr>
          <w:p>
            <w:r>
              <w:rPr>
                <w:sz w:val="19"/>
              </w:rPr>
              <w:t>Enabled</w:t>
            </w:r>
          </w:p>
        </w:tc>
      </w:tr>
    </w:tbl>
    <w:p/>
    <w:p>
      <w:pPr>
        <w:spacing w:after="60"/>
      </w:pPr>
      <w:r>
        <w:rPr>
          <w:b/>
          <w:i w:val="0"/>
          <w:sz w:val="21"/>
        </w:rPr>
        <w:t>Evidence</w:t>
      </w:r>
    </w:p>
    <w:p>
      <w:pPr>
        <w:spacing w:after="200"/>
      </w:pPr>
      <w:r>
        <w:rPr>
          <w:b w:val="0"/>
          <w:i/>
          <w:color w:val="6B6660"/>
          <w:sz w:val="19"/>
        </w:rPr>
        <w:t>No screenshot required. Creating the VPC is not an assessable action on its own — it is the prerequisite for everything that follows, all of which is built inside it.</w:t>
      </w:r>
    </w:p>
    <w:p>
      <w:pPr>
        <w:spacing w:before="200" w:after="0"/>
      </w:pPr>
      <w:r>
        <w:rPr>
          <w:b/>
          <w:color w:val="1F5A5C"/>
          <w:sz w:val="16"/>
        </w:rPr>
        <w:t>TASK 3</w:t>
      </w:r>
    </w:p>
    <w:p>
      <w:pPr>
        <w:pStyle w:val="Heading2"/>
      </w:pPr>
      <w:r>
        <w:t>Create the subnets</w:t>
      </w:r>
    </w:p>
    <w:p>
      <w:pPr>
        <w:spacing w:after="120"/>
      </w:pPr>
      <w:r>
        <w:rPr>
          <w:b w:val="0"/>
          <w:i w:val="0"/>
          <w:sz w:val="21"/>
        </w:rPr>
        <w:t>Create five subnets, using the names, address ranges and zones below. Set the zone yourself on every one — the console picks a default, and if two subnets that are meant to be in different zones end up in the same one, the load balancer and the database will both refuse to create later.</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public-web-a</w:t>
            </w:r>
          </w:p>
        </w:tc>
        <w:tc>
          <w:tcPr>
            <w:tcW w:type="dxa" w:w="6576"/>
            <w:tcBorders>
              <w:top w:val="single" w:sz="4" w:space="0" w:color="E4DED3"/>
              <w:left w:val="single" w:sz="4" w:space="0" w:color="E4DED3"/>
              <w:bottom w:val="single" w:sz="4" w:space="0" w:color="E4DED3"/>
              <w:right w:val="single" w:sz="4" w:space="0" w:color="E4DED3"/>
            </w:tcBorders>
          </w:tcPr>
          <w:p>
            <w:r>
              <w:rPr>
                <w:sz w:val="19"/>
              </w:rPr>
              <w:t>10.0.1.0/24  —  zone  us-east-1a</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public-web-b</w:t>
            </w:r>
          </w:p>
        </w:tc>
        <w:tc>
          <w:tcPr>
            <w:tcW w:type="dxa" w:w="6576"/>
            <w:tcBorders>
              <w:top w:val="single" w:sz="4" w:space="0" w:color="E4DED3"/>
              <w:left w:val="single" w:sz="4" w:space="0" w:color="E4DED3"/>
              <w:bottom w:val="single" w:sz="4" w:space="0" w:color="E4DED3"/>
              <w:right w:val="single" w:sz="4" w:space="0" w:color="E4DED3"/>
            </w:tcBorders>
          </w:tcPr>
          <w:p>
            <w:r>
              <w:rPr>
                <w:sz w:val="19"/>
              </w:rPr>
              <w:t>10.0.2.0/24  —  zone  us-east-1b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private-app-a</w:t>
            </w:r>
          </w:p>
        </w:tc>
        <w:tc>
          <w:tcPr>
            <w:tcW w:type="dxa" w:w="6576"/>
            <w:tcBorders>
              <w:top w:val="single" w:sz="4" w:space="0" w:color="E4DED3"/>
              <w:left w:val="single" w:sz="4" w:space="0" w:color="E4DED3"/>
              <w:bottom w:val="single" w:sz="4" w:space="0" w:color="E4DED3"/>
              <w:right w:val="single" w:sz="4" w:space="0" w:color="E4DED3"/>
            </w:tcBorders>
          </w:tcPr>
          <w:p>
            <w:r>
              <w:rPr>
                <w:sz w:val="19"/>
              </w:rPr>
              <w:t>10.0.11.0/24  —  zone  us-east-1a</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private-data-a</w:t>
            </w:r>
          </w:p>
        </w:tc>
        <w:tc>
          <w:tcPr>
            <w:tcW w:type="dxa" w:w="6576"/>
            <w:tcBorders>
              <w:top w:val="single" w:sz="4" w:space="0" w:color="E4DED3"/>
              <w:left w:val="single" w:sz="4" w:space="0" w:color="E4DED3"/>
              <w:bottom w:val="single" w:sz="4" w:space="0" w:color="E4DED3"/>
              <w:right w:val="single" w:sz="4" w:space="0" w:color="E4DED3"/>
            </w:tcBorders>
          </w:tcPr>
          <w:p>
            <w:r>
              <w:rPr>
                <w:sz w:val="19"/>
              </w:rPr>
              <w:t>10.0.21.0/24  —  zone  us-east-1a</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private-data-b</w:t>
            </w:r>
          </w:p>
        </w:tc>
        <w:tc>
          <w:tcPr>
            <w:tcW w:type="dxa" w:w="6576"/>
            <w:tcBorders>
              <w:top w:val="single" w:sz="4" w:space="0" w:color="E4DED3"/>
              <w:left w:val="single" w:sz="4" w:space="0" w:color="E4DED3"/>
              <w:bottom w:val="single" w:sz="4" w:space="0" w:color="E4DED3"/>
              <w:right w:val="single" w:sz="4" w:space="0" w:color="E4DED3"/>
            </w:tcBorders>
          </w:tcPr>
          <w:p>
            <w:r>
              <w:rPr>
                <w:sz w:val="19"/>
              </w:rPr>
              <w:t>10.0.22.0/24  —  zone  us-east-1b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Why five</w:t>
            </w:r>
          </w:p>
        </w:tc>
        <w:tc>
          <w:tcPr>
            <w:tcW w:type="dxa" w:w="6576"/>
            <w:tcBorders>
              <w:top w:val="single" w:sz="4" w:space="0" w:color="E4DED3"/>
              <w:left w:val="single" w:sz="4" w:space="0" w:color="E4DED3"/>
              <w:bottom w:val="single" w:sz="4" w:space="0" w:color="E4DED3"/>
              <w:right w:val="single" w:sz="4" w:space="0" w:color="E4DED3"/>
            </w:tcBorders>
          </w:tcPr>
          <w:p>
            <w:r>
              <w:rPr>
                <w:sz w:val="19"/>
              </w:rPr>
              <w:t>three carry your workload, all in us-east-1a. The two in us-east-1b exist only because the load balancer and the database subnet group each refuse to be created unless you give them subnets in two zones. Nothing is placed in those two</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subnet list filtered to your VPC, showing all five with their address ranges and, in particular, the Availability Zone column.</w:t>
            </w:r>
          </w:p>
        </w:tc>
      </w:tr>
    </w:tbl>
    <w:p/>
    <w:p>
      <w:pPr>
        <w:spacing w:before="200" w:after="0"/>
      </w:pPr>
      <w:r>
        <w:rPr>
          <w:b/>
          <w:color w:val="1F5A5C"/>
          <w:sz w:val="16"/>
        </w:rPr>
        <w:t>TASK 4</w:t>
      </w:r>
    </w:p>
    <w:p>
      <w:pPr>
        <w:pStyle w:val="Heading2"/>
      </w:pPr>
      <w:r>
        <w:t>Create the internet gateway</w:t>
      </w:r>
    </w:p>
    <w:p>
      <w:pPr>
        <w:spacing w:after="120"/>
      </w:pPr>
      <w:r>
        <w:rPr>
          <w:b w:val="0"/>
          <w:i w:val="0"/>
          <w:sz w:val="21"/>
        </w:rPr>
        <w:t>Create the gateway that gives the public subnet a path to the internet, and attach it to your VPC.</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yat-lms-igw</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Attach to</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yat-lms-vpc</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internet gateway showing State: Attached, and the VPC it is attached to.</w:t>
            </w:r>
          </w:p>
        </w:tc>
      </w:tr>
    </w:tbl>
    <w:p/>
    <w:p>
      <w:pPr>
        <w:spacing w:before="200" w:after="0"/>
      </w:pPr>
      <w:r>
        <w:rPr>
          <w:b/>
          <w:color w:val="1F5A5C"/>
          <w:sz w:val="16"/>
        </w:rPr>
        <w:t>TASK 5</w:t>
      </w:r>
    </w:p>
    <w:p>
      <w:pPr>
        <w:pStyle w:val="Heading2"/>
      </w:pPr>
      <w:r>
        <w:t>Create the NAT gateway</w:t>
      </w:r>
    </w:p>
    <w:p>
      <w:pPr>
        <w:spacing w:after="120"/>
      </w:pPr>
      <w:r>
        <w:rPr>
          <w:b w:val="0"/>
          <w:i w:val="0"/>
          <w:sz w:val="21"/>
        </w:rPr>
        <w:t>Create a NAT gateway, using the settings below. It lets the application servers reach out to the internet for updates and external services without anything on the internet being able to reach them. It sits in the public subnet and takes a few minutes to become available.</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yat-lms-nat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Subnet</w:t>
            </w:r>
          </w:p>
        </w:tc>
        <w:tc>
          <w:tcPr>
            <w:tcW w:type="dxa" w:w="6576"/>
            <w:tcBorders>
              <w:top w:val="single" w:sz="4" w:space="0" w:color="E4DED3"/>
              <w:left w:val="single" w:sz="4" w:space="0" w:color="E4DED3"/>
              <w:bottom w:val="single" w:sz="4" w:space="0" w:color="E4DED3"/>
              <w:right w:val="single" w:sz="4" w:space="0" w:color="E4DED3"/>
            </w:tcBorders>
          </w:tcPr>
          <w:p>
            <w:r>
              <w:rPr>
                <w:sz w:val="19"/>
              </w:rPr>
              <w:t>public-web-a — the NAT gateway goes in the public subnet, not the one it serves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Connectivity type</w:t>
            </w:r>
          </w:p>
        </w:tc>
        <w:tc>
          <w:tcPr>
            <w:tcW w:type="dxa" w:w="6576"/>
            <w:tcBorders>
              <w:top w:val="single" w:sz="4" w:space="0" w:color="E4DED3"/>
              <w:left w:val="single" w:sz="4" w:space="0" w:color="E4DED3"/>
              <w:bottom w:val="single" w:sz="4" w:space="0" w:color="E4DED3"/>
              <w:right w:val="single" w:sz="4" w:space="0" w:color="E4DED3"/>
            </w:tcBorders>
          </w:tcPr>
          <w:p>
            <w:r>
              <w:rPr>
                <w:sz w:val="19"/>
              </w:rPr>
              <w:t>Public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Elastic IP</w:t>
            </w:r>
          </w:p>
        </w:tc>
        <w:tc>
          <w:tcPr>
            <w:tcW w:type="dxa" w:w="6576"/>
            <w:tcBorders>
              <w:top w:val="single" w:sz="4" w:space="0" w:color="E4DED3"/>
              <w:left w:val="single" w:sz="4" w:space="0" w:color="E4DED3"/>
              <w:bottom w:val="single" w:sz="4" w:space="0" w:color="E4DED3"/>
              <w:right w:val="single" w:sz="4" w:space="0" w:color="E4DED3"/>
            </w:tcBorders>
          </w:tcPr>
          <w:p>
            <w:r>
              <w:rPr>
                <w:sz w:val="19"/>
              </w:rPr>
              <w:t>allocate a new one here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Before moving on</w:t>
            </w:r>
          </w:p>
        </w:tc>
        <w:tc>
          <w:tcPr>
            <w:tcW w:type="dxa" w:w="6576"/>
            <w:tcBorders>
              <w:top w:val="single" w:sz="4" w:space="0" w:color="E4DED3"/>
              <w:left w:val="single" w:sz="4" w:space="0" w:color="E4DED3"/>
              <w:bottom w:val="single" w:sz="4" w:space="0" w:color="E4DED3"/>
              <w:right w:val="single" w:sz="4" w:space="0" w:color="E4DED3"/>
            </w:tcBorders>
          </w:tcPr>
          <w:p>
            <w:r>
              <w:rPr>
                <w:sz w:val="19"/>
              </w:rPr>
              <w:t>wait until its state reads Available — you cannot route to it until then</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NAT gateway showing State: Available, its subnet and its Elastic IP.</w:t>
            </w:r>
          </w:p>
        </w:tc>
      </w:tr>
    </w:tbl>
    <w:p/>
    <w:p>
      <w:pPr>
        <w:spacing w:before="200" w:after="0"/>
      </w:pPr>
      <w:r>
        <w:rPr>
          <w:b/>
          <w:color w:val="1F5A5C"/>
          <w:sz w:val="16"/>
        </w:rPr>
        <w:t>TASK 6</w:t>
      </w:r>
    </w:p>
    <w:p>
      <w:pPr>
        <w:pStyle w:val="Heading2"/>
      </w:pPr>
      <w:r>
        <w:t>Create the route tables</w:t>
      </w:r>
    </w:p>
    <w:p>
      <w:pPr>
        <w:spacing w:after="120"/>
      </w:pPr>
      <w:r>
        <w:rPr>
          <w:b w:val="0"/>
          <w:i w:val="0"/>
          <w:sz w:val="21"/>
        </w:rPr>
        <w:t>Create two route tables, using the settings below. The data subnets are deliberately left on the default route table the VPC already has, which carries no internet route at all — which is exactly what a database tier should have.</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public-rt</w:t>
            </w:r>
          </w:p>
        </w:tc>
        <w:tc>
          <w:tcPr>
            <w:tcW w:type="dxa" w:w="6576"/>
            <w:tcBorders>
              <w:top w:val="single" w:sz="4" w:space="0" w:color="E4DED3"/>
              <w:left w:val="single" w:sz="4" w:space="0" w:color="E4DED3"/>
              <w:bottom w:val="single" w:sz="4" w:space="0" w:color="E4DED3"/>
              <w:right w:val="single" w:sz="4" w:space="0" w:color="E4DED3"/>
            </w:tcBorders>
          </w:tcPr>
          <w:p>
            <w:r>
              <w:rPr>
                <w:sz w:val="19"/>
              </w:rPr>
              <w:t>associated with public-web-a AND public-web-b; 0.0.0.0/0 → the internet gateway</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private-app-rt</w:t>
            </w:r>
          </w:p>
        </w:tc>
        <w:tc>
          <w:tcPr>
            <w:tcW w:type="dxa" w:w="6576"/>
            <w:tcBorders>
              <w:top w:val="single" w:sz="4" w:space="0" w:color="E4DED3"/>
              <w:left w:val="single" w:sz="4" w:space="0" w:color="E4DED3"/>
              <w:bottom w:val="single" w:sz="4" w:space="0" w:color="E4DED3"/>
              <w:right w:val="single" w:sz="4" w:space="0" w:color="E4DED3"/>
            </w:tcBorders>
          </w:tcPr>
          <w:p>
            <w:r>
              <w:rPr>
                <w:sz w:val="19"/>
              </w:rPr>
              <w:t>associated with private-app-a; 0.0.0.0/0 → the NAT gateway</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The data subnets</w:t>
            </w:r>
          </w:p>
        </w:tc>
        <w:tc>
          <w:tcPr>
            <w:tcW w:type="dxa" w:w="6576"/>
            <w:tcBorders>
              <w:top w:val="single" w:sz="4" w:space="0" w:color="E4DED3"/>
              <w:left w:val="single" w:sz="4" w:space="0" w:color="E4DED3"/>
              <w:bottom w:val="single" w:sz="4" w:space="0" w:color="E4DED3"/>
              <w:right w:val="single" w:sz="4" w:space="0" w:color="E4DED3"/>
            </w:tcBorders>
          </w:tcPr>
          <w:p>
            <w:r>
              <w:rPr>
                <w:sz w:val="19"/>
              </w:rPr>
              <w:t>leave them alone — no route table of your own</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both route tables, showing their routes and their subnet associations.</w:t>
            </w:r>
          </w:p>
        </w:tc>
      </w:tr>
    </w:tbl>
    <w:p/>
    <w:p>
      <w:pPr>
        <w:spacing w:before="200" w:after="0"/>
      </w:pPr>
      <w:r>
        <w:rPr>
          <w:b/>
          <w:color w:val="1F5A5C"/>
          <w:sz w:val="16"/>
        </w:rPr>
        <w:t>TASK 7</w:t>
      </w:r>
    </w:p>
    <w:p>
      <w:pPr>
        <w:pStyle w:val="Heading2"/>
      </w:pPr>
      <w:r>
        <w:t>Create the three security groups</w:t>
      </w:r>
    </w:p>
    <w:p>
      <w:pPr>
        <w:spacing w:after="120"/>
      </w:pPr>
      <w:r>
        <w:rPr>
          <w:b w:val="0"/>
          <w:i w:val="0"/>
          <w:sz w:val="21"/>
        </w:rPr>
        <w:t>Create three security groups, using the names and rules below. Create all three as empty shells first, then go back and add the rules — each one names the others as a source, which you cannot do until they exist. AWS will not accept a name starting with sg- : that prefix is reserved for the IDs it generates.</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yat-lms-alb-sg</w:t>
            </w:r>
          </w:p>
        </w:tc>
        <w:tc>
          <w:tcPr>
            <w:tcW w:type="dxa" w:w="6576"/>
            <w:tcBorders>
              <w:top w:val="single" w:sz="4" w:space="0" w:color="E4DED3"/>
              <w:left w:val="single" w:sz="4" w:space="0" w:color="E4DED3"/>
              <w:bottom w:val="single" w:sz="4" w:space="0" w:color="E4DED3"/>
              <w:right w:val="single" w:sz="4" w:space="0" w:color="E4DED3"/>
            </w:tcBorders>
          </w:tcPr>
          <w:p>
            <w:r>
              <w:rPr>
                <w:sz w:val="19"/>
              </w:rPr>
              <w:t>inbound HTTP 80 from 0.0.0.0/0</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yat-lms-app-sg</w:t>
            </w:r>
          </w:p>
        </w:tc>
        <w:tc>
          <w:tcPr>
            <w:tcW w:type="dxa" w:w="6576"/>
            <w:tcBorders>
              <w:top w:val="single" w:sz="4" w:space="0" w:color="E4DED3"/>
              <w:left w:val="single" w:sz="4" w:space="0" w:color="E4DED3"/>
              <w:bottom w:val="single" w:sz="4" w:space="0" w:color="E4DED3"/>
              <w:right w:val="single" w:sz="4" w:space="0" w:color="E4DED3"/>
            </w:tcBorders>
          </w:tcPr>
          <w:p>
            <w:r>
              <w:rPr>
                <w:sz w:val="19"/>
              </w:rPr>
              <w:t>inbound HTTP 80 from yat-lms-alb-sg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yat-lms-db-sg</w:t>
            </w:r>
          </w:p>
        </w:tc>
        <w:tc>
          <w:tcPr>
            <w:tcW w:type="dxa" w:w="6576"/>
            <w:tcBorders>
              <w:top w:val="single" w:sz="4" w:space="0" w:color="E4DED3"/>
              <w:left w:val="single" w:sz="4" w:space="0" w:color="E4DED3"/>
              <w:bottom w:val="single" w:sz="4" w:space="0" w:color="E4DED3"/>
              <w:right w:val="single" w:sz="4" w:space="0" w:color="E4DED3"/>
            </w:tcBorders>
          </w:tcPr>
          <w:p>
            <w:r>
              <w:rPr>
                <w:sz w:val="19"/>
              </w:rPr>
              <w:t>inbound MySQL 3306 from yat-lms-app-sg only</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Outbound</w:t>
            </w:r>
          </w:p>
        </w:tc>
        <w:tc>
          <w:tcPr>
            <w:tcW w:type="dxa" w:w="6576"/>
            <w:tcBorders>
              <w:top w:val="single" w:sz="4" w:space="0" w:color="E4DED3"/>
              <w:left w:val="single" w:sz="4" w:space="0" w:color="E4DED3"/>
              <w:bottom w:val="single" w:sz="4" w:space="0" w:color="E4DED3"/>
              <w:right w:val="single" w:sz="4" w:space="0" w:color="E4DED3"/>
            </w:tcBorders>
          </w:tcPr>
          <w:p>
            <w:r>
              <w:rPr>
                <w:sz w:val="19"/>
              </w:rPr>
              <w:t>leave the default allow-all on all three</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all three security groups with their inbound rules expanded.</w:t>
            </w:r>
          </w:p>
        </w:tc>
      </w:tr>
    </w:tbl>
    <w:p/>
    <w:p>
      <w:pPr>
        <w:spacing w:before="200" w:after="0"/>
      </w:pPr>
      <w:r>
        <w:rPr>
          <w:b/>
          <w:color w:val="1F5A5C"/>
          <w:sz w:val="16"/>
        </w:rPr>
        <w:t>TASK 8</w:t>
      </w:r>
    </w:p>
    <w:p>
      <w:pPr>
        <w:pStyle w:val="Heading2"/>
      </w:pPr>
      <w:r>
        <w:t>Configure the access model</w:t>
      </w:r>
    </w:p>
    <w:p>
      <w:pPr>
        <w:spacing w:after="120"/>
      </w:pPr>
      <w:r>
        <w:rPr>
          <w:b w:val="0"/>
          <w:i w:val="0"/>
          <w:sz w:val="21"/>
        </w:rPr>
        <w:t>Create the group that will operate the platform after handover, and a user in it. Complete each form with the values below, submit it, and capture the result.</w:t>
      </w:r>
    </w:p>
    <w:p>
      <w:pPr>
        <w:spacing w:before="80" w:after="160"/>
        <w:ind w:left="227"/>
      </w:pPr>
      <w:r>
        <w:rPr>
          <w:b/>
          <w:color w:val="C5613B"/>
          <w:sz w:val="19"/>
        </w:rPr>
        <w:t xml:space="preserve">Environment constraint </w:t>
      </w:r>
      <w:r>
        <w:rPr>
          <w:i/>
          <w:color w:val="C5613B"/>
          <w:sz w:val="19"/>
        </w:rPr>
        <w:t>the lab environment does not permit groups or users to be created. This is a known constraint of the AWS educational environment, not a fault in your work — you will be refused, and the refusal is what you capture.</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Group name</w:t>
            </w:r>
          </w:p>
        </w:tc>
        <w:tc>
          <w:tcPr>
            <w:tcW w:type="dxa" w:w="6576"/>
            <w:tcBorders>
              <w:top w:val="single" w:sz="4" w:space="0" w:color="E4DED3"/>
              <w:left w:val="single" w:sz="4" w:space="0" w:color="E4DED3"/>
              <w:bottom w:val="single" w:sz="4" w:space="0" w:color="E4DED3"/>
              <w:right w:val="single" w:sz="4" w:space="0" w:color="E4DED3"/>
            </w:tcBorders>
          </w:tcPr>
          <w:p>
            <w:r>
              <w:rPr>
                <w:sz w:val="19"/>
              </w:rPr>
              <w:t>YAT-ICT-Admins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Policy on the group</w:t>
            </w:r>
          </w:p>
        </w:tc>
        <w:tc>
          <w:tcPr>
            <w:tcW w:type="dxa" w:w="6576"/>
            <w:tcBorders>
              <w:top w:val="single" w:sz="4" w:space="0" w:color="E4DED3"/>
              <w:left w:val="single" w:sz="4" w:space="0" w:color="E4DED3"/>
              <w:bottom w:val="single" w:sz="4" w:space="0" w:color="E4DED3"/>
              <w:right w:val="single" w:sz="4" w:space="0" w:color="E4DED3"/>
            </w:tcBorders>
          </w:tcPr>
          <w:p>
            <w:r>
              <w:rPr>
                <w:sz w:val="19"/>
              </w:rPr>
              <w:t>ReadOnlyAccess  — filter for it and pick the policy named exactly that, not one of the service-specific ones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User name</w:t>
            </w:r>
          </w:p>
        </w:tc>
        <w:tc>
          <w:tcPr>
            <w:tcW w:type="dxa" w:w="6576"/>
            <w:tcBorders>
              <w:top w:val="single" w:sz="4" w:space="0" w:color="E4DED3"/>
              <w:left w:val="single" w:sz="4" w:space="0" w:color="E4DED3"/>
              <w:bottom w:val="single" w:sz="4" w:space="0" w:color="E4DED3"/>
              <w:right w:val="single" w:sz="4" w:space="0" w:color="E4DED3"/>
            </w:tcBorders>
          </w:tcPr>
          <w:p>
            <w:r>
              <w:rPr>
                <w:sz w:val="19"/>
              </w:rPr>
              <w:t>swalker  (Sam Walker, YAT IT Manager)</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Policy on the user</w:t>
            </w:r>
          </w:p>
        </w:tc>
        <w:tc>
          <w:tcPr>
            <w:tcW w:type="dxa" w:w="6576"/>
            <w:tcBorders>
              <w:top w:val="single" w:sz="4" w:space="0" w:color="E4DED3"/>
              <w:left w:val="single" w:sz="4" w:space="0" w:color="E4DED3"/>
              <w:bottom w:val="single" w:sz="4" w:space="0" w:color="E4DED3"/>
              <w:right w:val="single" w:sz="4" w:space="0" w:color="E4DED3"/>
            </w:tcBorders>
          </w:tcPr>
          <w:p>
            <w:r>
              <w:rPr>
                <w:sz w:val="19"/>
              </w:rPr>
              <w:t>CloudWatchFullAccess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Expected result</w:t>
            </w:r>
          </w:p>
        </w:tc>
        <w:tc>
          <w:tcPr>
            <w:tcW w:type="dxa" w:w="6576"/>
            <w:tcBorders>
              <w:top w:val="single" w:sz="4" w:space="0" w:color="E4DED3"/>
              <w:left w:val="single" w:sz="4" w:space="0" w:color="E4DED3"/>
              <w:bottom w:val="single" w:sz="4" w:space="0" w:color="E4DED3"/>
              <w:right w:val="single" w:sz="4" w:space="0" w:color="E4DED3"/>
            </w:tcBorders>
          </w:tcPr>
          <w:p>
            <w:r>
              <w:rPr>
                <w:sz w:val="19"/>
              </w:rPr>
              <w:t>both submissions are refused with a permissions error</w:t>
            </w:r>
          </w:p>
        </w:tc>
      </w:tr>
    </w:tbl>
    <w:p/>
    <w:p>
      <w:pPr>
        <w:spacing w:after="60"/>
      </w:pPr>
      <w:r>
        <w:rPr>
          <w:b/>
          <w:i w:val="0"/>
          <w:sz w:val="21"/>
        </w:rPr>
        <w:t>Your decision</w:t>
      </w:r>
    </w:p>
    <w:p>
      <w:pPr>
        <w:spacing w:after="120"/>
      </w:pPr>
      <w:r>
        <w:rPr>
          <w:b w:val="0"/>
          <w:i/>
          <w:color w:val="6B6660"/>
          <w:sz w:val="19"/>
        </w:rPr>
        <w:t>Why does this group get read access to everything but no ability to change identity settings, when it is the group that operates the whole platform?</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completed group form — YAT-ICT-Admins with ReadOnlyAccess attached — and the error returned.</w:t>
            </w:r>
          </w:p>
        </w:tc>
      </w:tr>
    </w:tbl>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completed user form — swalker with CloudWatchFullAccess attached — and the error returned.</w:t>
            </w:r>
          </w:p>
        </w:tc>
      </w:tr>
    </w:tbl>
    <w:p/>
    <w:p>
      <w:pPr>
        <w:spacing w:before="200" w:after="0"/>
      </w:pPr>
      <w:r>
        <w:rPr>
          <w:b/>
          <w:color w:val="1F5A5C"/>
          <w:sz w:val="16"/>
        </w:rPr>
        <w:t>TASK 9</w:t>
      </w:r>
    </w:p>
    <w:p>
      <w:pPr>
        <w:pStyle w:val="Heading2"/>
      </w:pPr>
      <w:r>
        <w:t>Review the instance role</w:t>
      </w:r>
    </w:p>
    <w:p>
      <w:pPr>
        <w:spacing w:after="120"/>
      </w:pPr>
      <w:r>
        <w:rPr>
          <w:b w:val="0"/>
          <w:i w:val="0"/>
          <w:sz w:val="21"/>
        </w:rPr>
        <w:t>Open the role named below and look at the policies attached to it, then write its name down. Your servers reach the storage buckets and the logging service through this role, so no credentials are ever stored on a server. You select it in the next task.</w:t>
      </w:r>
    </w:p>
    <w:p>
      <w:pPr>
        <w:spacing w:before="80" w:after="160"/>
        <w:ind w:left="227"/>
      </w:pPr>
      <w:r>
        <w:rPr>
          <w:b/>
          <w:color w:val="C5613B"/>
          <w:sz w:val="19"/>
        </w:rPr>
        <w:t xml:space="preserve">Environment constraint </w:t>
      </w:r>
      <w:r>
        <w:rPr>
          <w:i/>
          <w:color w:val="C5613B"/>
          <w:sz w:val="19"/>
        </w:rPr>
        <w:t>the lab environment supplies this role ready-made and does not permit you to create your own, so this task is a review rather than a build.</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Go to</w:t>
            </w:r>
          </w:p>
        </w:tc>
        <w:tc>
          <w:tcPr>
            <w:tcW w:type="dxa" w:w="6576"/>
            <w:tcBorders>
              <w:top w:val="single" w:sz="4" w:space="0" w:color="E4DED3"/>
              <w:left w:val="single" w:sz="4" w:space="0" w:color="E4DED3"/>
              <w:bottom w:val="single" w:sz="4" w:space="0" w:color="E4DED3"/>
              <w:right w:val="single" w:sz="4" w:space="0" w:color="E4DED3"/>
            </w:tcBorders>
          </w:tcPr>
          <w:p>
            <w:r>
              <w:rPr>
                <w:sz w:val="19"/>
              </w:rPr>
              <w:t>IAM → Roles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Open</w:t>
            </w:r>
          </w:p>
        </w:tc>
        <w:tc>
          <w:tcPr>
            <w:tcW w:type="dxa" w:w="6576"/>
            <w:tcBorders>
              <w:top w:val="single" w:sz="4" w:space="0" w:color="E4DED3"/>
              <w:left w:val="single" w:sz="4" w:space="0" w:color="E4DED3"/>
              <w:bottom w:val="single" w:sz="4" w:space="0" w:color="E4DED3"/>
              <w:right w:val="single" w:sz="4" w:space="0" w:color="E4DED3"/>
            </w:tcBorders>
          </w:tcPr>
          <w:p>
            <w:r>
              <w:rPr>
                <w:sz w:val="19"/>
              </w:rPr>
              <w:t>LabRole  (the role the environment provides)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Look at</w:t>
            </w:r>
          </w:p>
        </w:tc>
        <w:tc>
          <w:tcPr>
            <w:tcW w:type="dxa" w:w="6576"/>
            <w:tcBorders>
              <w:top w:val="single" w:sz="4" w:space="0" w:color="E4DED3"/>
              <w:left w:val="single" w:sz="4" w:space="0" w:color="E4DED3"/>
              <w:bottom w:val="single" w:sz="4" w:space="0" w:color="E4DED3"/>
              <w:right w:val="single" w:sz="4" w:space="0" w:color="E4DED3"/>
            </w:tcBorders>
          </w:tcPr>
          <w:p>
            <w:r>
              <w:rPr>
                <w:sz w:val="19"/>
              </w:rPr>
              <w:t>the Permissions tab — the policies attached to it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Answer for yourself</w:t>
            </w:r>
          </w:p>
        </w:tc>
        <w:tc>
          <w:tcPr>
            <w:tcW w:type="dxa" w:w="6576"/>
            <w:tcBorders>
              <w:top w:val="single" w:sz="4" w:space="0" w:color="E4DED3"/>
              <w:left w:val="single" w:sz="4" w:space="0" w:color="E4DED3"/>
              <w:bottom w:val="single" w:sz="4" w:space="0" w:color="E4DED3"/>
              <w:right w:val="single" w:sz="4" w:space="0" w:color="E4DED3"/>
            </w:tcBorders>
          </w:tcPr>
          <w:p>
            <w:r>
              <w:rPr>
                <w:sz w:val="19"/>
              </w:rPr>
              <w:t>which services does it let your servers reach?</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Write down</w:t>
            </w:r>
          </w:p>
        </w:tc>
        <w:tc>
          <w:tcPr>
            <w:tcW w:type="dxa" w:w="6576"/>
            <w:tcBorders>
              <w:top w:val="single" w:sz="4" w:space="0" w:color="E4DED3"/>
              <w:left w:val="single" w:sz="4" w:space="0" w:color="E4DED3"/>
              <w:bottom w:val="single" w:sz="4" w:space="0" w:color="E4DED3"/>
              <w:right w:val="single" w:sz="4" w:space="0" w:color="E4DED3"/>
            </w:tcBorders>
          </w:tcPr>
          <w:p>
            <w:r>
              <w:rPr>
                <w:sz w:val="19"/>
              </w:rPr>
              <w:t>the role name, exactly as shown — task 10 asks for it</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LabRole summary page with the Permissions tab open, showing the policies attached to it.</w:t>
            </w:r>
          </w:p>
        </w:tc>
      </w:tr>
    </w:tbl>
    <w:p/>
    <w:p>
      <w:pPr>
        <w:spacing w:before="200" w:after="0"/>
      </w:pPr>
      <w:r>
        <w:rPr>
          <w:b/>
          <w:color w:val="1F5A5C"/>
          <w:sz w:val="16"/>
        </w:rPr>
        <w:t>TASK 10</w:t>
      </w:r>
    </w:p>
    <w:p>
      <w:pPr>
        <w:pStyle w:val="Heading2"/>
      </w:pPr>
      <w:r>
        <w:t>Create the launch template</w:t>
      </w:r>
    </w:p>
    <w:p>
      <w:pPr>
        <w:spacing w:after="120"/>
      </w:pPr>
      <w:r>
        <w:rPr>
          <w:b w:val="0"/>
          <w:i w:val="0"/>
          <w:sz w:val="21"/>
        </w:rPr>
        <w:t>Create a launch template, using the settings below. It defines how every application server is built. The Auto Scaling group creates servers from it, so nothing is configured on a server by hand.</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yat-lms-lt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AMI</w:t>
            </w:r>
          </w:p>
        </w:tc>
        <w:tc>
          <w:tcPr>
            <w:tcW w:type="dxa" w:w="6576"/>
            <w:tcBorders>
              <w:top w:val="single" w:sz="4" w:space="0" w:color="E4DED3"/>
              <w:left w:val="single" w:sz="4" w:space="0" w:color="E4DED3"/>
              <w:bottom w:val="single" w:sz="4" w:space="0" w:color="E4DED3"/>
              <w:right w:val="single" w:sz="4" w:space="0" w:color="E4DED3"/>
            </w:tcBorders>
          </w:tcPr>
          <w:p>
            <w:r>
              <w:rPr>
                <w:sz w:val="19"/>
              </w:rPr>
              <w:t>Windows Server (latest available)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Instance type</w:t>
            </w:r>
          </w:p>
        </w:tc>
        <w:tc>
          <w:tcPr>
            <w:tcW w:type="dxa" w:w="6576"/>
            <w:tcBorders>
              <w:top w:val="single" w:sz="4" w:space="0" w:color="E4DED3"/>
              <w:left w:val="single" w:sz="4" w:space="0" w:color="E4DED3"/>
              <w:bottom w:val="single" w:sz="4" w:space="0" w:color="E4DED3"/>
              <w:right w:val="single" w:sz="4" w:space="0" w:color="E4DED3"/>
            </w:tcBorders>
          </w:tcPr>
          <w:p>
            <w:r>
              <w:rPr>
                <w:sz w:val="19"/>
              </w:rPr>
              <w:t>your choice — see the decision below</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Key pair</w:t>
            </w:r>
          </w:p>
        </w:tc>
        <w:tc>
          <w:tcPr>
            <w:tcW w:type="dxa" w:w="6576"/>
            <w:tcBorders>
              <w:top w:val="single" w:sz="4" w:space="0" w:color="E4DED3"/>
              <w:left w:val="single" w:sz="4" w:space="0" w:color="E4DED3"/>
              <w:bottom w:val="single" w:sz="4" w:space="0" w:color="E4DED3"/>
              <w:right w:val="single" w:sz="4" w:space="0" w:color="E4DED3"/>
            </w:tcBorders>
          </w:tcPr>
          <w:p>
            <w:r>
              <w:rPr>
                <w:sz w:val="19"/>
              </w:rPr>
              <w:t>do not include one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Subnet</w:t>
            </w:r>
          </w:p>
        </w:tc>
        <w:tc>
          <w:tcPr>
            <w:tcW w:type="dxa" w:w="6576"/>
            <w:tcBorders>
              <w:top w:val="single" w:sz="4" w:space="0" w:color="E4DED3"/>
              <w:left w:val="single" w:sz="4" w:space="0" w:color="E4DED3"/>
              <w:bottom w:val="single" w:sz="4" w:space="0" w:color="E4DED3"/>
              <w:right w:val="single" w:sz="4" w:space="0" w:color="E4DED3"/>
            </w:tcBorders>
          </w:tcPr>
          <w:p>
            <w:r>
              <w:rPr>
                <w:sz w:val="19"/>
              </w:rPr>
              <w:t>do not include one — the Auto Scaling group supplies it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Security group</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yat-lms-app-sg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Root volume</w:t>
            </w:r>
          </w:p>
        </w:tc>
        <w:tc>
          <w:tcPr>
            <w:tcW w:type="dxa" w:w="6576"/>
            <w:tcBorders>
              <w:top w:val="single" w:sz="4" w:space="0" w:color="E4DED3"/>
              <w:left w:val="single" w:sz="4" w:space="0" w:color="E4DED3"/>
              <w:bottom w:val="single" w:sz="4" w:space="0" w:color="E4DED3"/>
              <w:right w:val="single" w:sz="4" w:space="0" w:color="E4DED3"/>
            </w:tcBorders>
          </w:tcPr>
          <w:p>
            <w:r>
              <w:rPr>
                <w:sz w:val="19"/>
              </w:rPr>
              <w:t>gp3, 30 GB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Data volume</w:t>
            </w:r>
          </w:p>
        </w:tc>
        <w:tc>
          <w:tcPr>
            <w:tcW w:type="dxa" w:w="6576"/>
            <w:tcBorders>
              <w:top w:val="single" w:sz="4" w:space="0" w:color="E4DED3"/>
              <w:left w:val="single" w:sz="4" w:space="0" w:color="E4DED3"/>
              <w:bottom w:val="single" w:sz="4" w:space="0" w:color="E4DED3"/>
              <w:right w:val="single" w:sz="4" w:space="0" w:color="E4DED3"/>
            </w:tcBorders>
          </w:tcPr>
          <w:p>
            <w:r>
              <w:rPr>
                <w:sz w:val="19"/>
              </w:rPr>
              <w:t>add a second volume: gp3, 8 GB, device name xvdb. The console will not accept the volume without a device name, and the /dev/sd... names are greyed out because this is a Windows image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Advanced details → IAM instance profile</w:t>
            </w:r>
          </w:p>
        </w:tc>
        <w:tc>
          <w:tcPr>
            <w:tcW w:type="dxa" w:w="6576"/>
            <w:tcBorders>
              <w:top w:val="single" w:sz="4" w:space="0" w:color="E4DED3"/>
              <w:left w:val="single" w:sz="4" w:space="0" w:color="E4DED3"/>
              <w:bottom w:val="single" w:sz="4" w:space="0" w:color="E4DED3"/>
              <w:right w:val="single" w:sz="4" w:space="0" w:color="E4DED3"/>
            </w:tcBorders>
          </w:tcPr>
          <w:p>
            <w:r>
              <w:rPr>
                <w:sz w:val="19"/>
              </w:rPr>
              <w:t>LabInstanceProfile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Advanced details → User data</w:t>
            </w:r>
          </w:p>
        </w:tc>
        <w:tc>
          <w:tcPr>
            <w:tcW w:type="dxa" w:w="6576"/>
            <w:tcBorders>
              <w:top w:val="single" w:sz="4" w:space="0" w:color="E4DED3"/>
              <w:left w:val="single" w:sz="4" w:space="0" w:color="E4DED3"/>
              <w:bottom w:val="single" w:sz="4" w:space="0" w:color="E4DED3"/>
              <w:right w:val="single" w:sz="4" w:space="0" w:color="E4DED3"/>
            </w:tcBorders>
          </w:tcPr>
          <w:p>
            <w:r>
              <w:rPr>
                <w:sz w:val="19"/>
              </w:rPr>
              <w:t>the script below, exactly as written</w:t>
            </w:r>
          </w:p>
        </w:tc>
      </w:tr>
    </w:tbl>
    <w:p/>
    <w:p>
      <w:pPr>
        <w:spacing w:after="60"/>
      </w:pPr>
      <w:r>
        <w:rPr>
          <w:b/>
          <w:i w:val="0"/>
          <w:sz w:val="21"/>
        </w:rPr>
        <w:t>User data</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spacing w:after="0"/>
            </w:pPr>
            <w:r>
              <w:rPr>
                <w:rFonts w:ascii="Consolas" w:hAnsi="Consolas"/>
                <w:sz w:val="18"/>
              </w:rPr>
              <w:t>&lt;powershell&gt;</w:t>
            </w:r>
          </w:p>
          <w:p>
            <w:pPr>
              <w:spacing w:after="0"/>
            </w:pPr>
            <w:r>
              <w:rPr>
                <w:rFonts w:ascii="Consolas" w:hAnsi="Consolas"/>
                <w:sz w:val="18"/>
              </w:rPr>
              <w:t>Install-WindowsFeature -Name Web-Server -IncludeManagementTools</w:t>
            </w:r>
          </w:p>
          <w:p>
            <w:pPr>
              <w:spacing w:after="0"/>
            </w:pPr>
            <w:r>
              <w:rPr>
                <w:rFonts w:ascii="Consolas" w:hAnsi="Consolas"/>
                <w:sz w:val="18"/>
              </w:rPr>
              <w:t>Set-Content -Path "C:\inetpub\wwwroot\index.html" -Value "&lt;html&gt;&lt;body&gt;</w:t>
            </w:r>
          </w:p>
          <w:p>
            <w:pPr>
              <w:spacing w:after="0"/>
            </w:pPr>
            <w:r>
              <w:rPr>
                <w:rFonts w:ascii="Consolas" w:hAnsi="Consolas"/>
                <w:sz w:val="18"/>
              </w:rPr>
              <w:t>&lt;h1&gt;YAT LMS&lt;/h1&gt;&lt;p&gt;Infrastructure ready - awaiting application</w:t>
            </w:r>
          </w:p>
          <w:p>
            <w:pPr>
              <w:spacing w:after="0"/>
            </w:pPr>
            <w:r>
              <w:rPr>
                <w:rFonts w:ascii="Consolas" w:hAnsi="Consolas"/>
                <w:sz w:val="18"/>
              </w:rPr>
              <w:t>deployment.&lt;/p&gt;&lt;/body&gt;&lt;/html&gt;"</w:t>
            </w:r>
          </w:p>
          <w:p>
            <w:pPr>
              <w:spacing w:after="0"/>
            </w:pPr>
            <w:r>
              <w:rPr>
                <w:rFonts w:ascii="Consolas" w:hAnsi="Consolas"/>
                <w:sz w:val="18"/>
              </w:rPr>
              <w:t>&lt;/powershell&gt;</w:t>
            </w:r>
          </w:p>
        </w:tc>
      </w:tr>
    </w:tbl>
    <w:p/>
    <w:p>
      <w:pPr>
        <w:spacing w:after="60"/>
      </w:pPr>
      <w:r>
        <w:rPr>
          <w:b/>
          <w:i w:val="0"/>
          <w:sz w:val="21"/>
        </w:rPr>
        <w:t>Your decision</w:t>
      </w:r>
    </w:p>
    <w:p>
      <w:pPr>
        <w:spacing w:after="120"/>
      </w:pPr>
      <w:r>
        <w:rPr>
          <w:b w:val="0"/>
          <w:i/>
          <w:color w:val="6B6660"/>
          <w:sz w:val="19"/>
        </w:rPr>
        <w:t>Choose the instance type for the application tier: t3.micro or t3.small. Name the one you did not choose, say which you chose, and explain why against the LMS workload described in the LMS Application Specification.</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launch template summary, showing the AMI, instance type, instance profile, security group and both volumes.</w:t>
            </w:r>
          </w:p>
        </w:tc>
      </w:tr>
    </w:tbl>
    <w:p/>
    <w:p>
      <w:pPr>
        <w:spacing w:before="200" w:after="0"/>
      </w:pPr>
      <w:r>
        <w:rPr>
          <w:b/>
          <w:color w:val="1F5A5C"/>
          <w:sz w:val="16"/>
        </w:rPr>
        <w:t>TASK 11</w:t>
      </w:r>
    </w:p>
    <w:p>
      <w:pPr>
        <w:pStyle w:val="Heading2"/>
      </w:pPr>
      <w:r>
        <w:t>Create the target group</w:t>
      </w:r>
    </w:p>
    <w:p>
      <w:pPr>
        <w:spacing w:after="120"/>
      </w:pPr>
      <w:r>
        <w:rPr>
          <w:b w:val="0"/>
          <w:i w:val="0"/>
          <w:sz w:val="21"/>
        </w:rPr>
        <w:t>Create a target group, using the settings below. It is the list of servers the load balancer will send traffic to, and the health check that decides which of them are fit to receive it.</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yat-lms-tg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Target type</w:t>
            </w:r>
          </w:p>
        </w:tc>
        <w:tc>
          <w:tcPr>
            <w:tcW w:type="dxa" w:w="6576"/>
            <w:tcBorders>
              <w:top w:val="single" w:sz="4" w:space="0" w:color="E4DED3"/>
              <w:left w:val="single" w:sz="4" w:space="0" w:color="E4DED3"/>
              <w:bottom w:val="single" w:sz="4" w:space="0" w:color="E4DED3"/>
              <w:right w:val="single" w:sz="4" w:space="0" w:color="E4DED3"/>
            </w:tcBorders>
          </w:tcPr>
          <w:p>
            <w:r>
              <w:rPr>
                <w:sz w:val="19"/>
              </w:rPr>
              <w:t>Instances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Protocol and port</w:t>
            </w:r>
          </w:p>
        </w:tc>
        <w:tc>
          <w:tcPr>
            <w:tcW w:type="dxa" w:w="6576"/>
            <w:tcBorders>
              <w:top w:val="single" w:sz="4" w:space="0" w:color="E4DED3"/>
              <w:left w:val="single" w:sz="4" w:space="0" w:color="E4DED3"/>
              <w:bottom w:val="single" w:sz="4" w:space="0" w:color="E4DED3"/>
              <w:right w:val="single" w:sz="4" w:space="0" w:color="E4DED3"/>
            </w:tcBorders>
          </w:tcPr>
          <w:p>
            <w:r>
              <w:rPr>
                <w:sz w:val="19"/>
              </w:rPr>
              <w:t>HTTP, port 80</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VPC</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yat-lms-vpc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Health check protocol</w:t>
            </w:r>
          </w:p>
        </w:tc>
        <w:tc>
          <w:tcPr>
            <w:tcW w:type="dxa" w:w="6576"/>
            <w:tcBorders>
              <w:top w:val="single" w:sz="4" w:space="0" w:color="E4DED3"/>
              <w:left w:val="single" w:sz="4" w:space="0" w:color="E4DED3"/>
              <w:bottom w:val="single" w:sz="4" w:space="0" w:color="E4DED3"/>
              <w:right w:val="single" w:sz="4" w:space="0" w:color="E4DED3"/>
            </w:tcBorders>
          </w:tcPr>
          <w:p>
            <w:r>
              <w:rPr>
                <w:sz w:val="19"/>
              </w:rPr>
              <w:t>HTTP</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Health check path</w:t>
            </w:r>
          </w:p>
        </w:tc>
        <w:tc>
          <w:tcPr>
            <w:tcW w:type="dxa" w:w="6576"/>
            <w:tcBorders>
              <w:top w:val="single" w:sz="4" w:space="0" w:color="E4DED3"/>
              <w:left w:val="single" w:sz="4" w:space="0" w:color="E4DED3"/>
              <w:bottom w:val="single" w:sz="4" w:space="0" w:color="E4DED3"/>
              <w:right w:val="single" w:sz="4" w:space="0" w:color="E4DED3"/>
            </w:tcBorders>
          </w:tcPr>
          <w:p>
            <w:r>
              <w:rPr>
                <w:sz w:val="19"/>
              </w:rPr>
              <w: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Interval</w:t>
            </w:r>
          </w:p>
        </w:tc>
        <w:tc>
          <w:tcPr>
            <w:tcW w:type="dxa" w:w="6576"/>
            <w:tcBorders>
              <w:top w:val="single" w:sz="4" w:space="0" w:color="E4DED3"/>
              <w:left w:val="single" w:sz="4" w:space="0" w:color="E4DED3"/>
              <w:bottom w:val="single" w:sz="4" w:space="0" w:color="E4DED3"/>
              <w:right w:val="single" w:sz="4" w:space="0" w:color="E4DED3"/>
            </w:tcBorders>
          </w:tcPr>
          <w:p>
            <w:r>
              <w:rPr>
                <w:sz w:val="19"/>
              </w:rPr>
              <w:t>30 seconds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Unhealthy threshold</w:t>
            </w:r>
          </w:p>
        </w:tc>
        <w:tc>
          <w:tcPr>
            <w:tcW w:type="dxa" w:w="6576"/>
            <w:tcBorders>
              <w:top w:val="single" w:sz="4" w:space="0" w:color="E4DED3"/>
              <w:left w:val="single" w:sz="4" w:space="0" w:color="E4DED3"/>
              <w:bottom w:val="single" w:sz="4" w:space="0" w:color="E4DED3"/>
              <w:right w:val="single" w:sz="4" w:space="0" w:color="E4DED3"/>
            </w:tcBorders>
          </w:tcPr>
          <w:p>
            <w:r>
              <w:rPr>
                <w:sz w:val="19"/>
              </w:rPr>
              <w:t>2</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Register targets</w:t>
            </w:r>
          </w:p>
        </w:tc>
        <w:tc>
          <w:tcPr>
            <w:tcW w:type="dxa" w:w="6576"/>
            <w:tcBorders>
              <w:top w:val="single" w:sz="4" w:space="0" w:color="E4DED3"/>
              <w:left w:val="single" w:sz="4" w:space="0" w:color="E4DED3"/>
              <w:bottom w:val="single" w:sz="4" w:space="0" w:color="E4DED3"/>
              <w:right w:val="single" w:sz="4" w:space="0" w:color="E4DED3"/>
            </w:tcBorders>
          </w:tcPr>
          <w:p>
            <w:r>
              <w:rPr>
                <w:sz w:val="19"/>
              </w:rPr>
              <w:t>skip this step and create the group with no targets. The Auto Scaling group registers them for you in task 13</w:t>
            </w:r>
          </w:p>
        </w:tc>
      </w:tr>
    </w:tbl>
    <w:p/>
    <w:p>
      <w:pPr>
        <w:spacing w:after="60"/>
      </w:pPr>
      <w:r>
        <w:rPr>
          <w:b/>
          <w:i w:val="0"/>
          <w:sz w:val="21"/>
        </w:rPr>
        <w:t>Evidence</w:t>
      </w:r>
    </w:p>
    <w:p>
      <w:pPr>
        <w:spacing w:after="200"/>
      </w:pPr>
      <w:r>
        <w:rPr>
          <w:b w:val="0"/>
          <w:i/>
          <w:color w:val="6B6660"/>
          <w:sz w:val="19"/>
        </w:rPr>
        <w:t>No screenshot required. Creating the target group is not an assessable action on its own — it is the prerequisite for the load balancer, which sends traffic to it, and the Auto Scaling group, which fills it with servers.</w:t>
      </w:r>
    </w:p>
    <w:p>
      <w:pPr>
        <w:spacing w:before="200" w:after="0"/>
      </w:pPr>
      <w:r>
        <w:rPr>
          <w:b/>
          <w:color w:val="1F5A5C"/>
          <w:sz w:val="16"/>
        </w:rPr>
        <w:t>TASK 12</w:t>
      </w:r>
    </w:p>
    <w:p>
      <w:pPr>
        <w:pStyle w:val="Heading2"/>
      </w:pPr>
      <w:r>
        <w:t>Create the load balancer</w:t>
      </w:r>
    </w:p>
    <w:p>
      <w:pPr>
        <w:spacing w:after="120"/>
      </w:pPr>
      <w:r>
        <w:rPr>
          <w:b w:val="0"/>
          <w:i w:val="0"/>
          <w:sz w:val="21"/>
        </w:rPr>
        <w:t>Create an Application Load Balancer, using the settings below. It sits in front of the application tier and sends traffic only to servers the target group reports as healthy.</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Type</w:t>
            </w:r>
          </w:p>
        </w:tc>
        <w:tc>
          <w:tcPr>
            <w:tcW w:type="dxa" w:w="6576"/>
            <w:tcBorders>
              <w:top w:val="single" w:sz="4" w:space="0" w:color="E4DED3"/>
              <w:left w:val="single" w:sz="4" w:space="0" w:color="E4DED3"/>
              <w:bottom w:val="single" w:sz="4" w:space="0" w:color="E4DED3"/>
              <w:right w:val="single" w:sz="4" w:space="0" w:color="E4DED3"/>
            </w:tcBorders>
          </w:tcPr>
          <w:p>
            <w:r>
              <w:rPr>
                <w:sz w:val="19"/>
              </w:rPr>
              <w:t>Application Load Balancer</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yat-lms-alb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Scheme</w:t>
            </w:r>
          </w:p>
        </w:tc>
        <w:tc>
          <w:tcPr>
            <w:tcW w:type="dxa" w:w="6576"/>
            <w:tcBorders>
              <w:top w:val="single" w:sz="4" w:space="0" w:color="E4DED3"/>
              <w:left w:val="single" w:sz="4" w:space="0" w:color="E4DED3"/>
              <w:bottom w:val="single" w:sz="4" w:space="0" w:color="E4DED3"/>
              <w:right w:val="single" w:sz="4" w:space="0" w:color="E4DED3"/>
            </w:tcBorders>
          </w:tcPr>
          <w:p>
            <w:r>
              <w:rPr>
                <w:sz w:val="19"/>
              </w:rPr>
              <w:t>Internet-facing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VPC</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yat-lms-vpc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Subnets</w:t>
            </w:r>
          </w:p>
        </w:tc>
        <w:tc>
          <w:tcPr>
            <w:tcW w:type="dxa" w:w="6576"/>
            <w:tcBorders>
              <w:top w:val="single" w:sz="4" w:space="0" w:color="E4DED3"/>
              <w:left w:val="single" w:sz="4" w:space="0" w:color="E4DED3"/>
              <w:bottom w:val="single" w:sz="4" w:space="0" w:color="E4DED3"/>
              <w:right w:val="single" w:sz="4" w:space="0" w:color="E4DED3"/>
            </w:tcBorders>
          </w:tcPr>
          <w:p>
            <w:r>
              <w:rPr>
                <w:sz w:val="19"/>
              </w:rPr>
              <w:t>public-web-a and public-web-b. It requires two zones and will not create with only one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Security group</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yat-lms-alb-sg. Remove the default group if the console adds it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Listener</w:t>
            </w:r>
          </w:p>
        </w:tc>
        <w:tc>
          <w:tcPr>
            <w:tcW w:type="dxa" w:w="6576"/>
            <w:tcBorders>
              <w:top w:val="single" w:sz="4" w:space="0" w:color="E4DED3"/>
              <w:left w:val="single" w:sz="4" w:space="0" w:color="E4DED3"/>
              <w:bottom w:val="single" w:sz="4" w:space="0" w:color="E4DED3"/>
              <w:right w:val="single" w:sz="4" w:space="0" w:color="E4DED3"/>
            </w:tcBorders>
          </w:tcPr>
          <w:p>
            <w:r>
              <w:rPr>
                <w:sz w:val="19"/>
              </w:rPr>
              <w:t>HTTP on port 80</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Listener forwards to</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yat-lms-tg</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load balancer summary, showing its scheme, DNS name, subnets and security group.</w:t>
            </w:r>
          </w:p>
        </w:tc>
      </w:tr>
    </w:tbl>
    <w:p/>
    <w:p>
      <w:pPr>
        <w:spacing w:before="200" w:after="0"/>
      </w:pPr>
      <w:r>
        <w:rPr>
          <w:b/>
          <w:color w:val="1F5A5C"/>
          <w:sz w:val="16"/>
        </w:rPr>
        <w:t>TASK 13</w:t>
      </w:r>
    </w:p>
    <w:p>
      <w:pPr>
        <w:pStyle w:val="Heading2"/>
      </w:pPr>
      <w:r>
        <w:t>Create the Auto Scaling group</w:t>
      </w:r>
    </w:p>
    <w:p>
      <w:pPr>
        <w:spacing w:after="120"/>
      </w:pPr>
      <w:r>
        <w:rPr>
          <w:b w:val="0"/>
          <w:i w:val="0"/>
          <w:sz w:val="21"/>
        </w:rPr>
        <w:t>Create an Auto Scaling group, using the settings below. It adds and removes application servers on its own, without anyone touching the instance count.</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Step 1 — Launch template</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yat-lms-lt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Step 2 — VPC</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yat-lms-vpc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Step 2 — Subnet</w:t>
            </w:r>
          </w:p>
        </w:tc>
        <w:tc>
          <w:tcPr>
            <w:tcW w:type="dxa" w:w="6576"/>
            <w:tcBorders>
              <w:top w:val="single" w:sz="4" w:space="0" w:color="E4DED3"/>
              <w:left w:val="single" w:sz="4" w:space="0" w:color="E4DED3"/>
              <w:bottom w:val="single" w:sz="4" w:space="0" w:color="E4DED3"/>
              <w:right w:val="single" w:sz="4" w:space="0" w:color="E4DED3"/>
            </w:tcBorders>
          </w:tcPr>
          <w:p>
            <w:r>
              <w:rPr>
                <w:sz w:val="19"/>
              </w:rPr>
              <w:t>private-app-a only</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Step 3 — Load balancing</w:t>
            </w:r>
          </w:p>
        </w:tc>
        <w:tc>
          <w:tcPr>
            <w:tcW w:type="dxa" w:w="6576"/>
            <w:tcBorders>
              <w:top w:val="single" w:sz="4" w:space="0" w:color="E4DED3"/>
              <w:left w:val="single" w:sz="4" w:space="0" w:color="E4DED3"/>
              <w:bottom w:val="single" w:sz="4" w:space="0" w:color="E4DED3"/>
              <w:right w:val="single" w:sz="4" w:space="0" w:color="E4DED3"/>
            </w:tcBorders>
          </w:tcPr>
          <w:p>
            <w:r>
              <w:rPr>
                <w:sz w:val="19"/>
              </w:rPr>
              <w:t>choose Attach to an existing load balancer, then Choose from your load balancer target groups, and select yat-lms-tg. This step defaults to No load balancer, so it is easily skipped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Step 3 — Health check type</w:t>
            </w:r>
          </w:p>
        </w:tc>
        <w:tc>
          <w:tcPr>
            <w:tcW w:type="dxa" w:w="6576"/>
            <w:tcBorders>
              <w:top w:val="single" w:sz="4" w:space="0" w:color="E4DED3"/>
              <w:left w:val="single" w:sz="4" w:space="0" w:color="E4DED3"/>
              <w:bottom w:val="single" w:sz="4" w:space="0" w:color="E4DED3"/>
              <w:right w:val="single" w:sz="4" w:space="0" w:color="E4DED3"/>
            </w:tcBorders>
          </w:tcPr>
          <w:p>
            <w:r>
              <w:rPr>
                <w:sz w:val="19"/>
              </w:rPr>
              <w:t>tick Turn on Elastic Load Balancing health checks; grace period 300 seconds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Step 4 — Group size</w:t>
            </w:r>
          </w:p>
        </w:tc>
        <w:tc>
          <w:tcPr>
            <w:tcW w:type="dxa" w:w="6576"/>
            <w:tcBorders>
              <w:top w:val="single" w:sz="4" w:space="0" w:color="E4DED3"/>
              <w:left w:val="single" w:sz="4" w:space="0" w:color="E4DED3"/>
              <w:bottom w:val="single" w:sz="4" w:space="0" w:color="E4DED3"/>
              <w:right w:val="single" w:sz="4" w:space="0" w:color="E4DED3"/>
            </w:tcBorders>
          </w:tcPr>
          <w:p>
            <w:r>
              <w:rPr>
                <w:sz w:val="19"/>
              </w:rPr>
              <w:t>desired 1, minimum 1, maximum 2</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Step 4 — Scaling policy</w:t>
            </w:r>
          </w:p>
        </w:tc>
        <w:tc>
          <w:tcPr>
            <w:tcW w:type="dxa" w:w="6576"/>
            <w:tcBorders>
              <w:top w:val="single" w:sz="4" w:space="0" w:color="E4DED3"/>
              <w:left w:val="single" w:sz="4" w:space="0" w:color="E4DED3"/>
              <w:bottom w:val="single" w:sz="4" w:space="0" w:color="E4DED3"/>
              <w:right w:val="single" w:sz="4" w:space="0" w:color="E4DED3"/>
            </w:tcBorders>
          </w:tcPr>
          <w:p>
            <w:r>
              <w:rPr>
                <w:sz w:val="19"/>
              </w:rPr>
              <w:t>Target tracking, Average CPU utilization, target value 70</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Step 4 — Warm-up</w:t>
            </w:r>
          </w:p>
        </w:tc>
        <w:tc>
          <w:tcPr>
            <w:tcW w:type="dxa" w:w="6576"/>
            <w:tcBorders>
              <w:top w:val="single" w:sz="4" w:space="0" w:color="E4DED3"/>
              <w:left w:val="single" w:sz="4" w:space="0" w:color="E4DED3"/>
              <w:bottom w:val="single" w:sz="4" w:space="0" w:color="E4DED3"/>
              <w:right w:val="single" w:sz="4" w:space="0" w:color="E4DED3"/>
            </w:tcBorders>
          </w:tcPr>
          <w:p>
            <w:r>
              <w:rPr>
                <w:sz w:val="19"/>
              </w:rPr>
              <w:t>60 seconds</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Auto Scaling group details, showing group size, the attached target group and the scaling policy.</w:t>
            </w:r>
          </w:p>
        </w:tc>
      </w:tr>
    </w:tbl>
    <w:p/>
    <w:p>
      <w:pPr>
        <w:spacing w:before="200" w:after="0"/>
      </w:pPr>
      <w:r>
        <w:rPr>
          <w:b/>
          <w:color w:val="1F5A5C"/>
          <w:sz w:val="16"/>
        </w:rPr>
        <w:t>TASK 14</w:t>
      </w:r>
    </w:p>
    <w:p>
      <w:pPr>
        <w:pStyle w:val="Heading2"/>
      </w:pPr>
      <w:r>
        <w:t>Create the database subnet group</w:t>
      </w:r>
    </w:p>
    <w:p>
      <w:pPr>
        <w:spacing w:after="120"/>
      </w:pPr>
      <w:r>
        <w:rPr>
          <w:b w:val="0"/>
          <w:i w:val="0"/>
          <w:sz w:val="21"/>
        </w:rPr>
        <w:t>Create a database subnet group, using the settings below. It tells the database service which subnets it is allowed to place the database in.</w:t>
      </w:r>
    </w:p>
    <w:p>
      <w:pPr>
        <w:spacing w:before="80" w:after="160"/>
        <w:ind w:left="227"/>
      </w:pPr>
      <w:r>
        <w:rPr>
          <w:b/>
          <w:color w:val="C5613B"/>
          <w:sz w:val="19"/>
        </w:rPr>
        <w:t xml:space="preserve">Environment constraint </w:t>
      </w:r>
      <w:r>
        <w:rPr>
          <w:i/>
          <w:color w:val="C5613B"/>
          <w:sz w:val="19"/>
        </w:rPr>
        <w:t>create this in the RDS console, not the VPC console — RDS → Subnet groups → Create DB subnet group. It is easy to go looking for it where the subnets themselves live.</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yat-lms-db-subnet-group</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VPC</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yat-lms-vpc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Availability Zones</w:t>
            </w:r>
          </w:p>
        </w:tc>
        <w:tc>
          <w:tcPr>
            <w:tcW w:type="dxa" w:w="6576"/>
            <w:tcBorders>
              <w:top w:val="single" w:sz="4" w:space="0" w:color="E4DED3"/>
              <w:left w:val="single" w:sz="4" w:space="0" w:color="E4DED3"/>
              <w:bottom w:val="single" w:sz="4" w:space="0" w:color="E4DED3"/>
              <w:right w:val="single" w:sz="4" w:space="0" w:color="E4DED3"/>
            </w:tcBorders>
          </w:tcPr>
          <w:p>
            <w:r>
              <w:rPr>
                <w:sz w:val="19"/>
              </w:rPr>
              <w:t>us-east-1a and us-east-1b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Subnets</w:t>
            </w:r>
          </w:p>
        </w:tc>
        <w:tc>
          <w:tcPr>
            <w:tcW w:type="dxa" w:w="6576"/>
            <w:tcBorders>
              <w:top w:val="single" w:sz="4" w:space="0" w:color="E4DED3"/>
              <w:left w:val="single" w:sz="4" w:space="0" w:color="E4DED3"/>
              <w:bottom w:val="single" w:sz="4" w:space="0" w:color="E4DED3"/>
              <w:right w:val="single" w:sz="4" w:space="0" w:color="E4DED3"/>
            </w:tcBorders>
          </w:tcPr>
          <w:p>
            <w:r>
              <w:rPr>
                <w:sz w:val="19"/>
              </w:rPr>
              <w:t>private-data-a and private-data-b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Why two</w:t>
            </w:r>
          </w:p>
        </w:tc>
        <w:tc>
          <w:tcPr>
            <w:tcW w:type="dxa" w:w="6576"/>
            <w:tcBorders>
              <w:top w:val="single" w:sz="4" w:space="0" w:color="E4DED3"/>
              <w:left w:val="single" w:sz="4" w:space="0" w:color="E4DED3"/>
              <w:bottom w:val="single" w:sz="4" w:space="0" w:color="E4DED3"/>
              <w:right w:val="single" w:sz="4" w:space="0" w:color="E4DED3"/>
            </w:tcBorders>
          </w:tcPr>
          <w:p>
            <w:r>
              <w:rPr>
                <w:sz w:val="19"/>
              </w:rPr>
              <w:t>the service requires subnets in two zones even though this database is single-AZ. The second one stays empty until the next phase</w:t>
            </w:r>
          </w:p>
        </w:tc>
      </w:tr>
    </w:tbl>
    <w:p/>
    <w:p>
      <w:pPr>
        <w:spacing w:after="60"/>
      </w:pPr>
      <w:r>
        <w:rPr>
          <w:b/>
          <w:i w:val="0"/>
          <w:sz w:val="21"/>
        </w:rPr>
        <w:t>Evidence</w:t>
      </w:r>
    </w:p>
    <w:p>
      <w:pPr>
        <w:spacing w:after="200"/>
      </w:pPr>
      <w:r>
        <w:rPr>
          <w:b w:val="0"/>
          <w:i/>
          <w:color w:val="6B6660"/>
          <w:sz w:val="19"/>
        </w:rPr>
        <w:t>No screenshot required. Creating the subnet group is not an assessable action on its own — it is the prerequisite for the database, which cannot be created without one.</w:t>
      </w:r>
    </w:p>
    <w:p>
      <w:pPr>
        <w:spacing w:before="200" w:after="0"/>
      </w:pPr>
      <w:r>
        <w:rPr>
          <w:b/>
          <w:color w:val="1F5A5C"/>
          <w:sz w:val="16"/>
        </w:rPr>
        <w:t>TASK 15</w:t>
      </w:r>
    </w:p>
    <w:p>
      <w:pPr>
        <w:pStyle w:val="Heading2"/>
      </w:pPr>
      <w:r>
        <w:t>Deploy the database</w:t>
      </w:r>
    </w:p>
    <w:p>
      <w:pPr>
        <w:spacing w:after="120"/>
      </w:pPr>
      <w:r>
        <w:rPr>
          <w:b w:val="0"/>
          <w:i w:val="0"/>
          <w:sz w:val="21"/>
        </w:rPr>
        <w:t>Create the database, using the settings below. Create it empty — loading the schema and the data is YAT ICT job, not yours.</w:t>
      </w:r>
    </w:p>
    <w:p>
      <w:pPr>
        <w:spacing w:before="80" w:after="160"/>
        <w:ind w:left="227"/>
      </w:pPr>
      <w:r>
        <w:rPr>
          <w:b/>
          <w:color w:val="C5613B"/>
          <w:sz w:val="19"/>
        </w:rPr>
        <w:t xml:space="preserve">Environment constraint </w:t>
      </w:r>
      <w:r>
        <w:rPr>
          <w:i/>
          <w:color w:val="C5613B"/>
          <w:sz w:val="19"/>
        </w:rPr>
        <w:t>use Standard create, not Easy create. Easy create chooses the network, the subnet group, the security group and the public-access setting for you and does not let you change them, which is four of the settings this task specifies.</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Creation method</w:t>
            </w:r>
          </w:p>
        </w:tc>
        <w:tc>
          <w:tcPr>
            <w:tcW w:type="dxa" w:w="6576"/>
            <w:tcBorders>
              <w:top w:val="single" w:sz="4" w:space="0" w:color="E4DED3"/>
              <w:left w:val="single" w:sz="4" w:space="0" w:color="E4DED3"/>
              <w:bottom w:val="single" w:sz="4" w:space="0" w:color="E4DED3"/>
              <w:right w:val="single" w:sz="4" w:space="0" w:color="E4DED3"/>
            </w:tcBorders>
          </w:tcPr>
          <w:p>
            <w:r>
              <w:rPr>
                <w:sz w:val="19"/>
              </w:rPr>
              <w:t>Standard create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Engine</w:t>
            </w:r>
          </w:p>
        </w:tc>
        <w:tc>
          <w:tcPr>
            <w:tcW w:type="dxa" w:w="6576"/>
            <w:tcBorders>
              <w:top w:val="single" w:sz="4" w:space="0" w:color="E4DED3"/>
              <w:left w:val="single" w:sz="4" w:space="0" w:color="E4DED3"/>
              <w:bottom w:val="single" w:sz="4" w:space="0" w:color="E4DED3"/>
              <w:right w:val="single" w:sz="4" w:space="0" w:color="E4DED3"/>
            </w:tcBorders>
          </w:tcPr>
          <w:p>
            <w:r>
              <w:rPr>
                <w:sz w:val="19"/>
              </w:rPr>
              <w:t>MySQL</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Template</w:t>
            </w:r>
          </w:p>
        </w:tc>
        <w:tc>
          <w:tcPr>
            <w:tcW w:type="dxa" w:w="6576"/>
            <w:tcBorders>
              <w:top w:val="single" w:sz="4" w:space="0" w:color="E4DED3"/>
              <w:left w:val="single" w:sz="4" w:space="0" w:color="E4DED3"/>
              <w:bottom w:val="single" w:sz="4" w:space="0" w:color="E4DED3"/>
              <w:right w:val="single" w:sz="4" w:space="0" w:color="E4DED3"/>
            </w:tcBorders>
          </w:tcPr>
          <w:p>
            <w:r>
              <w:rPr>
                <w:sz w:val="19"/>
              </w:rPr>
              <w:t>Free tier, if offered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Instance class</w:t>
            </w:r>
          </w:p>
        </w:tc>
        <w:tc>
          <w:tcPr>
            <w:tcW w:type="dxa" w:w="6576"/>
            <w:tcBorders>
              <w:top w:val="single" w:sz="4" w:space="0" w:color="E4DED3"/>
              <w:left w:val="single" w:sz="4" w:space="0" w:color="E4DED3"/>
              <w:bottom w:val="single" w:sz="4" w:space="0" w:color="E4DED3"/>
              <w:right w:val="single" w:sz="4" w:space="0" w:color="E4DED3"/>
            </w:tcBorders>
          </w:tcPr>
          <w:p>
            <w:r>
              <w:rPr>
                <w:sz w:val="19"/>
              </w:rPr>
              <w:t>your choice — see the decision below</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Storage</w:t>
            </w:r>
          </w:p>
        </w:tc>
        <w:tc>
          <w:tcPr>
            <w:tcW w:type="dxa" w:w="6576"/>
            <w:tcBorders>
              <w:top w:val="single" w:sz="4" w:space="0" w:color="E4DED3"/>
              <w:left w:val="single" w:sz="4" w:space="0" w:color="E4DED3"/>
              <w:bottom w:val="single" w:sz="4" w:space="0" w:color="E4DED3"/>
              <w:right w:val="single" w:sz="4" w:space="0" w:color="E4DED3"/>
            </w:tcBorders>
          </w:tcPr>
          <w:p>
            <w:r>
              <w:rPr>
                <w:sz w:val="19"/>
              </w:rPr>
              <w:t>gp3, 20 GB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Multi-AZ</w:t>
            </w:r>
          </w:p>
        </w:tc>
        <w:tc>
          <w:tcPr>
            <w:tcW w:type="dxa" w:w="6576"/>
            <w:tcBorders>
              <w:top w:val="single" w:sz="4" w:space="0" w:color="E4DED3"/>
              <w:left w:val="single" w:sz="4" w:space="0" w:color="E4DED3"/>
              <w:bottom w:val="single" w:sz="4" w:space="0" w:color="E4DED3"/>
              <w:right w:val="single" w:sz="4" w:space="0" w:color="E4DED3"/>
            </w:tcBorders>
          </w:tcPr>
          <w:p>
            <w:r>
              <w:rPr>
                <w:sz w:val="19"/>
              </w:rPr>
              <w:t>Do not create a standby. This build is deliberately single-AZ</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VPC</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yat-lms-vpc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Subnet group</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yat-lms-db-subnet-group</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Public access</w:t>
            </w:r>
          </w:p>
        </w:tc>
        <w:tc>
          <w:tcPr>
            <w:tcW w:type="dxa" w:w="6576"/>
            <w:tcBorders>
              <w:top w:val="single" w:sz="4" w:space="0" w:color="E4DED3"/>
              <w:left w:val="single" w:sz="4" w:space="0" w:color="E4DED3"/>
              <w:bottom w:val="single" w:sz="4" w:space="0" w:color="E4DED3"/>
              <w:right w:val="single" w:sz="4" w:space="0" w:color="E4DED3"/>
            </w:tcBorders>
          </w:tcPr>
          <w:p>
            <w:r>
              <w:rPr>
                <w:sz w:val="19"/>
              </w:rPr>
              <w:t>No</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Security group</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yat-lms-db-sg. Remove the default group if the console adds it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Encryption</w:t>
            </w:r>
          </w:p>
        </w:tc>
        <w:tc>
          <w:tcPr>
            <w:tcW w:type="dxa" w:w="6576"/>
            <w:tcBorders>
              <w:top w:val="single" w:sz="4" w:space="0" w:color="E4DED3"/>
              <w:left w:val="single" w:sz="4" w:space="0" w:color="E4DED3"/>
              <w:bottom w:val="single" w:sz="4" w:space="0" w:color="E4DED3"/>
              <w:right w:val="single" w:sz="4" w:space="0" w:color="E4DED3"/>
            </w:tcBorders>
          </w:tcPr>
          <w:p>
            <w:r>
              <w:rPr>
                <w:sz w:val="19"/>
              </w:rPr>
              <w:t>enabled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Backup retention</w:t>
            </w:r>
          </w:p>
        </w:tc>
        <w:tc>
          <w:tcPr>
            <w:tcW w:type="dxa" w:w="6576"/>
            <w:tcBorders>
              <w:top w:val="single" w:sz="4" w:space="0" w:color="E4DED3"/>
              <w:left w:val="single" w:sz="4" w:space="0" w:color="E4DED3"/>
              <w:bottom w:val="single" w:sz="4" w:space="0" w:color="E4DED3"/>
              <w:right w:val="single" w:sz="4" w:space="0" w:color="E4DED3"/>
            </w:tcBorders>
          </w:tcPr>
          <w:p>
            <w:r>
              <w:rPr>
                <w:sz w:val="19"/>
              </w:rPr>
              <w:t>7 days</w:t>
            </w:r>
          </w:p>
        </w:tc>
      </w:tr>
    </w:tbl>
    <w:p/>
    <w:p>
      <w:pPr>
        <w:spacing w:after="60"/>
      </w:pPr>
      <w:r>
        <w:rPr>
          <w:b/>
          <w:i w:val="0"/>
          <w:sz w:val="21"/>
        </w:rPr>
        <w:t>Your decision</w:t>
      </w:r>
    </w:p>
    <w:p>
      <w:pPr>
        <w:spacing w:after="120"/>
      </w:pPr>
      <w:r>
        <w:rPr>
          <w:b w:val="0"/>
          <w:i/>
          <w:color w:val="6B6660"/>
          <w:sz w:val="19"/>
        </w:rPr>
        <w:t>Choose the database instance class: db.t3.micro or db.t3.small. Name the one you did not choose, say which you chose, and explain why against the workload.</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database summary showing Available, its class, encryption enabled and public access set to No.</w:t>
            </w:r>
          </w:p>
        </w:tc>
      </w:tr>
    </w:tbl>
    <w:p/>
    <w:p>
      <w:pPr>
        <w:spacing w:before="200" w:after="0"/>
      </w:pPr>
      <w:r>
        <w:rPr>
          <w:b/>
          <w:color w:val="1F5A5C"/>
          <w:sz w:val="16"/>
        </w:rPr>
        <w:t>TASK 16</w:t>
      </w:r>
    </w:p>
    <w:p>
      <w:pPr>
        <w:pStyle w:val="Heading2"/>
      </w:pPr>
      <w:r>
        <w:t>Create the two monitoring alarms</w:t>
      </w:r>
    </w:p>
    <w:p>
      <w:pPr>
        <w:spacing w:after="120"/>
      </w:pPr>
      <w:r>
        <w:rPr>
          <w:b w:val="0"/>
          <w:i w:val="0"/>
          <w:sz w:val="21"/>
        </w:rPr>
        <w:t>Create two CloudWatch alarms, using the settings below. They are the baseline monitoring that tells the platform when something is wrong — one watching whether the application tier is serving, one watching whether the database is running out of room.</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Notification topic</w:t>
            </w:r>
          </w:p>
        </w:tc>
        <w:tc>
          <w:tcPr>
            <w:tcW w:type="dxa" w:w="6576"/>
            <w:tcBorders>
              <w:top w:val="single" w:sz="4" w:space="0" w:color="E4DED3"/>
              <w:left w:val="single" w:sz="4" w:space="0" w:color="E4DED3"/>
              <w:bottom w:val="single" w:sz="4" w:space="0" w:color="E4DED3"/>
              <w:right w:val="single" w:sz="4" w:space="0" w:color="E4DED3"/>
            </w:tcBorders>
          </w:tcPr>
          <w:p>
            <w:r>
              <w:rPr>
                <w:sz w:val="19"/>
              </w:rPr>
              <w:t>create an SNS topic named yat-lms-alerts with your own email address, and use it for both alarms. You do not need to confirm the subscription email for the alarm to be created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 Alarm 1 ─</w:t>
            </w:r>
          </w:p>
        </w:tc>
        <w:tc>
          <w:tcPr>
            <w:tcW w:type="dxa" w:w="6576"/>
            <w:tcBorders>
              <w:top w:val="single" w:sz="4" w:space="0" w:color="E4DED3"/>
              <w:left w:val="single" w:sz="4" w:space="0" w:color="E4DED3"/>
              <w:bottom w:val="single" w:sz="4" w:space="0" w:color="E4DED3"/>
              <w:right w:val="single" w:sz="4" w:space="0" w:color="E4DED3"/>
            </w:tcBorders>
          </w:tcPr>
          <w:p>
            <w:r>
              <w:rPr>
                <w:sz w:val="19"/>
              </w:rPr>
              <w:t>the application tier is not serving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Metric</w:t>
            </w:r>
          </w:p>
        </w:tc>
        <w:tc>
          <w:tcPr>
            <w:tcW w:type="dxa" w:w="6576"/>
            <w:tcBorders>
              <w:top w:val="single" w:sz="4" w:space="0" w:color="E4DED3"/>
              <w:left w:val="single" w:sz="4" w:space="0" w:color="E4DED3"/>
              <w:bottom w:val="single" w:sz="4" w:space="0" w:color="E4DED3"/>
              <w:right w:val="single" w:sz="4" w:space="0" w:color="E4DED3"/>
            </w:tcBorders>
          </w:tcPr>
          <w:p>
            <w:r>
              <w:rPr>
                <w:sz w:val="19"/>
              </w:rPr>
              <w:t>Application ELB → Per AppELB, per TG Metrics → UnHealthyHostCount, filtered to yat-lms-alb and yat-lms-tg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Statistic</w:t>
            </w:r>
          </w:p>
        </w:tc>
        <w:tc>
          <w:tcPr>
            <w:tcW w:type="dxa" w:w="6576"/>
            <w:tcBorders>
              <w:top w:val="single" w:sz="4" w:space="0" w:color="E4DED3"/>
              <w:left w:val="single" w:sz="4" w:space="0" w:color="E4DED3"/>
              <w:bottom w:val="single" w:sz="4" w:space="0" w:color="E4DED3"/>
              <w:right w:val="single" w:sz="4" w:space="0" w:color="E4DED3"/>
            </w:tcBorders>
          </w:tcPr>
          <w:p>
            <w:r>
              <w:rPr>
                <w:sz w:val="19"/>
              </w:rPr>
              <w:t>Maximum</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Period</w:t>
            </w:r>
          </w:p>
        </w:tc>
        <w:tc>
          <w:tcPr>
            <w:tcW w:type="dxa" w:w="6576"/>
            <w:tcBorders>
              <w:top w:val="single" w:sz="4" w:space="0" w:color="E4DED3"/>
              <w:left w:val="single" w:sz="4" w:space="0" w:color="E4DED3"/>
              <w:bottom w:val="single" w:sz="4" w:space="0" w:color="E4DED3"/>
              <w:right w:val="single" w:sz="4" w:space="0" w:color="E4DED3"/>
            </w:tcBorders>
          </w:tcPr>
          <w:p>
            <w:r>
              <w:rPr>
                <w:sz w:val="19"/>
              </w:rPr>
              <w:t>1 minute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Threshold type</w:t>
            </w:r>
          </w:p>
        </w:tc>
        <w:tc>
          <w:tcPr>
            <w:tcW w:type="dxa" w:w="6576"/>
            <w:tcBorders>
              <w:top w:val="single" w:sz="4" w:space="0" w:color="E4DED3"/>
              <w:left w:val="single" w:sz="4" w:space="0" w:color="E4DED3"/>
              <w:bottom w:val="single" w:sz="4" w:space="0" w:color="E4DED3"/>
              <w:right w:val="single" w:sz="4" w:space="0" w:color="E4DED3"/>
            </w:tcBorders>
          </w:tcPr>
          <w:p>
            <w:r>
              <w:rPr>
                <w:sz w:val="19"/>
              </w:rPr>
              <w:t>Static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Condition</w:t>
            </w:r>
          </w:p>
        </w:tc>
        <w:tc>
          <w:tcPr>
            <w:tcW w:type="dxa" w:w="6576"/>
            <w:tcBorders>
              <w:top w:val="single" w:sz="4" w:space="0" w:color="E4DED3"/>
              <w:left w:val="single" w:sz="4" w:space="0" w:color="E4DED3"/>
              <w:bottom w:val="single" w:sz="4" w:space="0" w:color="E4DED3"/>
              <w:right w:val="single" w:sz="4" w:space="0" w:color="E4DED3"/>
            </w:tcBorders>
          </w:tcPr>
          <w:p>
            <w:r>
              <w:rPr>
                <w:sz w:val="19"/>
              </w:rPr>
              <w:t>Whenever UnHealthyHostCount is Greater/Equal than 1</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Datapoints to alarm</w:t>
            </w:r>
          </w:p>
        </w:tc>
        <w:tc>
          <w:tcPr>
            <w:tcW w:type="dxa" w:w="6576"/>
            <w:tcBorders>
              <w:top w:val="single" w:sz="4" w:space="0" w:color="E4DED3"/>
              <w:left w:val="single" w:sz="4" w:space="0" w:color="E4DED3"/>
              <w:bottom w:val="single" w:sz="4" w:space="0" w:color="E4DED3"/>
              <w:right w:val="single" w:sz="4" w:space="0" w:color="E4DED3"/>
            </w:tcBorders>
          </w:tcPr>
          <w:p>
            <w:r>
              <w:rPr>
                <w:sz w:val="19"/>
              </w:rPr>
              <w:t>1 out of 1</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Missing data treatment</w:t>
            </w:r>
          </w:p>
        </w:tc>
        <w:tc>
          <w:tcPr>
            <w:tcW w:type="dxa" w:w="6576"/>
            <w:tcBorders>
              <w:top w:val="single" w:sz="4" w:space="0" w:color="E4DED3"/>
              <w:left w:val="single" w:sz="4" w:space="0" w:color="E4DED3"/>
              <w:bottom w:val="single" w:sz="4" w:space="0" w:color="E4DED3"/>
              <w:right w:val="single" w:sz="4" w:space="0" w:color="E4DED3"/>
            </w:tcBorders>
          </w:tcPr>
          <w:p>
            <w:r>
              <w:rPr>
                <w:sz w:val="19"/>
              </w:rPr>
              <w:t>Treat missing data as missing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Notification</w:t>
            </w:r>
          </w:p>
        </w:tc>
        <w:tc>
          <w:tcPr>
            <w:tcW w:type="dxa" w:w="6576"/>
            <w:tcBorders>
              <w:top w:val="single" w:sz="4" w:space="0" w:color="E4DED3"/>
              <w:left w:val="single" w:sz="4" w:space="0" w:color="E4DED3"/>
              <w:bottom w:val="single" w:sz="4" w:space="0" w:color="E4DED3"/>
              <w:right w:val="single" w:sz="4" w:space="0" w:color="E4DED3"/>
            </w:tcBorders>
          </w:tcPr>
          <w:p>
            <w:r>
              <w:rPr>
                <w:sz w:val="19"/>
              </w:rPr>
              <w:t>In alarm → yat-lms-alerts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yat-lms-unhealthy-hosts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Description</w:t>
            </w:r>
          </w:p>
        </w:tc>
        <w:tc>
          <w:tcPr>
            <w:tcW w:type="dxa" w:w="6576"/>
            <w:tcBorders>
              <w:top w:val="single" w:sz="4" w:space="0" w:color="E4DED3"/>
              <w:left w:val="single" w:sz="4" w:space="0" w:color="E4DED3"/>
              <w:bottom w:val="single" w:sz="4" w:space="0" w:color="E4DED3"/>
              <w:right w:val="single" w:sz="4" w:space="0" w:color="E4DED3"/>
            </w:tcBorders>
          </w:tcPr>
          <w:p>
            <w:r>
              <w:rPr>
                <w:sz w:val="19"/>
              </w:rPr>
              <w:t>any target behind the load balancer has failed its health check</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 Alarm 2 ─</w:t>
            </w:r>
          </w:p>
        </w:tc>
        <w:tc>
          <w:tcPr>
            <w:tcW w:type="dxa" w:w="6576"/>
            <w:tcBorders>
              <w:top w:val="single" w:sz="4" w:space="0" w:color="E4DED3"/>
              <w:left w:val="single" w:sz="4" w:space="0" w:color="E4DED3"/>
              <w:bottom w:val="single" w:sz="4" w:space="0" w:color="E4DED3"/>
              <w:right w:val="single" w:sz="4" w:space="0" w:color="E4DED3"/>
            </w:tcBorders>
          </w:tcPr>
          <w:p>
            <w:r>
              <w:rPr>
                <w:sz w:val="19"/>
              </w:rPr>
              <w:t>the database is running out of room</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Metric</w:t>
            </w:r>
          </w:p>
        </w:tc>
        <w:tc>
          <w:tcPr>
            <w:tcW w:type="dxa" w:w="6576"/>
            <w:tcBorders>
              <w:top w:val="single" w:sz="4" w:space="0" w:color="E4DED3"/>
              <w:left w:val="single" w:sz="4" w:space="0" w:color="E4DED3"/>
              <w:bottom w:val="single" w:sz="4" w:space="0" w:color="E4DED3"/>
              <w:right w:val="single" w:sz="4" w:space="0" w:color="E4DED3"/>
            </w:tcBorders>
          </w:tcPr>
          <w:p>
            <w:r>
              <w:rPr>
                <w:sz w:val="19"/>
              </w:rPr>
              <w:t>RDS → DBInstanceIdentifier, then filter for FreeStorageSpace and tick the row for your database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Statistic</w:t>
            </w:r>
          </w:p>
        </w:tc>
        <w:tc>
          <w:tcPr>
            <w:tcW w:type="dxa" w:w="6576"/>
            <w:tcBorders>
              <w:top w:val="single" w:sz="4" w:space="0" w:color="E4DED3"/>
              <w:left w:val="single" w:sz="4" w:space="0" w:color="E4DED3"/>
              <w:bottom w:val="single" w:sz="4" w:space="0" w:color="E4DED3"/>
              <w:right w:val="single" w:sz="4" w:space="0" w:color="E4DED3"/>
            </w:tcBorders>
          </w:tcPr>
          <w:p>
            <w:r>
              <w:rPr>
                <w:sz w:val="19"/>
              </w:rPr>
              <w:t>Minimum</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Period</w:t>
            </w:r>
          </w:p>
        </w:tc>
        <w:tc>
          <w:tcPr>
            <w:tcW w:type="dxa" w:w="6576"/>
            <w:tcBorders>
              <w:top w:val="single" w:sz="4" w:space="0" w:color="E4DED3"/>
              <w:left w:val="single" w:sz="4" w:space="0" w:color="E4DED3"/>
              <w:bottom w:val="single" w:sz="4" w:space="0" w:color="E4DED3"/>
              <w:right w:val="single" w:sz="4" w:space="0" w:color="E4DED3"/>
            </w:tcBorders>
          </w:tcPr>
          <w:p>
            <w:r>
              <w:rPr>
                <w:sz w:val="19"/>
              </w:rPr>
              <w:t>5 minutes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Threshold type</w:t>
            </w:r>
          </w:p>
        </w:tc>
        <w:tc>
          <w:tcPr>
            <w:tcW w:type="dxa" w:w="6576"/>
            <w:tcBorders>
              <w:top w:val="single" w:sz="4" w:space="0" w:color="E4DED3"/>
              <w:left w:val="single" w:sz="4" w:space="0" w:color="E4DED3"/>
              <w:bottom w:val="single" w:sz="4" w:space="0" w:color="E4DED3"/>
              <w:right w:val="single" w:sz="4" w:space="0" w:color="E4DED3"/>
            </w:tcBorders>
          </w:tcPr>
          <w:p>
            <w:r>
              <w:rPr>
                <w:sz w:val="19"/>
              </w:rPr>
              <w:t>Static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Condition</w:t>
            </w:r>
          </w:p>
        </w:tc>
        <w:tc>
          <w:tcPr>
            <w:tcW w:type="dxa" w:w="6576"/>
            <w:tcBorders>
              <w:top w:val="single" w:sz="4" w:space="0" w:color="E4DED3"/>
              <w:left w:val="single" w:sz="4" w:space="0" w:color="E4DED3"/>
              <w:bottom w:val="single" w:sz="4" w:space="0" w:color="E4DED3"/>
              <w:right w:val="single" w:sz="4" w:space="0" w:color="E4DED3"/>
            </w:tcBorders>
          </w:tcPr>
          <w:p>
            <w:r>
              <w:rPr>
                <w:sz w:val="19"/>
              </w:rPr>
              <w:t>Whenever FreeStorageSpace is Lower than 3221225472</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About that number</w:t>
            </w:r>
          </w:p>
        </w:tc>
        <w:tc>
          <w:tcPr>
            <w:tcW w:type="dxa" w:w="6576"/>
            <w:tcBorders>
              <w:top w:val="single" w:sz="4" w:space="0" w:color="E4DED3"/>
              <w:left w:val="single" w:sz="4" w:space="0" w:color="E4DED3"/>
              <w:bottom w:val="single" w:sz="4" w:space="0" w:color="E4DED3"/>
              <w:right w:val="single" w:sz="4" w:space="0" w:color="E4DED3"/>
            </w:tcBorders>
          </w:tcPr>
          <w:p>
            <w:r>
              <w:rPr>
                <w:sz w:val="19"/>
              </w:rPr>
              <w:t>it is bytes — 15% of the 20 GiB you allocated. Type the raw digits, no commas and no units. The graph above the field renders in GB, but the field itself is bytes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Datapoints to alarm</w:t>
            </w:r>
          </w:p>
        </w:tc>
        <w:tc>
          <w:tcPr>
            <w:tcW w:type="dxa" w:w="6576"/>
            <w:tcBorders>
              <w:top w:val="single" w:sz="4" w:space="0" w:color="E4DED3"/>
              <w:left w:val="single" w:sz="4" w:space="0" w:color="E4DED3"/>
              <w:bottom w:val="single" w:sz="4" w:space="0" w:color="E4DED3"/>
              <w:right w:val="single" w:sz="4" w:space="0" w:color="E4DED3"/>
            </w:tcBorders>
          </w:tcPr>
          <w:p>
            <w:r>
              <w:rPr>
                <w:sz w:val="19"/>
              </w:rPr>
              <w:t>2 out of 2</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Missing data treatment</w:t>
            </w:r>
          </w:p>
        </w:tc>
        <w:tc>
          <w:tcPr>
            <w:tcW w:type="dxa" w:w="6576"/>
            <w:tcBorders>
              <w:top w:val="single" w:sz="4" w:space="0" w:color="E4DED3"/>
              <w:left w:val="single" w:sz="4" w:space="0" w:color="E4DED3"/>
              <w:bottom w:val="single" w:sz="4" w:space="0" w:color="E4DED3"/>
              <w:right w:val="single" w:sz="4" w:space="0" w:color="E4DED3"/>
            </w:tcBorders>
          </w:tcPr>
          <w:p>
            <w:r>
              <w:rPr>
                <w:sz w:val="19"/>
              </w:rPr>
              <w:t>Treat missing data as missing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Notification</w:t>
            </w:r>
          </w:p>
        </w:tc>
        <w:tc>
          <w:tcPr>
            <w:tcW w:type="dxa" w:w="6576"/>
            <w:tcBorders>
              <w:top w:val="single" w:sz="4" w:space="0" w:color="E4DED3"/>
              <w:left w:val="single" w:sz="4" w:space="0" w:color="E4DED3"/>
              <w:bottom w:val="single" w:sz="4" w:space="0" w:color="E4DED3"/>
              <w:right w:val="single" w:sz="4" w:space="0" w:color="E4DED3"/>
            </w:tcBorders>
          </w:tcPr>
          <w:p>
            <w:r>
              <w:rPr>
                <w:sz w:val="19"/>
              </w:rPr>
              <w:t>In alarm → yat-lms-alerts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yat-lms-db-storage-low</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Description</w:t>
            </w:r>
          </w:p>
        </w:tc>
        <w:tc>
          <w:tcPr>
            <w:tcW w:type="dxa" w:w="6576"/>
            <w:tcBorders>
              <w:top w:val="single" w:sz="4" w:space="0" w:color="E4DED3"/>
              <w:left w:val="single" w:sz="4" w:space="0" w:color="E4DED3"/>
              <w:bottom w:val="single" w:sz="4" w:space="0" w:color="E4DED3"/>
              <w:right w:val="single" w:sz="4" w:space="0" w:color="E4DED3"/>
            </w:tcBorders>
          </w:tcPr>
          <w:p>
            <w:r>
              <w:rPr>
                <w:sz w:val="19"/>
              </w:rPr>
              <w:t>record the allocated size the threshold is based on — 15% of 20 GiB allocated. The number alone does not tell anyone whether it is still correct after the storage is resized</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alarm list showing both alarms with their metrics, thresholds and current state.</w:t>
            </w:r>
          </w:p>
        </w:tc>
      </w:tr>
    </w:tbl>
    <w:p/>
    <w:p>
      <w:pPr>
        <w:pStyle w:val="Heading1"/>
      </w:pPr>
      <w:r>
        <w:t>Testing</w:t>
      </w:r>
    </w:p>
    <w:p>
      <w:pPr>
        <w:spacing w:after="200"/>
      </w:pPr>
      <w:r>
        <w:rPr>
          <w:b w:val="0"/>
          <w:i/>
          <w:color w:val="6B6660"/>
          <w:sz w:val="19"/>
        </w:rPr>
        <w:t>Five tests confirm the build works. Each tells you what it demonstrates and the steps to run it. Follow the steps, then paste the screenshot into the box. If a test does not pass, fix the problem, run it again, and note what you changed.</w:t>
      </w:r>
    </w:p>
    <w:p>
      <w:pPr>
        <w:spacing w:before="200" w:after="0"/>
      </w:pPr>
      <w:r>
        <w:rPr>
          <w:b/>
          <w:color w:val="1F5A5C"/>
          <w:sz w:val="16"/>
        </w:rPr>
        <w:t>TEST 1</w:t>
      </w:r>
    </w:p>
    <w:p>
      <w:pPr>
        <w:pStyle w:val="Heading2"/>
      </w:pPr>
      <w:r>
        <w:t>Connect to the application server</w:t>
      </w:r>
    </w:p>
    <w:p>
      <w:pPr>
        <w:spacing w:after="120"/>
      </w:pPr>
      <w:r>
        <w:rPr>
          <w:b w:val="0"/>
          <w:i w:val="0"/>
          <w:sz w:val="21"/>
        </w:rPr>
        <w:t>Connect to your application server using Session Manager, then run the command below. This shows you can reach the server you built.</w:t>
      </w:r>
    </w:p>
    <w:p>
      <w:pPr>
        <w:spacing w:after="60"/>
        <w:ind w:left="340"/>
      </w:pPr>
      <w:r>
        <w:rPr>
          <w:b/>
          <w:sz w:val="21"/>
        </w:rPr>
        <w:t xml:space="preserve">1.  </w:t>
      </w:r>
      <w:r>
        <w:rPr>
          <w:sz w:val="21"/>
        </w:rPr>
        <w:t>Open EC2 → Instances and select the running instance.</w:t>
      </w:r>
    </w:p>
    <w:p>
      <w:pPr>
        <w:spacing w:after="60"/>
        <w:ind w:left="340"/>
      </w:pPr>
      <w:r>
        <w:rPr>
          <w:b/>
          <w:sz w:val="21"/>
        </w:rPr>
        <w:t xml:space="preserve">2.  </w:t>
      </w:r>
      <w:r>
        <w:rPr>
          <w:sz w:val="21"/>
        </w:rPr>
        <w:t>Choose Connect, then the Session Manager tab, then Connect.</w:t>
      </w:r>
    </w:p>
    <w:p>
      <w:pPr>
        <w:spacing w:after="60"/>
        <w:ind w:left="340"/>
      </w:pPr>
      <w:r>
        <w:rPr>
          <w:b/>
          <w:sz w:val="21"/>
        </w:rPr>
        <w:t xml:space="preserve">3.  </w:t>
      </w:r>
      <w:r>
        <w:rPr>
          <w:sz w:val="21"/>
        </w:rPr>
        <w:t>A PowerShell session opens in the browser. Run the command below.</w:t>
      </w:r>
    </w:p>
    <w:p/>
    <w:p>
      <w:pPr>
        <w:spacing w:after="60"/>
      </w:pPr>
      <w:r>
        <w:rPr>
          <w:b/>
          <w:i w:val="0"/>
          <w:sz w:val="21"/>
        </w:rPr>
        <w:t>Run this</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spacing w:after="0"/>
            </w:pPr>
            <w:r>
              <w:rPr>
                <w:rFonts w:ascii="Consolas" w:hAnsi="Consolas"/>
                <w:sz w:val="18"/>
              </w:rPr>
              <w:t>hostname</w:t>
            </w:r>
          </w:p>
        </w:tc>
      </w:tr>
    </w:tbl>
    <w:p/>
    <w:p>
      <w:pPr>
        <w:spacing w:before="80" w:after="160"/>
        <w:ind w:left="227"/>
      </w:pPr>
      <w:r>
        <w:rPr>
          <w:b/>
          <w:color w:val="C5613B"/>
          <w:sz w:val="19"/>
        </w:rPr>
        <w:t xml:space="preserve">Environment constraint </w:t>
      </w:r>
      <w:r>
        <w:rPr>
          <w:i/>
          <w:color w:val="C5613B"/>
          <w:sz w:val="19"/>
        </w:rPr>
        <w:t>Session Manager needs no key pair, no open port and no public IP address. That is why your server can sit in a private subnet with nothing exposed to the internet and still be reachable by you.</w:t>
      </w:r>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session window, showing the connection open and the hostname it returned.</w:t>
            </w:r>
          </w:p>
        </w:tc>
      </w:tr>
    </w:tbl>
    <w:p/>
    <w:p>
      <w:pPr>
        <w:spacing w:before="200" w:after="0"/>
      </w:pPr>
      <w:r>
        <w:rPr>
          <w:b/>
          <w:color w:val="1F5A5C"/>
          <w:sz w:val="16"/>
        </w:rPr>
        <w:t>TEST 2</w:t>
      </w:r>
    </w:p>
    <w:p>
      <w:pPr>
        <w:pStyle w:val="Heading2"/>
      </w:pPr>
      <w:r>
        <w:t>Reach the internet from the application server</w:t>
      </w:r>
    </w:p>
    <w:p>
      <w:pPr>
        <w:spacing w:after="120"/>
      </w:pPr>
      <w:r>
        <w:rPr>
          <w:b w:val="0"/>
          <w:i w:val="0"/>
          <w:sz w:val="21"/>
        </w:rPr>
        <w:t>Run the command below in the session you opened in test 1. This shows the server can reach the internet through the NAT gateway.</w:t>
      </w:r>
    </w:p>
    <w:p>
      <w:pPr>
        <w:spacing w:after="60"/>
        <w:ind w:left="340"/>
      </w:pPr>
      <w:r>
        <w:rPr>
          <w:b/>
          <w:sz w:val="21"/>
        </w:rPr>
        <w:t xml:space="preserve">1.  </w:t>
      </w:r>
      <w:r>
        <w:rPr>
          <w:sz w:val="21"/>
        </w:rPr>
        <w:t>Run the command below.</w:t>
      </w:r>
    </w:p>
    <w:p>
      <w:pPr>
        <w:spacing w:after="60"/>
        <w:ind w:left="340"/>
      </w:pPr>
      <w:r>
        <w:rPr>
          <w:b/>
          <w:sz w:val="21"/>
        </w:rPr>
        <w:t xml:space="preserve">2.  </w:t>
      </w:r>
      <w:r>
        <w:rPr>
          <w:sz w:val="21"/>
        </w:rPr>
        <w:t>Confirm it returns StatusCode 200.</w:t>
      </w:r>
    </w:p>
    <w:p/>
    <w:p>
      <w:pPr>
        <w:spacing w:after="60"/>
      </w:pPr>
      <w:r>
        <w:rPr>
          <w:b/>
          <w:i w:val="0"/>
          <w:sz w:val="21"/>
        </w:rPr>
        <w:t>Run this</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spacing w:after="0"/>
            </w:pPr>
            <w:r>
              <w:rPr>
                <w:rFonts w:ascii="Consolas" w:hAnsi="Consolas"/>
                <w:sz w:val="18"/>
              </w:rPr>
              <w:t>Invoke-WebRequest -Uri https://aws.amazon.com -UseBasicParsing |</w:t>
            </w:r>
          </w:p>
          <w:p>
            <w:pPr>
              <w:spacing w:after="0"/>
            </w:pPr>
            <w:r>
              <w:rPr>
                <w:rFonts w:ascii="Consolas" w:hAnsi="Consolas"/>
                <w:sz w:val="18"/>
              </w:rPr>
              <w:t xml:space="preserve">    Select-Object StatusCode</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command and the status code it returned.</w:t>
            </w:r>
          </w:p>
        </w:tc>
      </w:tr>
    </w:tbl>
    <w:p/>
    <w:p>
      <w:pPr>
        <w:spacing w:before="200" w:after="0"/>
      </w:pPr>
      <w:r>
        <w:rPr>
          <w:b/>
          <w:color w:val="1F5A5C"/>
          <w:sz w:val="16"/>
        </w:rPr>
        <w:t>TEST 3</w:t>
      </w:r>
    </w:p>
    <w:p>
      <w:pPr>
        <w:pStyle w:val="Heading2"/>
      </w:pPr>
      <w:r>
        <w:t>Reach the database from the application server</w:t>
      </w:r>
    </w:p>
    <w:p>
      <w:pPr>
        <w:spacing w:after="120"/>
      </w:pPr>
      <w:r>
        <w:rPr>
          <w:b w:val="0"/>
          <w:i w:val="0"/>
          <w:sz w:val="21"/>
        </w:rPr>
        <w:t>Run the command below in the same session. This shows the application tier can reach the database tier privately, over the database port.</w:t>
      </w:r>
    </w:p>
    <w:p>
      <w:pPr>
        <w:spacing w:after="60"/>
        <w:ind w:left="340"/>
      </w:pPr>
      <w:r>
        <w:rPr>
          <w:b/>
          <w:sz w:val="21"/>
        </w:rPr>
        <w:t xml:space="preserve">1.  </w:t>
      </w:r>
      <w:r>
        <w:rPr>
          <w:sz w:val="21"/>
        </w:rPr>
        <w:t>Open RDS → Databases → your database → Connectivity &amp; security, and copy the Endpoint. It looks like yat-lms-db.something.us-east-1.rds.amazonaws.com</w:t>
      </w:r>
    </w:p>
    <w:p>
      <w:pPr>
        <w:spacing w:after="60"/>
        <w:ind w:left="340"/>
      </w:pPr>
      <w:r>
        <w:rPr>
          <w:b/>
          <w:sz w:val="21"/>
        </w:rPr>
        <w:t xml:space="preserve">2.  </w:t>
      </w:r>
      <w:r>
        <w:rPr>
          <w:sz w:val="21"/>
        </w:rPr>
        <w:t>Run the command below, replacing &lt;YOUR-DB-ENDPOINT&gt; with the address you just copied. Do not paste the command as it is written — it will fail to resolve.</w:t>
      </w:r>
    </w:p>
    <w:p>
      <w:pPr>
        <w:spacing w:after="60"/>
        <w:ind w:left="340"/>
      </w:pPr>
      <w:r>
        <w:rPr>
          <w:b/>
          <w:sz w:val="21"/>
        </w:rPr>
        <w:t xml:space="preserve">3.  </w:t>
      </w:r>
      <w:r>
        <w:rPr>
          <w:sz w:val="21"/>
        </w:rPr>
        <w:t>Confirm the result reads TcpTestSucceeded : True.</w:t>
      </w:r>
    </w:p>
    <w:p/>
    <w:p>
      <w:pPr>
        <w:spacing w:after="60"/>
      </w:pPr>
      <w:r>
        <w:rPr>
          <w:b/>
          <w:i w:val="0"/>
          <w:sz w:val="21"/>
        </w:rPr>
        <w:t>Run this</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spacing w:after="0"/>
            </w:pPr>
            <w:r>
              <w:rPr>
                <w:rFonts w:ascii="Consolas" w:hAnsi="Consolas"/>
                <w:sz w:val="18"/>
              </w:rPr>
              <w:t>Test-NetConnection &lt;YOUR-DB-ENDPOINT&gt; -Port 3306</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command and its output showing TcpTestSucceeded : True.</w:t>
            </w:r>
          </w:p>
        </w:tc>
      </w:tr>
    </w:tbl>
    <w:p/>
    <w:p>
      <w:pPr>
        <w:spacing w:before="200" w:after="0"/>
      </w:pPr>
      <w:r>
        <w:rPr>
          <w:b/>
          <w:color w:val="1F5A5C"/>
          <w:sz w:val="16"/>
        </w:rPr>
        <w:t>TEST 4</w:t>
      </w:r>
    </w:p>
    <w:p>
      <w:pPr>
        <w:pStyle w:val="Heading2"/>
      </w:pPr>
      <w:r>
        <w:t>Reach the application through the load balancer</w:t>
      </w:r>
    </w:p>
    <w:p>
      <w:pPr>
        <w:spacing w:after="120"/>
      </w:pPr>
      <w:r>
        <w:rPr>
          <w:b w:val="0"/>
          <w:i w:val="0"/>
          <w:sz w:val="21"/>
        </w:rPr>
        <w:t>Open your load balancer address in a web browser on your own computer. This shows the whole path works — the internet reaches the load balancer, the load balancer reaches your private server, and the server serves the page.</w:t>
      </w:r>
    </w:p>
    <w:p>
      <w:pPr>
        <w:spacing w:after="60"/>
        <w:ind w:left="340"/>
      </w:pPr>
      <w:r>
        <w:rPr>
          <w:b/>
          <w:sz w:val="21"/>
        </w:rPr>
        <w:t xml:space="preserve">1.  </w:t>
      </w:r>
      <w:r>
        <w:rPr>
          <w:sz w:val="21"/>
        </w:rPr>
        <w:t>Open EC2 → Load Balancers and copy the DNS name of yat-lms-alb.</w:t>
      </w:r>
    </w:p>
    <w:p>
      <w:pPr>
        <w:spacing w:after="60"/>
        <w:ind w:left="340"/>
      </w:pPr>
      <w:r>
        <w:rPr>
          <w:b/>
          <w:sz w:val="21"/>
        </w:rPr>
        <w:t xml:space="preserve">2.  </w:t>
      </w:r>
      <w:r>
        <w:rPr>
          <w:sz w:val="21"/>
        </w:rPr>
        <w:t>Paste it into a browser tab on your own machine, with http:// in front of it.</w:t>
      </w:r>
    </w:p>
    <w:p>
      <w:pPr>
        <w:spacing w:after="60"/>
        <w:ind w:left="340"/>
      </w:pPr>
      <w:r>
        <w:rPr>
          <w:b/>
          <w:sz w:val="21"/>
        </w:rPr>
        <w:t xml:space="preserve">3.  </w:t>
      </w:r>
      <w:r>
        <w:rPr>
          <w:sz w:val="21"/>
        </w:rPr>
        <w:t>Confirm the placeholder page loads.</w:t>
      </w:r>
    </w:p>
    <w:p/>
    <w:p>
      <w:pPr>
        <w:spacing w:before="80" w:after="160"/>
        <w:ind w:left="227"/>
      </w:pPr>
      <w:r>
        <w:rPr>
          <w:b/>
          <w:color w:val="C5613B"/>
          <w:sz w:val="19"/>
        </w:rPr>
        <w:t xml:space="preserve">Environment constraint </w:t>
      </w:r>
      <w:r>
        <w:rPr>
          <w:i/>
          <w:color w:val="C5613B"/>
          <w:sz w:val="19"/>
        </w:rPr>
        <w:t>your server has no public address, so what you are reaching is the load balancer. It is the only thing allowed to talk to the server, which is what the security groups enforce.</w:t>
      </w:r>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browser showing the page, with the load balancer address visible in the address bar.</w:t>
            </w:r>
          </w:p>
        </w:tc>
      </w:tr>
    </w:tbl>
    <w:p/>
    <w:p>
      <w:pPr>
        <w:spacing w:before="200" w:after="0"/>
      </w:pPr>
      <w:r>
        <w:rPr>
          <w:b/>
          <w:color w:val="1F5A5C"/>
          <w:sz w:val="16"/>
        </w:rPr>
        <w:t>TEST 5</w:t>
      </w:r>
    </w:p>
    <w:p>
      <w:pPr>
        <w:pStyle w:val="Heading2"/>
      </w:pPr>
      <w:r>
        <w:t>Automatic scaling</w:t>
      </w:r>
    </w:p>
    <w:p>
      <w:pPr>
        <w:spacing w:after="120"/>
      </w:pPr>
      <w:r>
        <w:rPr>
          <w:b w:val="0"/>
          <w:i w:val="0"/>
          <w:sz w:val="21"/>
        </w:rPr>
        <w:t>Change the scaling policy as described below and watch what happens. This shows the Auto Scaling group adds and removes servers on its own, without you changing the instance count.</w:t>
      </w:r>
    </w:p>
    <w:p>
      <w:pPr>
        <w:spacing w:after="60"/>
        <w:ind w:left="340"/>
      </w:pPr>
      <w:r>
        <w:rPr>
          <w:b/>
          <w:sz w:val="21"/>
        </w:rPr>
        <w:t xml:space="preserve">1.  </w:t>
      </w:r>
      <w:r>
        <w:rPr>
          <w:sz w:val="21"/>
        </w:rPr>
        <w:t>Open EC2 → Instances, select your running instance and open the Monitoring tab. Read the CPU utilization figure — on an idle server it will be low, often only one or two percent.</w:t>
      </w:r>
    </w:p>
    <w:p>
      <w:pPr>
        <w:spacing w:after="60"/>
        <w:ind w:left="340"/>
      </w:pPr>
      <w:r>
        <w:rPr>
          <w:b/>
          <w:sz w:val="21"/>
        </w:rPr>
        <w:t xml:space="preserve">2.  </w:t>
      </w:r>
      <w:r>
        <w:rPr>
          <w:sz w:val="21"/>
        </w:rPr>
        <w:t>Open your Auto Scaling group and go to the Automatic scaling tab.</w:t>
      </w:r>
    </w:p>
    <w:p>
      <w:pPr>
        <w:spacing w:after="60"/>
        <w:ind w:left="340"/>
      </w:pPr>
      <w:r>
        <w:rPr>
          <w:b/>
          <w:sz w:val="21"/>
        </w:rPr>
        <w:t xml:space="preserve">3.  </w:t>
      </w:r>
      <w:r>
        <w:rPr>
          <w:sz w:val="21"/>
        </w:rPr>
        <w:t>Edit the target tracking policy and set the target value BELOW the figure you just read, then save. The policy keeps average CPU at the target, so a target above current usage tells it to scale in rather than out. If your reading is very low, use 1.</w:t>
      </w:r>
    </w:p>
    <w:p>
      <w:pPr>
        <w:spacing w:after="60"/>
        <w:ind w:left="340"/>
      </w:pPr>
      <w:r>
        <w:rPr>
          <w:b/>
          <w:sz w:val="21"/>
        </w:rPr>
        <w:t xml:space="preserve">4.  </w:t>
      </w:r>
      <w:r>
        <w:rPr>
          <w:sz w:val="21"/>
        </w:rPr>
        <w:t>Watch the Activity tab until a second instance launches and enters service.</w:t>
      </w:r>
    </w:p>
    <w:p>
      <w:pPr>
        <w:spacing w:after="60"/>
        <w:ind w:left="340"/>
      </w:pPr>
      <w:r>
        <w:rPr>
          <w:b/>
          <w:sz w:val="21"/>
        </w:rPr>
        <w:t xml:space="preserve">5.  </w:t>
      </w:r>
      <w:r>
        <w:rPr>
          <w:sz w:val="21"/>
        </w:rPr>
        <w:t>Edit the policy again, raise the target value to 90, and save.</w:t>
      </w:r>
    </w:p>
    <w:p>
      <w:pPr>
        <w:spacing w:after="60"/>
        <w:ind w:left="340"/>
      </w:pPr>
      <w:r>
        <w:rPr>
          <w:b/>
          <w:sz w:val="21"/>
        </w:rPr>
        <w:t xml:space="preserve">6.  </w:t>
      </w:r>
      <w:r>
        <w:rPr>
          <w:sz w:val="21"/>
        </w:rPr>
        <w:t>Watch the Activity tab until the group scales back to one instance.</w:t>
      </w:r>
    </w:p>
    <w:p>
      <w:pPr>
        <w:spacing w:after="60"/>
        <w:ind w:left="340"/>
      </w:pPr>
      <w:r>
        <w:rPr>
          <w:b/>
          <w:sz w:val="21"/>
        </w:rPr>
        <w:t xml:space="preserve">7.  </w:t>
      </w:r>
      <w:r>
        <w:rPr>
          <w:sz w:val="21"/>
        </w:rPr>
        <w:t>Set the target value back to 70.</w:t>
      </w:r>
    </w:p>
    <w:p/>
    <w:p>
      <w:pPr>
        <w:spacing w:before="80" w:after="160"/>
        <w:ind w:left="227"/>
      </w:pPr>
      <w:r>
        <w:rPr>
          <w:b/>
          <w:color w:val="C5613B"/>
          <w:sz w:val="19"/>
        </w:rPr>
        <w:t xml:space="preserve">Environment constraint </w:t>
      </w:r>
      <w:r>
        <w:rPr>
          <w:i/>
          <w:color w:val="C5613B"/>
          <w:sz w:val="19"/>
        </w:rPr>
        <w:t>scaling in is slower than scaling out — give it several minutes before deciding it has not worked.</w:t>
      </w:r>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Activity tab, showing both the scale-out and the scale-in entries with their times.</w:t>
            </w:r>
          </w:p>
        </w:tc>
      </w:tr>
    </w:tbl>
    <w:p/>
    <w:p>
      <w:pPr>
        <w:pStyle w:val="Heading1"/>
      </w:pPr>
      <w:r>
        <w:t>Knowledge questions</w:t>
      </w:r>
    </w:p>
    <w:p>
      <w:pPr>
        <w:spacing w:after="200"/>
      </w:pPr>
      <w:r>
        <w:rPr>
          <w:b w:val="0"/>
          <w:i/>
          <w:color w:val="6B6660"/>
          <w:sz w:val="19"/>
        </w:rPr>
        <w:t>Answer each question about your own build, not in general terms. Refer to what you actually created and the choices you actually made.</w:t>
      </w:r>
    </w:p>
    <w:p>
      <w:pPr>
        <w:spacing w:before="200" w:after="0"/>
      </w:pPr>
      <w:r>
        <w:rPr>
          <w:b/>
          <w:color w:val="1F5A5C"/>
          <w:sz w:val="16"/>
        </w:rPr>
        <w:t>QUESTION 1</w:t>
      </w:r>
    </w:p>
    <w:p>
      <w:pPr>
        <w:pStyle w:val="Heading2"/>
      </w:pPr>
      <w:r>
        <w:t>Name the compute, networking and scaling services you depl...</w:t>
      </w:r>
    </w:p>
    <w:p>
      <w:pPr>
        <w:spacing w:after="120"/>
      </w:pPr>
      <w:r>
        <w:rPr>
          <w:b w:val="0"/>
          <w:i w:val="0"/>
          <w:sz w:val="21"/>
        </w:rPr>
        <w:t>Name the compute, networking and scaling services you deployed. For each, explain the feature it provides and how it supports the YAT LMS specifically.</w:t>
      </w:r>
    </w:p>
    <w:p>
      <w:pPr>
        <w:spacing w:after="60"/>
      </w:pPr>
      <w:r>
        <w:rPr>
          <w:b/>
          <w:i w:val="0"/>
          <w:sz w:val="21"/>
        </w:rPr>
        <w:t>Related resources</w:t>
      </w:r>
    </w:p>
    <w:p>
      <w:pPr>
        <w:spacing w:after="80"/>
        <w:ind w:left="340"/>
      </w:pPr>
      <w:r>
        <w:rPr>
          <w:sz w:val="21"/>
        </w:rPr>
        <w:t xml:space="preserve">•  </w:t>
      </w:r>
      <w:hyperlink r:id="rId17">
        <w:r>
          <w:rPr>
            <w:sz w:val="21"/>
            <w:color w:val="0563C1"/>
            <w:u w:val="single"/>
          </w:rPr>
          <w:t>LMS Application Specification — the user population, concurrent load and service-level expectations your services have to support</w:t>
        </w:r>
      </w:hyperlink>
    </w:p>
    <w:p>
      <w:pPr>
        <w:spacing w:after="80"/>
        <w:ind w:left="340"/>
      </w:pPr>
      <w:r>
        <w:rPr>
          <w:sz w:val="21"/>
        </w:rPr>
        <w:t xml:space="preserve">•  </w:t>
      </w:r>
      <w:hyperlink r:id="rId19">
        <w:r>
          <w:rPr>
            <w:sz w:val="21"/>
            <w:color w:val="0563C1"/>
            <w:u w:val="single"/>
          </w:rPr>
          <w:t>LMS Cloud Architecture — Baseline Design — the design your build implements</w:t>
        </w:r>
      </w:hyperlink>
    </w:p>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QUESTION 2</w:t>
      </w:r>
    </w:p>
    <w:p>
      <w:pPr>
        <w:pStyle w:val="Heading2"/>
      </w:pPr>
      <w:r>
        <w:t>In your build: (a) why a managed database service rather t...</w:t>
      </w:r>
    </w:p>
    <w:p>
      <w:pPr>
        <w:spacing w:after="120"/>
      </w:pPr>
      <w:r>
        <w:rPr>
          <w:b w:val="0"/>
          <w:i w:val="0"/>
          <w:sz w:val="21"/>
        </w:rPr>
        <w:t>In your build: (a) why a managed database service rather than running the database on the server yourself? (b) your build uses block storage in two places — the volumes on the server and the storage behind the database. Explain how block storage differs from object storage, and when each is the right choice for an LMS. (c) why scale horizontally rather than vertically, and what does that trade off?</w:t>
      </w:r>
    </w:p>
    <w:p>
      <w:pPr>
        <w:spacing w:after="60"/>
      </w:pPr>
      <w:r>
        <w:rPr>
          <w:b/>
          <w:i w:val="0"/>
          <w:sz w:val="21"/>
        </w:rPr>
        <w:t>Related resources</w:t>
      </w:r>
    </w:p>
    <w:p>
      <w:pPr>
        <w:spacing w:after="80"/>
        <w:ind w:left="340"/>
      </w:pPr>
      <w:r>
        <w:rPr>
          <w:sz w:val="21"/>
        </w:rPr>
        <w:t xml:space="preserve">•  </w:t>
      </w:r>
      <w:hyperlink r:id="rId19">
        <w:r>
          <w:rPr>
            <w:sz w:val="21"/>
            <w:color w:val="0563C1"/>
            <w:u w:val="single"/>
          </w:rPr>
          <w:t>LMS Cloud Architecture — Baseline Design — why the design chose a managed database and a scaling group rather than a single larger server</w:t>
        </w:r>
      </w:hyperlink>
    </w:p>
    <w:p>
      <w:pPr>
        <w:spacing w:after="80"/>
        <w:ind w:left="340"/>
      </w:pPr>
      <w:r>
        <w:rPr>
          <w:sz w:val="21"/>
        </w:rPr>
        <w:t xml:space="preserve">•  </w:t>
      </w:r>
      <w:hyperlink r:id="rId17">
        <w:r>
          <w:rPr>
            <w:sz w:val="21"/>
            <w:color w:val="0563C1"/>
            <w:u w:val="single"/>
          </w:rPr>
          <w:t>LMS Application Specification — what the LMS stores, which is what the storage choices have to suit</w:t>
        </w:r>
      </w:hyperlink>
    </w:p>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QUESTION 3</w:t>
      </w:r>
    </w:p>
    <w:p>
      <w:pPr>
        <w:pStyle w:val="Heading2"/>
      </w:pPr>
      <w:r>
        <w:t>Using your own environment, name two responsibilities that...</w:t>
      </w:r>
    </w:p>
    <w:p>
      <w:pPr>
        <w:spacing w:after="120"/>
      </w:pPr>
      <w:r>
        <w:rPr>
          <w:b w:val="0"/>
          <w:i w:val="0"/>
          <w:sz w:val="21"/>
        </w:rPr>
        <w:t>Using your own environment, name two responsibilities that remain YAT's and one that shifted to AWS under the shared-responsibility model, and say why each falls where it does.</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QUESTION 4</w:t>
      </w:r>
    </w:p>
    <w:p>
      <w:pPr>
        <w:pStyle w:val="Heading2"/>
      </w:pPr>
      <w:r>
        <w:t>Pick one IAM group you created. Describe the permissions y...</w:t>
      </w:r>
    </w:p>
    <w:p>
      <w:pPr>
        <w:spacing w:after="120"/>
      </w:pPr>
      <w:r>
        <w:rPr>
          <w:b w:val="0"/>
          <w:i w:val="0"/>
          <w:sz w:val="21"/>
        </w:rPr>
        <w:t>Pick one IAM group you created. Describe the permissions you gave it, the job function it serves, and why its permissions differ from another group in your build.</w:t>
      </w:r>
    </w:p>
    <w:p>
      <w:pPr>
        <w:spacing w:after="60"/>
      </w:pPr>
      <w:r>
        <w:rPr>
          <w:b/>
          <w:i w:val="0"/>
          <w:sz w:val="21"/>
        </w:rPr>
        <w:t>Related resources</w:t>
      </w:r>
    </w:p>
    <w:p>
      <w:pPr>
        <w:spacing w:after="80"/>
        <w:ind w:left="340"/>
      </w:pPr>
      <w:r>
        <w:rPr>
          <w:sz w:val="21"/>
        </w:rPr>
        <w:t xml:space="preserve">•  </w:t>
      </w:r>
      <w:hyperlink r:id="rId20">
        <w:r>
          <w:rPr>
            <w:sz w:val="21"/>
            <w:color w:val="0563C1"/>
            <w:u w:val="single"/>
          </w:rPr>
          <w:t>User Access Policy — YAT's role-based access model, its role groups and permissions matrix, and its rules on privileged access</w:t>
        </w:r>
      </w:hyperlink>
    </w:p>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QUESTION 5</w:t>
      </w:r>
    </w:p>
    <w:p>
      <w:pPr>
        <w:pStyle w:val="Heading2"/>
      </w:pPr>
      <w:r>
        <w:t>The yat-lms-db-sg security group you created in task 7 per...</w:t>
      </w:r>
    </w:p>
    <w:p>
      <w:pPr>
        <w:spacing w:after="120"/>
      </w:pPr>
      <w:r>
        <w:rPr>
          <w:b w:val="0"/>
          <w:i w:val="0"/>
          <w:sz w:val="21"/>
        </w:rPr>
        <w:t>The yat-lms-db-sg security group you created in task 7 permits MySQL traffic on port 3306 from one source only. State the rule exactly as you configured it, explain why the database is restricted this way rather than being reachable from the internet, and describe the risk to YAT if that restriction were removed.</w:t>
      </w:r>
    </w:p>
    <w:p>
      <w:pPr>
        <w:spacing w:after="60"/>
      </w:pPr>
      <w:r>
        <w:rPr>
          <w:b/>
          <w:i w:val="0"/>
          <w:sz w:val="21"/>
        </w:rPr>
        <w:t>Related resources</w:t>
      </w:r>
    </w:p>
    <w:p>
      <w:pPr>
        <w:spacing w:after="80"/>
        <w:ind w:left="340"/>
      </w:pPr>
      <w:r>
        <w:rPr>
          <w:sz w:val="21"/>
        </w:rPr>
        <w:t xml:space="preserve">•  </w:t>
      </w:r>
      <w:hyperlink r:id="rId21">
        <w:r>
          <w:rPr>
            <w:sz w:val="21"/>
            <w:color w:val="0563C1"/>
            <w:u w:val="single"/>
          </w:rPr>
          <w:t>LMS Application Specification § 4, Data stored — what the MySQL database actually holds</w:t>
        </w:r>
      </w:hyperlink>
    </w:p>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QUESTION 6</w:t>
      </w:r>
    </w:p>
    <w:p>
      <w:pPr>
        <w:pStyle w:val="Heading2"/>
      </w:pPr>
      <w:r>
        <w:t>When a YAT staff member types the LMS address into their b...</w:t>
      </w:r>
    </w:p>
    <w:p>
      <w:pPr>
        <w:spacing w:after="120"/>
      </w:pPr>
      <w:r>
        <w:rPr>
          <w:b w:val="0"/>
          <w:i w:val="0"/>
          <w:sz w:val="21"/>
        </w:rPr>
        <w:t>When a YAT staff member types the LMS address into their browser, DNS resolution has to happen before anything else can. Explain what DNS does at that moment in your deployment, and what would fail for YAT if it were misconfigured.</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pStyle w:val="Heading1"/>
      </w:pPr>
      <w:r>
        <w:t>Handover</w:t>
      </w:r>
    </w:p>
    <w:p>
      <w:pPr>
        <w:pStyle w:val="Heading2"/>
      </w:pPr>
      <w:r>
        <w:t>File the completed run sheet</w:t>
      </w:r>
    </w:p>
    <w:p>
      <w:pPr>
        <w:spacing w:after="120"/>
      </w:pPr>
      <w:r>
        <w:rPr>
          <w:b w:val="0"/>
          <w:i w:val="0"/>
          <w:sz w:val="21"/>
        </w:rPr>
        <w:t>You have now built the platform, tested it and answered the questions. Hand the build over by filing this completed run sheet where YAT records procedures require, so YAT ICT can find it after the engagement ends. Do this last.</w:t>
      </w:r>
    </w:p>
    <w:p>
      <w:pPr>
        <w:spacing w:after="120"/>
      </w:pPr>
      <w:r>
        <w:rPr>
          <w:b w:val="0"/>
          <w:i/>
          <w:color w:val="6B6660"/>
          <w:sz w:val="19"/>
        </w:rPr>
        <w:t>State where you filed it and which YAT policy required that location.</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sectPr w:rsidR="00FA41B0" w:rsidRPr="00FA41B0" w:rsidSect="00C30098">
      <w:headerReference w:type="even" r:id="rId11"/>
      <w:headerReference w:type="default" r:id="rId12"/>
      <w:footerReference w:type="default" r:id="rId13"/>
      <w:headerReference w:type="first" r:id="rId14"/>
      <w:pgSz w:w="11906" w:h="16838"/>
      <w:pgMar w:top="720" w:right="720" w:bottom="720" w:left="720"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F68B9" w14:textId="77777777" w:rsidR="00C30098" w:rsidRDefault="00C30098" w:rsidP="00C022D4">
      <w:r>
        <w:separator/>
      </w:r>
    </w:p>
  </w:endnote>
  <w:endnote w:type="continuationSeparator" w:id="0">
    <w:p w14:paraId="2571CD4B" w14:textId="77777777" w:rsidR="00C30098" w:rsidRDefault="00C30098" w:rsidP="00C02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18BEB" w14:textId="77777777" w:rsidR="00ED22F9" w:rsidRPr="00C022D4" w:rsidRDefault="00ED22F9" w:rsidP="000333FE">
    <w:pPr>
      <w:pStyle w:val="Footer"/>
      <w:jc w:val="center"/>
    </w:pPr>
    <w:r w:rsidRPr="00C022D4">
      <w:t>Bendigo Kangan Institute trading as Bendigo TAFE and Kangan Institute.</w:t>
    </w:r>
  </w:p>
  <w:p w14:paraId="46217C47" w14:textId="77777777" w:rsidR="00ED22F9" w:rsidRPr="00C022D4" w:rsidRDefault="00ED22F9" w:rsidP="000333FE">
    <w:pPr>
      <w:pStyle w:val="Footer"/>
      <w:jc w:val="center"/>
    </w:pPr>
    <w:r w:rsidRPr="00C022D4">
      <w:t>RTO 3077 | CRICOS provider number 01218G</w:t>
    </w:r>
  </w:p>
  <w:p w14:paraId="618059EA" w14:textId="223B875D" w:rsidR="00F6546A" w:rsidRPr="00C022D4" w:rsidRDefault="00ED22F9" w:rsidP="000333FE">
    <w:pPr>
      <w:pStyle w:val="Footer"/>
      <w:tabs>
        <w:tab w:val="center" w:pos="5245"/>
        <w:tab w:val="right" w:pos="10632"/>
      </w:tabs>
    </w:pPr>
    <w:r w:rsidRPr="00C022D4">
      <w:t>Version 1.</w:t>
    </w:r>
    <w:r w:rsidR="00667552">
      <w:t>0</w:t>
    </w:r>
    <w:r w:rsidR="00667552">
      <w:rPr>
        <w:rStyle w:val="FooterChar"/>
      </w:rPr>
      <w:t xml:space="preserve">   (Template Version 1.3)</w:t>
    </w:r>
    <w:r w:rsidRPr="00C022D4">
      <w:tab/>
      <w:t xml:space="preserve">Last saved </w:t>
    </w:r>
    <w:r w:rsidRPr="00C022D4">
      <w:fldChar w:fldCharType="begin"/>
    </w:r>
    <w:r w:rsidRPr="00C022D4">
      <w:instrText xml:space="preserve"> SAVEDATE  \@ "d MMMM yyyy"  \* MERGEFORMAT </w:instrText>
    </w:r>
    <w:r w:rsidRPr="00C022D4">
      <w:fldChar w:fldCharType="separate"/>
    </w:r>
    <w:r w:rsidR="00667552">
      <w:rPr>
        <w:noProof/>
      </w:rPr>
      <w:t>13 April 2022</w:t>
    </w:r>
    <w:r w:rsidRPr="00C022D4">
      <w:fldChar w:fldCharType="end"/>
    </w:r>
    <w:r w:rsidRPr="00C022D4">
      <w:tab/>
      <w:t xml:space="preserve">Page </w:t>
    </w:r>
    <w:r w:rsidR="006478AF" w:rsidRPr="00C022D4">
      <w:fldChar w:fldCharType="begin"/>
    </w:r>
    <w:r w:rsidR="006478AF" w:rsidRPr="00C022D4">
      <w:instrText xml:space="preserve"> PAGE   \* MERGEFORMAT </w:instrText>
    </w:r>
    <w:r w:rsidR="006478AF" w:rsidRPr="00C022D4">
      <w:fldChar w:fldCharType="separate"/>
    </w:r>
    <w:r w:rsidR="00A96D27">
      <w:rPr>
        <w:noProof/>
      </w:rPr>
      <w:t>1</w:t>
    </w:r>
    <w:r w:rsidR="006478AF" w:rsidRPr="00C022D4">
      <w:fldChar w:fldCharType="end"/>
    </w:r>
    <w:r w:rsidRPr="00C022D4">
      <w:t xml:space="preserve"> of </w:t>
    </w:r>
    <w:fldSimple w:instr=" NUMPAGES   \* MERGEFORMAT ">
      <w:r w:rsidR="00A96D27">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72D2A" w14:textId="77777777" w:rsidR="00C30098" w:rsidRDefault="00C30098" w:rsidP="00C022D4">
      <w:r>
        <w:separator/>
      </w:r>
    </w:p>
  </w:footnote>
  <w:footnote w:type="continuationSeparator" w:id="0">
    <w:p w14:paraId="48A88BC6" w14:textId="77777777" w:rsidR="00C30098" w:rsidRDefault="00C30098" w:rsidP="00C02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4A1B4" w14:textId="4F9B04AC" w:rsidR="00667552" w:rsidRDefault="00667552">
    <w:pPr>
      <w:pStyle w:val="Header"/>
    </w:pPr>
    <w:r>
      <w:rPr>
        <w:noProof/>
      </w:rPr>
      <mc:AlternateContent>
        <mc:Choice Requires="wps">
          <w:drawing>
            <wp:anchor distT="0" distB="0" distL="0" distR="0" simplePos="0" relativeHeight="251659264" behindDoc="0" locked="0" layoutInCell="1" allowOverlap="1" wp14:anchorId="090F1141" wp14:editId="77B056E0">
              <wp:simplePos x="635" y="635"/>
              <wp:positionH relativeFrom="page">
                <wp:align>center</wp:align>
              </wp:positionH>
              <wp:positionV relativeFrom="page">
                <wp:align>top</wp:align>
              </wp:positionV>
              <wp:extent cx="443865" cy="443865"/>
              <wp:effectExtent l="0" t="0" r="635" b="4445"/>
              <wp:wrapNone/>
              <wp:docPr id="198491358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0F1141"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43CC9" w14:textId="34ADF34F" w:rsidR="00667552" w:rsidRDefault="00667552">
    <w:pPr>
      <w:pStyle w:val="Header"/>
    </w:pPr>
    <w:r>
      <w:rPr>
        <w:noProof/>
      </w:rPr>
      <mc:AlternateContent>
        <mc:Choice Requires="wps">
          <w:drawing>
            <wp:anchor distT="0" distB="0" distL="0" distR="0" simplePos="0" relativeHeight="251660288" behindDoc="0" locked="0" layoutInCell="1" allowOverlap="1" wp14:anchorId="105BE57C" wp14:editId="16ED05F6">
              <wp:simplePos x="457200" y="361950"/>
              <wp:positionH relativeFrom="page">
                <wp:align>center</wp:align>
              </wp:positionH>
              <wp:positionV relativeFrom="page">
                <wp:align>top</wp:align>
              </wp:positionV>
              <wp:extent cx="443865" cy="443865"/>
              <wp:effectExtent l="0" t="0" r="635" b="4445"/>
              <wp:wrapNone/>
              <wp:docPr id="123356696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5BE57C"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5F2F1" w14:textId="33B1C9AD" w:rsidR="00667552" w:rsidRDefault="00667552">
    <w:pPr>
      <w:pStyle w:val="Header"/>
    </w:pPr>
    <w:r>
      <w:rPr>
        <w:noProof/>
      </w:rPr>
      <mc:AlternateContent>
        <mc:Choice Requires="wps">
          <w:drawing>
            <wp:anchor distT="0" distB="0" distL="0" distR="0" simplePos="0" relativeHeight="251658240" behindDoc="0" locked="0" layoutInCell="1" allowOverlap="1" wp14:anchorId="4692CC49" wp14:editId="204BAE13">
              <wp:simplePos x="635" y="635"/>
              <wp:positionH relativeFrom="page">
                <wp:align>center</wp:align>
              </wp:positionH>
              <wp:positionV relativeFrom="page">
                <wp:align>top</wp:align>
              </wp:positionV>
              <wp:extent cx="443865" cy="443865"/>
              <wp:effectExtent l="0" t="0" r="635" b="4445"/>
              <wp:wrapNone/>
              <wp:docPr id="640007634"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92CC49"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5F6"/>
    <w:multiLevelType w:val="hybridMultilevel"/>
    <w:tmpl w:val="4E5EF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AF16D4A"/>
    <w:multiLevelType w:val="hybridMultilevel"/>
    <w:tmpl w:val="170C92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18380564">
    <w:abstractNumId w:val="0"/>
  </w:num>
  <w:num w:numId="2" w16cid:durableId="151133673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310A3"/>
    <w:rsid w:val="000333FE"/>
    <w:rsid w:val="00044B62"/>
    <w:rsid w:val="00054A74"/>
    <w:rsid w:val="00055BE3"/>
    <w:rsid w:val="00057B45"/>
    <w:rsid w:val="00063A13"/>
    <w:rsid w:val="00076D93"/>
    <w:rsid w:val="00096DC8"/>
    <w:rsid w:val="000C5DCF"/>
    <w:rsid w:val="000D4A69"/>
    <w:rsid w:val="000D5272"/>
    <w:rsid w:val="000D5C56"/>
    <w:rsid w:val="000E7FC5"/>
    <w:rsid w:val="000F75D7"/>
    <w:rsid w:val="001033DE"/>
    <w:rsid w:val="00115976"/>
    <w:rsid w:val="00115C1E"/>
    <w:rsid w:val="0013430A"/>
    <w:rsid w:val="00144B4B"/>
    <w:rsid w:val="001508CF"/>
    <w:rsid w:val="0016369D"/>
    <w:rsid w:val="001801EF"/>
    <w:rsid w:val="001A0758"/>
    <w:rsid w:val="001A0BF7"/>
    <w:rsid w:val="001A58E6"/>
    <w:rsid w:val="001A6C48"/>
    <w:rsid w:val="001A7DBF"/>
    <w:rsid w:val="001B05E7"/>
    <w:rsid w:val="001B1015"/>
    <w:rsid w:val="001B6CE8"/>
    <w:rsid w:val="001C1000"/>
    <w:rsid w:val="001C3E6D"/>
    <w:rsid w:val="001D729E"/>
    <w:rsid w:val="001D78D9"/>
    <w:rsid w:val="001E3325"/>
    <w:rsid w:val="001E6FFB"/>
    <w:rsid w:val="001E71A7"/>
    <w:rsid w:val="00202B8A"/>
    <w:rsid w:val="002044F8"/>
    <w:rsid w:val="00205DFA"/>
    <w:rsid w:val="002229E8"/>
    <w:rsid w:val="00222A66"/>
    <w:rsid w:val="002267D1"/>
    <w:rsid w:val="00226D05"/>
    <w:rsid w:val="00227508"/>
    <w:rsid w:val="00227BBC"/>
    <w:rsid w:val="0023398A"/>
    <w:rsid w:val="00236318"/>
    <w:rsid w:val="002363FC"/>
    <w:rsid w:val="00237960"/>
    <w:rsid w:val="00267155"/>
    <w:rsid w:val="00290616"/>
    <w:rsid w:val="0029391E"/>
    <w:rsid w:val="00293984"/>
    <w:rsid w:val="002A6715"/>
    <w:rsid w:val="002B15B6"/>
    <w:rsid w:val="002B1EC1"/>
    <w:rsid w:val="002B4C2D"/>
    <w:rsid w:val="002C2E32"/>
    <w:rsid w:val="002C33AB"/>
    <w:rsid w:val="002D1EB4"/>
    <w:rsid w:val="002D2911"/>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765FD"/>
    <w:rsid w:val="003A316B"/>
    <w:rsid w:val="003B1864"/>
    <w:rsid w:val="003C34A3"/>
    <w:rsid w:val="003C4945"/>
    <w:rsid w:val="003C63C3"/>
    <w:rsid w:val="003D3503"/>
    <w:rsid w:val="003F1F4E"/>
    <w:rsid w:val="003F3E39"/>
    <w:rsid w:val="003F4160"/>
    <w:rsid w:val="003F6EFC"/>
    <w:rsid w:val="00403949"/>
    <w:rsid w:val="00405C1A"/>
    <w:rsid w:val="004127A0"/>
    <w:rsid w:val="0041439C"/>
    <w:rsid w:val="00416D85"/>
    <w:rsid w:val="00421C6B"/>
    <w:rsid w:val="00423EF4"/>
    <w:rsid w:val="00424023"/>
    <w:rsid w:val="004272E6"/>
    <w:rsid w:val="00432DB0"/>
    <w:rsid w:val="0044532B"/>
    <w:rsid w:val="00452058"/>
    <w:rsid w:val="004622B1"/>
    <w:rsid w:val="00470387"/>
    <w:rsid w:val="0048089C"/>
    <w:rsid w:val="00486C54"/>
    <w:rsid w:val="00486CCF"/>
    <w:rsid w:val="004879B2"/>
    <w:rsid w:val="0049547D"/>
    <w:rsid w:val="004A03AF"/>
    <w:rsid w:val="004B05BC"/>
    <w:rsid w:val="004B46C0"/>
    <w:rsid w:val="004C25D0"/>
    <w:rsid w:val="004D1249"/>
    <w:rsid w:val="004D3BC4"/>
    <w:rsid w:val="004E423A"/>
    <w:rsid w:val="004E4425"/>
    <w:rsid w:val="004E78AD"/>
    <w:rsid w:val="004E793C"/>
    <w:rsid w:val="004F2400"/>
    <w:rsid w:val="00502337"/>
    <w:rsid w:val="00515F85"/>
    <w:rsid w:val="005163FA"/>
    <w:rsid w:val="00523F77"/>
    <w:rsid w:val="005377AE"/>
    <w:rsid w:val="00547501"/>
    <w:rsid w:val="00554E87"/>
    <w:rsid w:val="00571F38"/>
    <w:rsid w:val="00577089"/>
    <w:rsid w:val="005800A9"/>
    <w:rsid w:val="005903E8"/>
    <w:rsid w:val="00590EBA"/>
    <w:rsid w:val="005A352E"/>
    <w:rsid w:val="005A6F91"/>
    <w:rsid w:val="005C0FC4"/>
    <w:rsid w:val="005D57BD"/>
    <w:rsid w:val="005E3E16"/>
    <w:rsid w:val="005F1106"/>
    <w:rsid w:val="005F4DEF"/>
    <w:rsid w:val="00601957"/>
    <w:rsid w:val="00605082"/>
    <w:rsid w:val="00620EB1"/>
    <w:rsid w:val="00623CE3"/>
    <w:rsid w:val="00630E16"/>
    <w:rsid w:val="00634FF3"/>
    <w:rsid w:val="006370DB"/>
    <w:rsid w:val="006472F5"/>
    <w:rsid w:val="006478AF"/>
    <w:rsid w:val="00651611"/>
    <w:rsid w:val="00656E53"/>
    <w:rsid w:val="00666B2D"/>
    <w:rsid w:val="00667552"/>
    <w:rsid w:val="00685BD5"/>
    <w:rsid w:val="0069030A"/>
    <w:rsid w:val="00690E61"/>
    <w:rsid w:val="00694DF2"/>
    <w:rsid w:val="006C62B4"/>
    <w:rsid w:val="006D706F"/>
    <w:rsid w:val="006E33EF"/>
    <w:rsid w:val="006E5479"/>
    <w:rsid w:val="006F10D0"/>
    <w:rsid w:val="00701387"/>
    <w:rsid w:val="00711F64"/>
    <w:rsid w:val="0072388E"/>
    <w:rsid w:val="0074548C"/>
    <w:rsid w:val="00751C09"/>
    <w:rsid w:val="007538D7"/>
    <w:rsid w:val="00756E13"/>
    <w:rsid w:val="007610DD"/>
    <w:rsid w:val="007615C5"/>
    <w:rsid w:val="00772309"/>
    <w:rsid w:val="0078162A"/>
    <w:rsid w:val="0078312D"/>
    <w:rsid w:val="00795732"/>
    <w:rsid w:val="007973CB"/>
    <w:rsid w:val="007A63E4"/>
    <w:rsid w:val="007A6568"/>
    <w:rsid w:val="007A7B35"/>
    <w:rsid w:val="007C0DAF"/>
    <w:rsid w:val="007C6FBF"/>
    <w:rsid w:val="007D5702"/>
    <w:rsid w:val="007F1267"/>
    <w:rsid w:val="007F2BE6"/>
    <w:rsid w:val="00802842"/>
    <w:rsid w:val="00805C42"/>
    <w:rsid w:val="00805E0B"/>
    <w:rsid w:val="00816E9C"/>
    <w:rsid w:val="00822988"/>
    <w:rsid w:val="008541F0"/>
    <w:rsid w:val="0086098D"/>
    <w:rsid w:val="00861D3D"/>
    <w:rsid w:val="00862361"/>
    <w:rsid w:val="008829DD"/>
    <w:rsid w:val="008831D3"/>
    <w:rsid w:val="00885847"/>
    <w:rsid w:val="0088695F"/>
    <w:rsid w:val="00886B4C"/>
    <w:rsid w:val="008A0AD8"/>
    <w:rsid w:val="008A49B2"/>
    <w:rsid w:val="008C5064"/>
    <w:rsid w:val="008E0A88"/>
    <w:rsid w:val="008E2BF9"/>
    <w:rsid w:val="008E5611"/>
    <w:rsid w:val="008F1F56"/>
    <w:rsid w:val="008F230E"/>
    <w:rsid w:val="009108B2"/>
    <w:rsid w:val="009119BD"/>
    <w:rsid w:val="00913BA4"/>
    <w:rsid w:val="009270C9"/>
    <w:rsid w:val="009328FE"/>
    <w:rsid w:val="00950D11"/>
    <w:rsid w:val="00954EFB"/>
    <w:rsid w:val="00954EFE"/>
    <w:rsid w:val="00961AFC"/>
    <w:rsid w:val="00985471"/>
    <w:rsid w:val="00993D3D"/>
    <w:rsid w:val="009A0177"/>
    <w:rsid w:val="009A0DA8"/>
    <w:rsid w:val="009C0C9E"/>
    <w:rsid w:val="009D309A"/>
    <w:rsid w:val="009D3245"/>
    <w:rsid w:val="009F30C9"/>
    <w:rsid w:val="009F5553"/>
    <w:rsid w:val="009F62F5"/>
    <w:rsid w:val="00A12591"/>
    <w:rsid w:val="00A20E3D"/>
    <w:rsid w:val="00A22CAE"/>
    <w:rsid w:val="00A24C4F"/>
    <w:rsid w:val="00A30983"/>
    <w:rsid w:val="00A37FE7"/>
    <w:rsid w:val="00A574C0"/>
    <w:rsid w:val="00A6427F"/>
    <w:rsid w:val="00A650F7"/>
    <w:rsid w:val="00A7355E"/>
    <w:rsid w:val="00A85679"/>
    <w:rsid w:val="00A918E0"/>
    <w:rsid w:val="00A96D27"/>
    <w:rsid w:val="00AB2A73"/>
    <w:rsid w:val="00AB7DBF"/>
    <w:rsid w:val="00AC0655"/>
    <w:rsid w:val="00AC4C6E"/>
    <w:rsid w:val="00AD34BA"/>
    <w:rsid w:val="00AD64E8"/>
    <w:rsid w:val="00AE3A2C"/>
    <w:rsid w:val="00AF65B9"/>
    <w:rsid w:val="00B00F3B"/>
    <w:rsid w:val="00B07BF3"/>
    <w:rsid w:val="00B10E78"/>
    <w:rsid w:val="00B215D2"/>
    <w:rsid w:val="00B32741"/>
    <w:rsid w:val="00B4252C"/>
    <w:rsid w:val="00B43136"/>
    <w:rsid w:val="00B43D0B"/>
    <w:rsid w:val="00B46200"/>
    <w:rsid w:val="00B56858"/>
    <w:rsid w:val="00B60EFE"/>
    <w:rsid w:val="00B6719F"/>
    <w:rsid w:val="00B84213"/>
    <w:rsid w:val="00BA3E48"/>
    <w:rsid w:val="00BA48B6"/>
    <w:rsid w:val="00BA6476"/>
    <w:rsid w:val="00BA6713"/>
    <w:rsid w:val="00BC75A7"/>
    <w:rsid w:val="00BD209C"/>
    <w:rsid w:val="00BE1B4A"/>
    <w:rsid w:val="00BE4F3C"/>
    <w:rsid w:val="00BE554D"/>
    <w:rsid w:val="00BE665F"/>
    <w:rsid w:val="00BF0FDD"/>
    <w:rsid w:val="00BF117B"/>
    <w:rsid w:val="00C022D4"/>
    <w:rsid w:val="00C02DC7"/>
    <w:rsid w:val="00C2180F"/>
    <w:rsid w:val="00C272EB"/>
    <w:rsid w:val="00C27947"/>
    <w:rsid w:val="00C30098"/>
    <w:rsid w:val="00C358A5"/>
    <w:rsid w:val="00C519EC"/>
    <w:rsid w:val="00C60745"/>
    <w:rsid w:val="00C64447"/>
    <w:rsid w:val="00C664DD"/>
    <w:rsid w:val="00C70115"/>
    <w:rsid w:val="00C72912"/>
    <w:rsid w:val="00C82E31"/>
    <w:rsid w:val="00C853B8"/>
    <w:rsid w:val="00CA0229"/>
    <w:rsid w:val="00CA1C63"/>
    <w:rsid w:val="00CA383B"/>
    <w:rsid w:val="00CA7224"/>
    <w:rsid w:val="00CA7E20"/>
    <w:rsid w:val="00CB0664"/>
    <w:rsid w:val="00CB3DCD"/>
    <w:rsid w:val="00CB6655"/>
    <w:rsid w:val="00CC2D84"/>
    <w:rsid w:val="00CC63F7"/>
    <w:rsid w:val="00CD0E7D"/>
    <w:rsid w:val="00CD7EFF"/>
    <w:rsid w:val="00CE06BC"/>
    <w:rsid w:val="00CF102A"/>
    <w:rsid w:val="00CF6858"/>
    <w:rsid w:val="00D1174F"/>
    <w:rsid w:val="00D151E8"/>
    <w:rsid w:val="00D262CE"/>
    <w:rsid w:val="00D26634"/>
    <w:rsid w:val="00D32428"/>
    <w:rsid w:val="00D53C99"/>
    <w:rsid w:val="00D54D46"/>
    <w:rsid w:val="00D5698B"/>
    <w:rsid w:val="00D57FAA"/>
    <w:rsid w:val="00D669F7"/>
    <w:rsid w:val="00D71584"/>
    <w:rsid w:val="00D71797"/>
    <w:rsid w:val="00D82065"/>
    <w:rsid w:val="00D8354B"/>
    <w:rsid w:val="00D90E35"/>
    <w:rsid w:val="00D911E5"/>
    <w:rsid w:val="00DC39FE"/>
    <w:rsid w:val="00DC70C4"/>
    <w:rsid w:val="00DD0221"/>
    <w:rsid w:val="00DD760C"/>
    <w:rsid w:val="00DF0A26"/>
    <w:rsid w:val="00E02C1C"/>
    <w:rsid w:val="00E12FFD"/>
    <w:rsid w:val="00E21F54"/>
    <w:rsid w:val="00E25BCA"/>
    <w:rsid w:val="00E31110"/>
    <w:rsid w:val="00E3533E"/>
    <w:rsid w:val="00E3570B"/>
    <w:rsid w:val="00E4047C"/>
    <w:rsid w:val="00E44321"/>
    <w:rsid w:val="00E5370C"/>
    <w:rsid w:val="00E55003"/>
    <w:rsid w:val="00E64921"/>
    <w:rsid w:val="00E73E50"/>
    <w:rsid w:val="00E81213"/>
    <w:rsid w:val="00E9103A"/>
    <w:rsid w:val="00E95E46"/>
    <w:rsid w:val="00EA227E"/>
    <w:rsid w:val="00EB2369"/>
    <w:rsid w:val="00EB7F79"/>
    <w:rsid w:val="00EC0249"/>
    <w:rsid w:val="00EC663F"/>
    <w:rsid w:val="00EC6C5D"/>
    <w:rsid w:val="00EC78CD"/>
    <w:rsid w:val="00ED22F9"/>
    <w:rsid w:val="00ED3590"/>
    <w:rsid w:val="00EE0C3F"/>
    <w:rsid w:val="00EF0326"/>
    <w:rsid w:val="00EF17DC"/>
    <w:rsid w:val="00EF29FC"/>
    <w:rsid w:val="00EF7306"/>
    <w:rsid w:val="00F018F4"/>
    <w:rsid w:val="00F114EB"/>
    <w:rsid w:val="00F202B0"/>
    <w:rsid w:val="00F20C93"/>
    <w:rsid w:val="00F26820"/>
    <w:rsid w:val="00F27BEE"/>
    <w:rsid w:val="00F34EF5"/>
    <w:rsid w:val="00F40219"/>
    <w:rsid w:val="00F40308"/>
    <w:rsid w:val="00F46169"/>
    <w:rsid w:val="00F511FA"/>
    <w:rsid w:val="00F51402"/>
    <w:rsid w:val="00F6231D"/>
    <w:rsid w:val="00F6546A"/>
    <w:rsid w:val="00F72F31"/>
    <w:rsid w:val="00F746C7"/>
    <w:rsid w:val="00F80891"/>
    <w:rsid w:val="00F8192E"/>
    <w:rsid w:val="00FA41B0"/>
    <w:rsid w:val="00FC2E29"/>
    <w:rsid w:val="00FD2774"/>
    <w:rsid w:val="00FD7203"/>
    <w:rsid w:val="00FE50B7"/>
    <w:rsid w:val="00FE5400"/>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8A6309BB-D1D2-497A-B295-C573DC524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2D4"/>
    <w:pPr>
      <w:spacing w:after="0" w:line="240" w:lineRule="auto"/>
    </w:pPr>
  </w:style>
  <w:style w:type="paragraph" w:styleId="Heading1">
    <w:name w:val="heading 1"/>
    <w:basedOn w:val="NoSpacing"/>
    <w:next w:val="Normal"/>
    <w:link w:val="Heading1Char"/>
    <w:uiPriority w:val="9"/>
    <w:qFormat/>
    <w:rsid w:val="00C022D4"/>
    <w:pPr>
      <w:spacing w:after="60"/>
      <w:outlineLvl w:val="0"/>
    </w:pPr>
    <w:rPr>
      <w:sz w:val="44"/>
      <w:szCs w:val="44"/>
    </w:rPr>
  </w:style>
  <w:style w:type="paragraph" w:styleId="Heading2">
    <w:name w:val="heading 2"/>
    <w:basedOn w:val="Heading3"/>
    <w:next w:val="Normal"/>
    <w:link w:val="Heading2Char"/>
    <w:uiPriority w:val="9"/>
    <w:unhideWhenUsed/>
    <w:qFormat/>
    <w:rsid w:val="000333FE"/>
    <w:pPr>
      <w:outlineLvl w:val="1"/>
    </w:pPr>
    <w:rPr>
      <w:color w:val="FFFFFF" w:themeColor="background1"/>
      <w:sz w:val="26"/>
    </w:rPr>
  </w:style>
  <w:style w:type="paragraph" w:styleId="Heading3">
    <w:name w:val="heading 3"/>
    <w:basedOn w:val="Heading4"/>
    <w:next w:val="Normal"/>
    <w:link w:val="Heading3Char"/>
    <w:uiPriority w:val="9"/>
    <w:unhideWhenUsed/>
    <w:qFormat/>
    <w:rsid w:val="000333FE"/>
    <w:pPr>
      <w:outlineLvl w:val="2"/>
    </w:pPr>
  </w:style>
  <w:style w:type="paragraph" w:styleId="Heading4">
    <w:name w:val="heading 4"/>
    <w:basedOn w:val="NoSpacing"/>
    <w:next w:val="Normal"/>
    <w:link w:val="Heading4Char"/>
    <w:uiPriority w:val="9"/>
    <w:unhideWhenUsed/>
    <w:rsid w:val="00C022D4"/>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2D4"/>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0333FE"/>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0333FE"/>
    <w:rPr>
      <w:b/>
    </w:rPr>
  </w:style>
  <w:style w:type="character" w:customStyle="1" w:styleId="Heading4Char">
    <w:name w:val="Heading 4 Char"/>
    <w:basedOn w:val="DefaultParagraphFont"/>
    <w:link w:val="Heading4"/>
    <w:uiPriority w:val="9"/>
    <w:rsid w:val="00C022D4"/>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0333FE"/>
    <w:rPr>
      <w:sz w:val="16"/>
      <w:szCs w:val="16"/>
    </w:rPr>
  </w:style>
  <w:style w:type="character" w:customStyle="1" w:styleId="FooterChar">
    <w:name w:val="Footer Char"/>
    <w:basedOn w:val="DefaultParagraphFont"/>
    <w:link w:val="Footer"/>
    <w:uiPriority w:val="99"/>
    <w:rsid w:val="000333FE"/>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822988"/>
    <w:rPr>
      <w:color w:val="1F497D" w:themeColor="text2"/>
    </w:rPr>
  </w:style>
  <w:style w:type="character" w:customStyle="1" w:styleId="NoSpacingChar">
    <w:name w:val="No Spacing Char"/>
    <w:basedOn w:val="DefaultParagraphFont"/>
    <w:link w:val="NoSpacing"/>
    <w:uiPriority w:val="1"/>
    <w:rsid w:val="00C022D4"/>
  </w:style>
  <w:style w:type="character" w:customStyle="1" w:styleId="AssessortextChar">
    <w:name w:val="Assessor text Char"/>
    <w:basedOn w:val="NoSpacingChar"/>
    <w:link w:val="Assessortext"/>
    <w:rsid w:val="00822988"/>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17" Type="http://schemas.openxmlformats.org/officeDocument/2006/relationships/hyperlink" Target="https://yat.timbaird.com/intranet/s1-cl1-at2/ict/lms-application-spec" TargetMode="External"/><Relationship Id="rId18" Type="http://schemas.openxmlformats.org/officeDocument/2006/relationships/hyperlink" Target="https://yat.timbaird.com/intranet/s1-cl1-at2/policies/records-management" TargetMode="External"/><Relationship Id="rId19" Type="http://schemas.openxmlformats.org/officeDocument/2006/relationships/hyperlink" Target="https://yat.timbaird.com/intranet/s1-cl1-at2/projects/lms-cloud-infrastructure/cloud-architecture-baseline" TargetMode="External"/><Relationship Id="rId20" Type="http://schemas.openxmlformats.org/officeDocument/2006/relationships/hyperlink" Target="https://yat.timbaird.com/intranet/s1-cl1-at2/policies/user-access" TargetMode="External"/><Relationship Id="rId21" Type="http://schemas.openxmlformats.org/officeDocument/2006/relationships/hyperlink" Target="https://yat.timbaird.com/intranet/s1-cl1-at2/ict/lms-application-spec#4-data-stor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4363DD-6ED8-48FA-9DAB-FFE1A6F5C7B6}">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2.xml><?xml version="1.0" encoding="utf-8"?>
<ds:datastoreItem xmlns:ds="http://schemas.openxmlformats.org/officeDocument/2006/customXml" ds:itemID="{4B9B4C3B-E5DA-4AAF-B815-18D3ADD5B483}">
  <ds:schemaRefs>
    <ds:schemaRef ds:uri="http://schemas.microsoft.com/sharepoint/v3/contenttype/forms"/>
  </ds:schemaRefs>
</ds:datastoreItem>
</file>

<file path=customXml/itemProps3.xml><?xml version="1.0" encoding="utf-8"?>
<ds:datastoreItem xmlns:ds="http://schemas.openxmlformats.org/officeDocument/2006/customXml" ds:itemID="{A160A6A7-E4CF-4464-8769-5D74BD27FF60}"/>
</file>

<file path=customXml/itemProps4.xml><?xml version="1.0" encoding="utf-8"?>
<ds:datastoreItem xmlns:ds="http://schemas.openxmlformats.org/officeDocument/2006/customXml" ds:itemID="{B00AC358-B62E-4B92-87CA-9C4642B1F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694</TotalTime>
  <Pages>2</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81</cp:revision>
  <cp:lastPrinted>2019-09-16T04:16:00Z</cp:lastPrinted>
  <dcterms:created xsi:type="dcterms:W3CDTF">2019-09-13T00:47:00Z</dcterms:created>
  <dcterms:modified xsi:type="dcterms:W3CDTF">2024-03-13T04:31:00Z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9a1a8b35-933d-4e01-af2b-f27f7858afe9</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https://staffkanganedu.sharepoint.com/:w:/r/sites/AcademicGovernance/Examples/EXAMPLE%20HLTWHS001%20Student%20-%20Project%20Assessment.docx?d=w14db7ff6ceb5487996ea989920e025f8&amp;csf=1&amp;web=1&amp;e=2tBRBu, EXAMPLE HLTWHS001 Student - Project Assessment</vt:lpwstr>
  </property>
  <property fmtid="{D5CDD505-2E9C-101B-9397-08002B2CF9AE}" pid="15" name="DocumentOrder">
    <vt:r8>7</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2625bdd2,764f60af,4986bcf9</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2024-03-13T04:31:37Z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77c1ff3c-e1f8-4473-a1a7-90bc4b08b31f</vt:lpwstr>
  </property>
  <property fmtid="{D5CDD505-2E9C-101B-9397-08002B2CF9AE}" pid="28" name="MSIP_Label_af2c37eb-6316-4425-a693-0f2d1c6408d2_ContentBits">
    <vt:lpwstr>1</vt:lpwstr>
  </property>
</Properties>
</file>