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14933CD9" w:rsidR="003167D9" w:rsidRPr="001F4363" w:rsidRDefault="00FA069B" w:rsidP="001F4363">
      <w:pPr>
        <w:pStyle w:val="Heading1"/>
      </w:pPr>
      <w:r w:rsidRPr="001F4363">
        <w:t>Project</w:t>
      </w:r>
      <w:r w:rsidR="00A26257" w:rsidRPr="001F4363">
        <w:t xml:space="preserve"> Assessment</w:t>
      </w:r>
      <w:r w:rsidR="003A316B" w:rsidRPr="001F4363">
        <w:t xml:space="preserve"> – Assessor Instructions</w:t>
      </w:r>
    </w:p>
    <w:p w14:paraId="6D8DD09C" w14:textId="7A2CE29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0" w:type="auto"/>
        <w:tblCellMar>
          <w:top w:w="57" w:type="dxa"/>
          <w:left w:w="113" w:type="dxa"/>
          <w:bottom w:w="57" w:type="dxa"/>
          <w:right w:w="57" w:type="dxa"/>
        </w:tblCellMar>
        <w:tblLook w:val="04A0" w:firstRow="1" w:lastRow="0" w:firstColumn="1" w:lastColumn="0" w:noHBand="0" w:noVBand="1"/>
        <w:tblCaption w:val="Details"/>
        <w:tblDescription w:val="Student, Qualification, Unit of Competency, Assessment task and Assessor details."/>
      </w:tblPr>
      <w:tblGrid>
        <w:gridCol w:w="2851"/>
        <w:gridCol w:w="4703"/>
        <w:gridCol w:w="1324"/>
        <w:gridCol w:w="1725"/>
      </w:tblGrid>
      <w:tr w:rsidR="002A6715" w:rsidRPr="002F7C81" w14:paraId="3AC51D49" w14:textId="77777777" w:rsidTr="00572FD7">
        <w:trPr>
          <w:tblHeader/>
        </w:trPr>
        <w:tc>
          <w:tcPr>
            <w:tcW w:w="10603" w:type="dxa"/>
            <w:gridSpan w:val="4"/>
            <w:tcBorders>
              <w:top w:val="nil"/>
              <w:left w:val="nil"/>
              <w:bottom w:val="nil"/>
              <w:right w:val="nil"/>
            </w:tcBorders>
            <w:shd w:val="clear" w:color="auto" w:fill="1F497D" w:themeFill="text2"/>
            <w:vAlign w:val="center"/>
          </w:tcPr>
          <w:p w14:paraId="18817DD5" w14:textId="6A34A293" w:rsidR="002A6715" w:rsidRPr="002A6715" w:rsidRDefault="002A6715" w:rsidP="000C4CE0">
            <w:pPr>
              <w:pStyle w:val="Heading2"/>
              <w:rPr>
                <w:color w:val="365F91" w:themeColor="accent1" w:themeShade="BF"/>
              </w:rPr>
            </w:pPr>
            <w:r w:rsidRPr="002A6715">
              <w:t>Details</w:t>
            </w:r>
          </w:p>
        </w:tc>
      </w:tr>
      <w:tr w:rsidR="001F4363" w:rsidRPr="0055264A" w14:paraId="0AC57DF5" w14:textId="77777777" w:rsidTr="007D69F3">
        <w:trPr>
          <w:trHeight w:val="340"/>
        </w:trPr>
        <w:tc>
          <w:tcPr>
            <w:tcW w:w="2851" w:type="dxa"/>
            <w:tcBorders>
              <w:top w:val="nil"/>
              <w:left w:val="nil"/>
              <w:right w:val="single" w:sz="4" w:space="0" w:color="auto"/>
            </w:tcBorders>
            <w:vAlign w:val="center"/>
          </w:tcPr>
          <w:p w14:paraId="19FDAC62" w14:textId="53920FF4" w:rsidR="001F4363" w:rsidRPr="0055264A" w:rsidRDefault="001F4363" w:rsidP="000C4CE0">
            <w:pPr>
              <w:pStyle w:val="Heading3"/>
            </w:pPr>
            <w:r w:rsidRPr="001F4363">
              <w:t>Qualification code and title</w:t>
            </w:r>
          </w:p>
        </w:tc>
        <w:tc>
          <w:tcPr>
            <w:tcW w:w="7752" w:type="dxa"/>
            <w:gridSpan w:val="3"/>
            <w:tcBorders>
              <w:top w:val="nil"/>
              <w:left w:val="single" w:sz="4" w:space="0" w:color="auto"/>
              <w:bottom w:val="single" w:sz="4" w:space="0" w:color="auto"/>
              <w:right w:val="nil"/>
            </w:tcBorders>
            <w:vAlign w:val="center"/>
          </w:tcPr>
          <w:p w14:paraId="33CAEBD1" w14:textId="77777777" w:rsidR="001F4363" w:rsidRPr="0055264A" w:rsidRDefault="001F4363" w:rsidP="000C4CE0">
            <w:r>
              <w:t>ICT50220 Diploma of Information Technology</w:t>
            </w:r>
          </w:p>
        </w:tc>
      </w:tr>
      <w:tr w:rsidR="003A316B" w:rsidRPr="0055264A" w14:paraId="58F52A60" w14:textId="77777777" w:rsidTr="000C4CE0">
        <w:trPr>
          <w:trHeight w:val="340"/>
        </w:trPr>
        <w:tc>
          <w:tcPr>
            <w:tcW w:w="2851" w:type="dxa"/>
            <w:tcBorders>
              <w:left w:val="nil"/>
            </w:tcBorders>
            <w:vAlign w:val="center"/>
          </w:tcPr>
          <w:p w14:paraId="18385B2D" w14:textId="48AD0100" w:rsidR="003A316B" w:rsidRPr="0055264A" w:rsidRDefault="003A316B" w:rsidP="000C4CE0">
            <w:pPr>
              <w:pStyle w:val="Heading3"/>
            </w:pPr>
            <w:r w:rsidRPr="0055264A">
              <w:t xml:space="preserve">Unit </w:t>
            </w:r>
            <w:r w:rsidR="002F7C81" w:rsidRPr="0055264A">
              <w:t>c</w:t>
            </w:r>
            <w:r w:rsidRPr="0055264A">
              <w:t xml:space="preserve">ode and </w:t>
            </w:r>
            <w:r w:rsidR="002F7C81" w:rsidRPr="0055264A">
              <w:t>t</w:t>
            </w:r>
            <w:r w:rsidRPr="0055264A">
              <w:t>itle</w:t>
            </w:r>
          </w:p>
        </w:tc>
        <w:tc>
          <w:tcPr>
            <w:tcW w:w="7752" w:type="dxa"/>
            <w:gridSpan w:val="3"/>
            <w:tcBorders>
              <w:right w:val="nil"/>
            </w:tcBorders>
            <w:vAlign w:val="center"/>
          </w:tcPr>
          <w:p w14:paraId="450E8445" w14:textId="77777777" w:rsidR="003A316B" w:rsidRPr="0055264A" w:rsidRDefault="003A316B" w:rsidP="000C4CE0">
            <w:r>
              <w:t>ICTCLD501 Develop cloud disaster recovery plans</w:t>
            </w:r>
          </w:p>
          <w:p>
            <w:pPr/>
            <w:r>
              <w:t>ICTCLD503 Implement web-scale cloud infrastructure</w:t>
            </w:r>
          </w:p>
        </w:tc>
      </w:tr>
      <w:tr w:rsidR="007E127C" w:rsidRPr="0055264A" w14:paraId="2F32EE2E" w14:textId="77777777" w:rsidTr="000C4CE0">
        <w:trPr>
          <w:trHeight w:val="340"/>
        </w:trPr>
        <w:tc>
          <w:tcPr>
            <w:tcW w:w="2851" w:type="dxa"/>
            <w:tcBorders>
              <w:left w:val="nil"/>
            </w:tcBorders>
            <w:vAlign w:val="center"/>
          </w:tcPr>
          <w:p w14:paraId="172E320B" w14:textId="1B44427A" w:rsidR="007E127C" w:rsidRPr="0055264A" w:rsidRDefault="007E127C" w:rsidP="000C4CE0">
            <w:pPr>
              <w:pStyle w:val="Heading3"/>
            </w:pPr>
            <w:r w:rsidRPr="0055264A">
              <w:t>Assessment task title</w:t>
            </w:r>
          </w:p>
        </w:tc>
        <w:tc>
          <w:tcPr>
            <w:tcW w:w="7752" w:type="dxa"/>
            <w:gridSpan w:val="3"/>
            <w:tcBorders>
              <w:right w:val="nil"/>
            </w:tcBorders>
            <w:vAlign w:val="center"/>
          </w:tcPr>
          <w:p w14:paraId="624293F4" w14:textId="03EB1146" w:rsidR="007E127C" w:rsidRPr="0055264A" w:rsidRDefault="007E127C" w:rsidP="000C4CE0">
            <w:r>
              <w:t>AT1 — Cloud Expansion: Design &amp; DR Plan</w:t>
            </w:r>
          </w:p>
        </w:tc>
      </w:tr>
      <w:tr w:rsidR="001702A2" w:rsidRPr="002F7C81" w14:paraId="67FEC367" w14:textId="77777777" w:rsidTr="000C4CE0">
        <w:trPr>
          <w:trHeight w:val="340"/>
        </w:trPr>
        <w:tc>
          <w:tcPr>
            <w:tcW w:w="2851" w:type="dxa"/>
            <w:tcBorders>
              <w:left w:val="nil"/>
            </w:tcBorders>
            <w:vAlign w:val="center"/>
          </w:tcPr>
          <w:p w14:paraId="723DC924" w14:textId="2DBDBCBE" w:rsidR="001702A2" w:rsidRPr="0055264A" w:rsidRDefault="001702A2" w:rsidP="000C4CE0">
            <w:pPr>
              <w:pStyle w:val="Heading3"/>
            </w:pPr>
            <w:r w:rsidRPr="0055264A">
              <w:t>Assessment task number</w:t>
            </w:r>
          </w:p>
        </w:tc>
        <w:tc>
          <w:tcPr>
            <w:tcW w:w="4703" w:type="dxa"/>
            <w:tcBorders>
              <w:right w:val="nil"/>
            </w:tcBorders>
            <w:vAlign w:val="center"/>
          </w:tcPr>
          <w:p w14:paraId="475A6257" w14:textId="2AF05DE6" w:rsidR="001702A2" w:rsidRPr="0055264A" w:rsidRDefault="001702A2" w:rsidP="000C4CE0">
            <w:r>
              <w:t>1 of 2</w:t>
            </w:r>
          </w:p>
        </w:tc>
        <w:tc>
          <w:tcPr>
            <w:tcW w:w="1324" w:type="dxa"/>
            <w:tcBorders>
              <w:right w:val="nil"/>
            </w:tcBorders>
            <w:vAlign w:val="center"/>
          </w:tcPr>
          <w:p w14:paraId="717B6B9C" w14:textId="635D1DFB" w:rsidR="001702A2" w:rsidRDefault="001702A2" w:rsidP="000C4CE0">
            <w:pPr>
              <w:pStyle w:val="Heading3"/>
            </w:pPr>
            <w:r>
              <w:t xml:space="preserve">Due </w:t>
            </w:r>
            <w:r w:rsidRPr="0055264A">
              <w:t>Date</w:t>
            </w:r>
          </w:p>
        </w:tc>
        <w:tc>
          <w:tcPr>
            <w:tcW w:w="1725" w:type="dxa"/>
            <w:tcBorders>
              <w:right w:val="nil"/>
            </w:tcBorders>
            <w:vAlign w:val="center"/>
          </w:tcPr>
          <w:p w14:paraId="26DC2EDE" w14:textId="77777777" w:rsidR="001702A2" w:rsidRPr="002E7C77" w:rsidRDefault="001702A2" w:rsidP="000C4CE0"/>
        </w:tc>
      </w:tr>
      <w:tr w:rsidR="001702A2" w:rsidRPr="002F7C81" w14:paraId="22BFDC00" w14:textId="77777777" w:rsidTr="00135033">
        <w:trPr>
          <w:trHeight w:val="340"/>
        </w:trPr>
        <w:tc>
          <w:tcPr>
            <w:tcW w:w="2851" w:type="dxa"/>
            <w:tcBorders>
              <w:left w:val="nil"/>
            </w:tcBorders>
            <w:vAlign w:val="center"/>
          </w:tcPr>
          <w:p w14:paraId="0BBF1235" w14:textId="0B045DD9" w:rsidR="001702A2" w:rsidRPr="0055264A" w:rsidRDefault="001702A2" w:rsidP="000C4CE0">
            <w:pPr>
              <w:pStyle w:val="Heading3"/>
            </w:pPr>
            <w:r w:rsidRPr="0055264A">
              <w:t>Teacher/Assessor name</w:t>
            </w:r>
          </w:p>
        </w:tc>
        <w:tc>
          <w:tcPr>
            <w:tcW w:w="7752" w:type="dxa"/>
            <w:gridSpan w:val="3"/>
            <w:tcBorders>
              <w:right w:val="nil"/>
            </w:tcBorders>
            <w:vAlign w:val="center"/>
          </w:tcPr>
          <w:p w14:paraId="16DC76A2" w14:textId="77777777" w:rsidR="001702A2" w:rsidRPr="002E7C77" w:rsidRDefault="001702A2" w:rsidP="000C4CE0"/>
        </w:tc>
      </w:tr>
    </w:tbl>
    <w:p w14:paraId="7488E7F5" w14:textId="77777777" w:rsidR="003A316B" w:rsidRPr="005E2781" w:rsidRDefault="003A316B" w:rsidP="00FF6A31">
      <w:pPr>
        <w:pStyle w:val="NoSpacing"/>
        <w:spacing w:after="60"/>
        <w:rPr>
          <w:b/>
          <w:color w:val="365F91" w:themeColor="accent1" w:themeShade="BF"/>
          <w:sz w:val="12"/>
          <w:szCs w:val="12"/>
        </w:rPr>
      </w:pPr>
    </w:p>
    <w:tbl>
      <w:tblPr>
        <w:tblStyle w:val="TableGrid"/>
        <w:tblW w:w="0" w:type="auto"/>
        <w:tblLayout w:type="fixed"/>
        <w:tblCellMar>
          <w:top w:w="57" w:type="dxa"/>
          <w:left w:w="113" w:type="dxa"/>
          <w:bottom w:w="57" w:type="dxa"/>
          <w:right w:w="57" w:type="dxa"/>
        </w:tblCellMar>
        <w:tblLook w:val="04A0" w:firstRow="1" w:lastRow="0" w:firstColumn="1" w:lastColumn="0" w:noHBand="0" w:noVBand="1"/>
        <w:tblCaption w:val="Teacher/Assessor instructions"/>
        <w:tblDescription w:val="Instructions for the assessment task including an overview, tasks(s) to be assessed, time allowed, location, resources, assessment criteria, second attempt instructions and information about assessment retention."/>
      </w:tblPr>
      <w:tblGrid>
        <w:gridCol w:w="2865"/>
        <w:gridCol w:w="7738"/>
      </w:tblGrid>
      <w:tr w:rsidR="002A6715" w:rsidRPr="002F7C81" w14:paraId="161A8066" w14:textId="77777777" w:rsidTr="00572FD7">
        <w:trPr>
          <w:cantSplit/>
          <w:tblHeader/>
        </w:trPr>
        <w:tc>
          <w:tcPr>
            <w:tcW w:w="10603" w:type="dxa"/>
            <w:gridSpan w:val="2"/>
            <w:tcBorders>
              <w:top w:val="nil"/>
              <w:left w:val="nil"/>
              <w:bottom w:val="nil"/>
              <w:right w:val="nil"/>
            </w:tcBorders>
            <w:shd w:val="clear" w:color="auto" w:fill="1F497D" w:themeFill="text2"/>
            <w:vAlign w:val="center"/>
          </w:tcPr>
          <w:p w14:paraId="674D2893" w14:textId="61359A7A" w:rsidR="002A6715" w:rsidRPr="002A6715" w:rsidRDefault="00451F59" w:rsidP="000C4CE0">
            <w:pPr>
              <w:pStyle w:val="Heading2"/>
            </w:pPr>
            <w:r>
              <w:t>Teacher/</w:t>
            </w:r>
            <w:r w:rsidR="002A6715" w:rsidRPr="002A6715">
              <w:t>Assess</w:t>
            </w:r>
            <w:r w:rsidR="00384C7A">
              <w:t>or instructions</w:t>
            </w:r>
          </w:p>
        </w:tc>
      </w:tr>
      <w:tr w:rsidR="00E81213" w:rsidRPr="00E81213" w14:paraId="32E72483" w14:textId="77777777" w:rsidTr="000C4CE0">
        <w:trPr>
          <w:cantSplit/>
        </w:trPr>
        <w:tc>
          <w:tcPr>
            <w:tcW w:w="2865" w:type="dxa"/>
            <w:tcBorders>
              <w:top w:val="nil"/>
              <w:left w:val="nil"/>
            </w:tcBorders>
            <w:vAlign w:val="center"/>
          </w:tcPr>
          <w:p w14:paraId="17F77E68" w14:textId="6C5F5551" w:rsidR="003A316B" w:rsidRPr="002A6715" w:rsidRDefault="00D01E63" w:rsidP="000C4CE0">
            <w:pPr>
              <w:pStyle w:val="Heading3"/>
            </w:pPr>
            <w:bookmarkStart w:id="5" w:name="_Toc19611986"/>
            <w:bookmarkEnd w:id="0"/>
            <w:bookmarkEnd w:id="1"/>
            <w:bookmarkEnd w:id="2"/>
            <w:bookmarkEnd w:id="3"/>
            <w:bookmarkEnd w:id="4"/>
            <w:r>
              <w:t>Assessment overview</w:t>
            </w:r>
          </w:p>
        </w:tc>
        <w:tc>
          <w:tcPr>
            <w:tcW w:w="7738" w:type="dxa"/>
            <w:tcBorders>
              <w:top w:val="nil"/>
              <w:right w:val="nil"/>
            </w:tcBorders>
            <w:vAlign w:val="center"/>
          </w:tcPr>
          <w:p w14:paraId="26EE15FA" w14:textId="70C13E54" w:rsidR="003A316B" w:rsidRPr="00C677AA" w:rsidRDefault="00384C7A" w:rsidP="000C4CE0">
            <w:pPr>
              <w:pStyle w:val="Assessortext"/>
            </w:pPr>
            <w:r>
              <w:t>Students are assessed on designing the cloud architecture for the YAT website's global expansion, planning its disaster recovery, and obtaining approval to proceed to implementation. AT1 is the first of two assessment tasks in the S1-CL2 Cloud Disaster Recovery cluster.</w:t>
            </w:r>
          </w:p>
          <w:p>
            <w:pPr>
              <w:pStyle w:val="Assessortext"/>
            </w:pPr>
            <w:r>
              <w:t>The assessment is one guided workbook in three parts, submitted as a single document. Part A leads the student task by task through the web-scale design and the audit-log microservice. Part B does the same for the disaster recovery analysis and plan, and closes by assembling that work into the YAT Disaster Recovery Plan template. Part C is a live session in which the student walks the role-played YAT ICT Manager through both, responds to feedback, lodges the plan and obtains sign-off.</w:t>
            </w:r>
          </w:p>
          <w:p>
            <w:pPr>
              <w:pStyle w:val="Assessortext"/>
            </w:pPr>
            <w:r>
              <w:t>WHAT IS BEING MARKED. Every settings table and worked answer in this document contains values we chose so that there is a concrete task to perform — the units' wording is deliberately general. Each element therefore carries two assessor-only lines: 'Evidences', naming the UoC items, and 'Satisfactory when', naming what has to be true for those items to be met. Mark the second. A student whose design differs from ours but who meets the stated standard is Satisfactory; a student who matches ours but misses the standard is not.</w:t>
            </w:r>
          </w:p>
          <w:p>
            <w:pPr>
              <w:pStyle w:val="Assessortext"/>
            </w:pPr>
            <w:r>
              <w:t>WHAT IS SUBMITTED. The completed workbook, and the completed YAT Disaster Recovery Plan assembled at task 37. The DR Plan is the artefact marked for [ICTCLD501 PC 4.3]; the workbook is the evidence that the thinking behind it is the student's own. Where the two differ materially, ask the student about it before marking.</w:t>
            </w:r>
          </w:p>
          <w:p>
            <w:pPr>
              <w:pStyle w:val="Assessortext"/>
            </w:pPr>
            <w:r>
              <w:t>The design in Part A is the student's own and is NOT corrected before Part B. A disaster recovery plan is written for a designed system, so Part B plans recovery for whatever the student designed — including its weaknesses. Correcting the design first would make Part B a plan for the assessor's architecture rather than the student's.</w:t>
            </w:r>
          </w:p>
          <w:p>
            <w:pPr>
              <w:pStyle w:val="Assessortext"/>
            </w:pPr>
            <w:r>
              <w:t>This is an open-book assessment. Students may use the YAT intranet, AWS documentation, course materials and external research (which must be cited). They may not use another student.</w:t>
            </w:r>
          </w:p>
          <w:p>
            <w:pPr>
              <w:pStyle w:val="Assessortext"/>
            </w:pPr>
            <w:r>
              <w:t>Reasonable adjustment may include extending the time for either written part, providing one-on-one verbal explanation of the supplied environment, allowing the Part C session to be held by video conference, or splitting the work across more sittings.</w:t>
            </w:r>
          </w:p>
          <w:p>
            <w:pPr>
              <w:pStyle w:val="Assessortext"/>
            </w:pPr>
            <w:r>
              <w:t>Teacher/assessor support level: the assessor may clarify what a task is asking, the scenario context and the supplied environment, but must not identify design options for the student, supply recovery objectives, or confirm whether a design decision is correct.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0C4CE0">
        <w:trPr>
          <w:cantSplit/>
        </w:trPr>
        <w:tc>
          <w:tcPr>
            <w:tcW w:w="2865" w:type="dxa"/>
            <w:tcBorders>
              <w:left w:val="nil"/>
            </w:tcBorders>
            <w:vAlign w:val="center"/>
          </w:tcPr>
          <w:p w14:paraId="68707E31" w14:textId="7336544B" w:rsidR="003A316B" w:rsidRPr="002A6715" w:rsidRDefault="002F7C81" w:rsidP="000C4CE0">
            <w:pPr>
              <w:pStyle w:val="Heading3"/>
            </w:pPr>
            <w:r w:rsidRPr="002A6715">
              <w:t>Task(s) to be assessed</w:t>
            </w:r>
          </w:p>
        </w:tc>
        <w:tc>
          <w:tcPr>
            <w:tcW w:w="7738" w:type="dxa"/>
            <w:tcBorders>
              <w:right w:val="nil"/>
            </w:tcBorders>
            <w:vAlign w:val="center"/>
          </w:tcPr>
          <w:p w14:paraId="52A33143" w14:textId="2EECB251" w:rsidR="007B3239" w:rsidRDefault="00ED3590" w:rsidP="000C4CE0">
            <w:pPr>
              <w:pStyle w:val="Assessortext"/>
            </w:pPr>
            <w:r>
              <w:t>YAT College has entered an offshore partnership in India, and its public website is now the enrolment front door for that campus. The website already runs on AWS in Sydney, hardened to Multi-AZ high availability. It was never built for an audience on the other side of the Indian Ocean, and the India operation brings log-residency obligations the current environment cannot meet.</w:t>
            </w:r>
          </w:p>
          <w:p>
            <w:pPr>
              <w:pStyle w:val="Assessortext"/>
            </w:pPr>
            <w:r>
              <w:t>The task has three parts that combine into a single submission:</w:t>
            </w:r>
          </w:p>
          <w:p>
            <w:pPr>
              <w:pStyle w:val="Assessortext"/>
            </w:pPr>
            <w:r>
              <w:t>Part A — Design. Nineteen tasks leading the student through the scaling needs the design must meet, a review of the current architecture against them, the residency obligation as a design input, the services required, the design of each layer, the global-delivery and caching decisions, the checks that the design scales and that availability and security are maintained, an architecture diagram, and a written justification. Tasks 15–19 do the same for the audit-log microservice: its data transactions, its supporting services, its architecture, its interface contract, and a written justification.</w:t>
            </w:r>
          </w:p>
          <w:p>
            <w:pPr>
              <w:pStyle w:val="Assessortext"/>
            </w:pPr>
            <w:r>
              <w:t>Part B — Disaster Recovery Plan. Eighteen tasks covering the recovery requirements, the existing arrangements, vendor provisions, recovery objectives per component, the data being protected, at least three major risk events, plan exclusions, recovery options and the recommended strategy, vendor protections and prioritisation, insurance, the non-technical recovery components, detection and alerting, the recovery steps with timings, the arithmetic showing the plan meets its objectives, and the standards the plan reflects. Task 18 assembles all of it into the YAT Disaster Recovery Plan template.</w:t>
            </w:r>
          </w:p>
          <w:p>
            <w:pPr>
              <w:pStyle w:val="Assessortext"/>
            </w:pPr>
            <w:r>
              <w:t>Part C — Presentation and approval. The student walks the role-played YAT ICT Manager through both documents, answers questions, responds to feedback, lodges the plan per YAT's Records Management Policy, and obtains sign-off to proceed to implementation. The first two tasks of Part C are the student's own preparation and are not marked.</w:t>
            </w:r>
          </w:p>
          <w:p>
            <w:pPr>
              <w:pStyle w:val="Assessortext"/>
            </w:pPr>
            <w:r>
              <w:t>MTS scope: cloud infrastructure only. The website content, the CMS and the application stack are out of scope, as is legal interpretation of the India obligations — the student designs to the compliance area's determination.</w:t>
            </w:r>
          </w:p>
        </w:tc>
      </w:tr>
      <w:tr w:rsidR="003A316B" w:rsidRPr="002F7C81" w14:paraId="15C9695D" w14:textId="77777777" w:rsidTr="000C4CE0">
        <w:trPr>
          <w:cantSplit/>
        </w:trPr>
        <w:tc>
          <w:tcPr>
            <w:tcW w:w="2865" w:type="dxa"/>
            <w:tcBorders>
              <w:left w:val="nil"/>
            </w:tcBorders>
            <w:vAlign w:val="center"/>
          </w:tcPr>
          <w:p w14:paraId="3987EA1D" w14:textId="44D5C005" w:rsidR="003A316B" w:rsidRPr="002A6715" w:rsidRDefault="002F7C81" w:rsidP="000C4CE0">
            <w:pPr>
              <w:pStyle w:val="Heading3"/>
            </w:pPr>
            <w:r w:rsidRPr="002A6715">
              <w:lastRenderedPageBreak/>
              <w:t>Time allowed</w:t>
            </w:r>
          </w:p>
        </w:tc>
        <w:tc>
          <w:tcPr>
            <w:tcW w:w="7738" w:type="dxa"/>
            <w:tcBorders>
              <w:right w:val="nil"/>
            </w:tcBorders>
            <w:vAlign w:val="center"/>
          </w:tcPr>
          <w:p w14:paraId="1D0F4CF3" w14:textId="77777777" w:rsidR="003A316B" w:rsidRPr="00C677AA" w:rsidRDefault="00ED3590" w:rsidP="000C4CE0">
            <w:pPr>
              <w:pStyle w:val="Assessortext"/>
            </w:pPr>
            <w:r>
              <w:t>Part A — Design: 6 hours</w:t>
            </w:r>
          </w:p>
          <w:p>
            <w:pPr>
              <w:pStyle w:val="Assessortext"/>
            </w:pPr>
            <w:r>
              <w:t>Part B — Disaster Recovery Plan: 6 hours, plus the time to assemble the plan document</w:t>
            </w:r>
          </w:p>
          <w:p>
            <w:pPr>
              <w:pStyle w:val="Assessortext"/>
            </w:pPr>
            <w:r>
              <w:t>Part C — Presentation and approval: a 20-minute session, scheduled with the assessor</w:t>
            </w:r>
          </w:p>
          <w:p>
            <w:pPr>
              <w:pStyle w:val="Assessortext"/>
            </w:pPr>
            <w:r>
              <w:t>One continuous worksheet. Time is indicative — a student who needs longer continues in the next session rather than submitting incomplete work.</w:t>
            </w:r>
          </w:p>
        </w:tc>
      </w:tr>
      <w:tr w:rsidR="003A316B" w:rsidRPr="002F7C81" w14:paraId="61A1531A" w14:textId="77777777" w:rsidTr="000C4CE0">
        <w:trPr>
          <w:cantSplit/>
        </w:trPr>
        <w:tc>
          <w:tcPr>
            <w:tcW w:w="2865" w:type="dxa"/>
            <w:tcBorders>
              <w:left w:val="nil"/>
            </w:tcBorders>
            <w:vAlign w:val="center"/>
          </w:tcPr>
          <w:p w14:paraId="6ADBC676" w14:textId="1F949875" w:rsidR="003A316B" w:rsidRPr="002A6715" w:rsidRDefault="000F75D7" w:rsidP="000C4CE0">
            <w:pPr>
              <w:pStyle w:val="Heading3"/>
            </w:pPr>
            <w:r>
              <w:t>Location</w:t>
            </w:r>
          </w:p>
        </w:tc>
        <w:tc>
          <w:tcPr>
            <w:tcW w:w="7738" w:type="dxa"/>
            <w:tcBorders>
              <w:right w:val="nil"/>
            </w:tcBorders>
            <w:vAlign w:val="center"/>
          </w:tcPr>
          <w:p w14:paraId="7373C180" w14:textId="77777777" w:rsidR="003A316B" w:rsidRPr="00C677AA" w:rsidRDefault="00ED3590" w:rsidP="000C4CE0">
            <w:pPr>
              <w:pStyle w:val="Assessortext"/>
            </w:pPr>
            <w:r/>
          </w:p>
        </w:tc>
      </w:tr>
      <w:tr w:rsidR="003A316B" w:rsidRPr="002F7C81" w14:paraId="08D94948" w14:textId="77777777" w:rsidTr="000C4CE0">
        <w:trPr>
          <w:cantSplit/>
        </w:trPr>
        <w:tc>
          <w:tcPr>
            <w:tcW w:w="2865" w:type="dxa"/>
            <w:tcBorders>
              <w:left w:val="nil"/>
            </w:tcBorders>
            <w:vAlign w:val="center"/>
          </w:tcPr>
          <w:p w14:paraId="04FDF80C" w14:textId="252F102F" w:rsidR="003A316B" w:rsidRPr="002A6715" w:rsidRDefault="002F7C81" w:rsidP="000C4CE0">
            <w:pPr>
              <w:pStyle w:val="Heading3"/>
            </w:pPr>
            <w:r w:rsidRPr="002A6715">
              <w:t>Resources required</w:t>
            </w:r>
          </w:p>
        </w:tc>
        <w:tc>
          <w:tcPr>
            <w:tcW w:w="7738" w:type="dxa"/>
            <w:tcBorders>
              <w:right w:val="nil"/>
            </w:tcBorders>
            <w:vAlign w:val="center"/>
          </w:tcPr>
          <w:p w14:paraId="6286BCA5" w14:textId="1745C9C9" w:rsidR="00ED3590" w:rsidRPr="00C677AA" w:rsidRDefault="00ED3590" w:rsidP="000C4CE0">
            <w:pPr>
              <w:pStyle w:val="Assessortext"/>
            </w:pPr>
            <w:r>
              <w:t>Teacher/assessor supplied resources</w:t>
            </w:r>
          </w:p>
          <w:p>
            <w:pPr>
              <w:pStyle w:val="Assessortext"/>
            </w:pPr>
            <w:r>
              <w:t>Access to the YAT scenario site / intranet — supplying the Website Global Expansion requirements, the Data Residency &amp; Sovereignty Requirements, the Website Infrastructure Specifications, the Website Specification, the deprecated on-premises DR Plan, the YAT policies and the industry-standards reference. Those documents are linked from the Instructions to Student below</w:t>
            </w:r>
          </w:p>
          <w:p>
            <w:pPr>
              <w:pStyle w:val="Assessortext"/>
            </w:pPr>
            <w:r>
              <w:t>The YAT Disaster Recovery Plan template, available from the intranet's Templates section — required for Part B task 18</w:t>
            </w:r>
          </w:p>
          <w:p>
            <w:pPr>
              <w:pStyle w:val="Assessortext"/>
            </w:pPr>
            <w:r>
              <w:t>A person to role-play Sam Walker, YAT ICT Manager, for the Part C presentation, feedback and sign-off — normally the assessor</w:t>
            </w:r>
          </w:p>
          <w:p>
            <w:pPr>
              <w:pStyle w:val="Assessortext"/>
            </w:pPr>
            <w:r>
              <w:t>The worked workbook later in this document — model answers, per-element UoC mapping, and the standard each element is marked against</w:t>
            </w:r>
          </w:p>
          <w:p>
            <w:pPr>
              <w:pStyle w:val="Assessortext"/>
            </w:pPr>
            <w:r>
              <w:t>Student supplied resources</w:t>
            </w:r>
          </w:p>
          <w:p>
            <w:pPr>
              <w:pStyle w:val="Assessortext"/>
            </w:pPr>
            <w:r>
              <w:t>Computer with web browser</w:t>
            </w:r>
          </w:p>
          <w:p>
            <w:pPr>
              <w:pStyle w:val="Assessortext"/>
            </w:pPr>
            <w:r>
              <w:t>Word-processing software (e.g. Microsoft Word or equivalent)</w:t>
            </w:r>
          </w:p>
        </w:tc>
      </w:tr>
      <w:tr w:rsidR="00ED3590" w:rsidRPr="002F7C81" w14:paraId="6E602484" w14:textId="77777777" w:rsidTr="000C4CE0">
        <w:trPr>
          <w:cantSplit/>
        </w:trPr>
        <w:tc>
          <w:tcPr>
            <w:tcW w:w="2865" w:type="dxa"/>
            <w:tcBorders>
              <w:left w:val="nil"/>
            </w:tcBorders>
            <w:vAlign w:val="center"/>
          </w:tcPr>
          <w:p w14:paraId="075D8A0E" w14:textId="29C7AB05" w:rsidR="00ED3590" w:rsidRPr="002A6715" w:rsidRDefault="00CC63F7" w:rsidP="000C4CE0">
            <w:pPr>
              <w:pStyle w:val="Heading3"/>
            </w:pPr>
            <w:r w:rsidRPr="002A6715">
              <w:t xml:space="preserve">Assessment </w:t>
            </w:r>
            <w:r w:rsidR="00384C7A">
              <w:t>criteria</w:t>
            </w:r>
          </w:p>
        </w:tc>
        <w:tc>
          <w:tcPr>
            <w:tcW w:w="7738" w:type="dxa"/>
            <w:tcBorders>
              <w:right w:val="nil"/>
            </w:tcBorders>
            <w:vAlign w:val="center"/>
          </w:tcPr>
          <w:p w14:paraId="523081B1" w14:textId="18F1A3D0" w:rsidR="00ED3590" w:rsidRDefault="00CC63F7" w:rsidP="000C4CE0">
            <w:r>
              <w:t>To receive a Satisfactory outcome for this assessment the student must:</w:t>
            </w:r>
          </w:p>
          <w:p>
            <w:pPr/>
            <w:r>
              <w:t>Achieve Satisfactory on every criterion in the Marking Guide below</w:t>
            </w:r>
          </w:p>
          <w:p>
            <w:pPr/>
            <w:r>
              <w:t>Submit the completed workbook (.docx) with every task and question answered</w:t>
            </w:r>
          </w:p>
          <w:p>
            <w:pPr/>
            <w:r>
              <w:t>Submit the completed YAT Disaster Recovery Plan assembled at task 37</w:t>
            </w:r>
          </w:p>
          <w:p>
            <w:pPr/>
            <w:r>
              <w:t>Attend the Part C session and obtain sign-off</w:t>
            </w:r>
          </w:p>
        </w:tc>
      </w:tr>
      <w:tr w:rsidR="001E7CBB" w:rsidRPr="002F7C81" w14:paraId="164AA2D3" w14:textId="77777777" w:rsidTr="000C4CE0">
        <w:trPr>
          <w:cantSplit/>
        </w:trPr>
        <w:tc>
          <w:tcPr>
            <w:tcW w:w="2865" w:type="dxa"/>
            <w:tcBorders>
              <w:left w:val="nil"/>
            </w:tcBorders>
            <w:vAlign w:val="center"/>
          </w:tcPr>
          <w:p w14:paraId="309DF829" w14:textId="5AF6E499" w:rsidR="001E7CBB" w:rsidRPr="0055264A" w:rsidRDefault="006C2B69" w:rsidP="000C4CE0">
            <w:pPr>
              <w:pStyle w:val="Heading3"/>
            </w:pPr>
            <w:r w:rsidRPr="0055264A">
              <w:t>Second attempt</w:t>
            </w:r>
          </w:p>
        </w:tc>
        <w:tc>
          <w:tcPr>
            <w:tcW w:w="7738" w:type="dxa"/>
            <w:tcBorders>
              <w:right w:val="nil"/>
            </w:tcBorders>
            <w:vAlign w:val="center"/>
          </w:tcPr>
          <w:p w14:paraId="374612C3" w14:textId="441457EB" w:rsidR="008817B6" w:rsidRPr="001F4363" w:rsidRDefault="006C2B69" w:rsidP="000C4CE0">
            <w:r w:rsidRPr="001F4363">
              <w:t>If the student is deemed not satisfactory, they will be given one (1) more attempt at this assessment (or part thereof) or you can negotiate a further assessment with the student as required. The second attempt must be completed within 10 working days from the date your feedback is given.</w:t>
            </w:r>
          </w:p>
        </w:tc>
      </w:tr>
      <w:tr w:rsidR="004E30B6" w:rsidRPr="002F7C81" w14:paraId="5A0BDF4C" w14:textId="77777777" w:rsidTr="000C4CE0">
        <w:trPr>
          <w:cantSplit/>
        </w:trPr>
        <w:tc>
          <w:tcPr>
            <w:tcW w:w="2865" w:type="dxa"/>
            <w:tcBorders>
              <w:left w:val="nil"/>
              <w:bottom w:val="single" w:sz="4" w:space="0" w:color="auto"/>
            </w:tcBorders>
            <w:vAlign w:val="center"/>
          </w:tcPr>
          <w:p w14:paraId="6BA6ED98" w14:textId="7ADFEC5B" w:rsidR="004E30B6" w:rsidRPr="002A6715" w:rsidRDefault="004E30B6" w:rsidP="000C4CE0">
            <w:pPr>
              <w:pStyle w:val="Heading3"/>
            </w:pPr>
            <w:r w:rsidRPr="004E30B6">
              <w:t>Assessment retention</w:t>
            </w:r>
          </w:p>
        </w:tc>
        <w:tc>
          <w:tcPr>
            <w:tcW w:w="7738" w:type="dxa"/>
            <w:tcBorders>
              <w:bottom w:val="single" w:sz="4" w:space="0" w:color="auto"/>
              <w:right w:val="nil"/>
            </w:tcBorders>
            <w:vAlign w:val="center"/>
          </w:tcPr>
          <w:p w14:paraId="7DF5CECF" w14:textId="164B32B8" w:rsidR="004E30B6" w:rsidRDefault="004E30B6" w:rsidP="000C4CE0">
            <w:r w:rsidRPr="00111900">
              <w:t xml:space="preserve">Documentation including supporting papers/forms must be retained in accordance with the </w:t>
            </w:r>
            <w:r w:rsidR="003B5A81" w:rsidRPr="007051C8">
              <w:rPr>
                <w:i/>
                <w:iCs/>
              </w:rPr>
              <w:t>BKI Records Disposal and Transfer Procedure</w:t>
            </w:r>
            <w:r w:rsidR="003B5A81">
              <w:rPr>
                <w:i/>
                <w:iCs/>
              </w:rPr>
              <w:t>.</w:t>
            </w:r>
          </w:p>
        </w:tc>
      </w:tr>
      <w:tr>
        <w:tc>
          <w:tcPr>
            <w:tcW w:type="dxa" w:w="2865"/>
          </w:tcPr>
          <w:p>
            <w:r>
              <w:rPr>
                <w:b/>
              </w:rPr>
              <w:t>Assessment Conditions &amp; Setup Requirements</w:t>
            </w:r>
          </w:p>
        </w:tc>
        <w:tc>
          <w:tcPr>
            <w:tcW w:type="dxa" w:w="7738"/>
          </w:tcPr>
          <w:p>
            <w:r>
              <w:t>These are conditions the assessor verifies as present before marking begins. They are not student-performance criteria — they are the conditions under which the assessment can validly be conducted.</w:t>
            </w:r>
          </w:p>
          <w:p>
            <w:pPr/>
            <w:r>
              <w:t>C1 The YAT scenario site / intranet is accessible to the student throughout the assessment — supplying the engagement requirements, the residency determination, the infrastructure and application specifications, the organisational policies and the industry-standards reference</w:t>
            </w:r>
          </w:p>
          <w:p>
            <w:pPr/>
            <w:r>
              <w:t>C2 Cloud platform reference access is available for the student to research services and their capabilities — a cloud vendor service provider, its managed database and serverless documentation, an internet connection and a web browser. Part A and Part B are design and planning tasks: nothing is deployed, so no lab session is required</w:t>
            </w:r>
          </w:p>
          <w:p>
            <w:pPr/>
            <w:r>
              <w:t>C3 The YAT Disaster Recovery Plan template has been made available to the student before Part B task 18</w:t>
            </w:r>
          </w:p>
          <w:p>
            <w:pPr/>
            <w:r>
              <w:t>C4 A person is available to role-play Sam Walker, YAT ICT Manager, for the Part C presentation, feedback and sign-off</w:t>
            </w:r>
          </w:p>
        </w:tc>
      </w:tr>
    </w:tbl>
    <w:p w14:paraId="06A40D25" w14:textId="77777777" w:rsidR="0002686E" w:rsidRPr="007E12F7" w:rsidRDefault="0002686E" w:rsidP="007E12F7">
      <w:pPr>
        <w:pStyle w:val="NoSpacing"/>
      </w:pPr>
    </w:p>
    <w:p w14:paraId="471E5070" w14:textId="777FBFE3" w:rsidR="00F6546A" w:rsidRPr="0053539F" w:rsidRDefault="002642CA" w:rsidP="001F4363">
      <w:pPr>
        <w:pStyle w:val="Heading1"/>
      </w:pPr>
      <w:r w:rsidRPr="002642CA">
        <w:t>Project</w:t>
      </w:r>
      <w:r w:rsidR="00862361" w:rsidRPr="0053539F">
        <w:t xml:space="preserve"> Assessment – Marking Guide</w:t>
      </w:r>
    </w:p>
    <w:p w14:paraId="7AB19704" w14:textId="77777777" w:rsidR="00862361" w:rsidRPr="00C677AA" w:rsidRDefault="00862361" w:rsidP="00F6546A">
      <w:pPr>
        <w:pStyle w:val="NoSpacing"/>
        <w:rPr>
          <w:color w:val="4F81BD" w:themeColor="accent1"/>
        </w:rPr>
      </w:pPr>
    </w:p>
    <w:p w14:paraId="7CBD3D79" w14:textId="12E9F4FE" w:rsidR="003A316B" w:rsidRPr="00C677AA" w:rsidRDefault="0002686E" w:rsidP="00C455D6">
      <w:pPr>
        <w:pStyle w:val="Assessortext"/>
      </w:pPr>
      <w:r w:rsidRPr="00C677AA">
        <w:t>List the criteria the student will be assessed against for the project assessment</w:t>
      </w:r>
      <w:r w:rsidR="00620148" w:rsidRPr="00C677AA">
        <w:t>.</w:t>
      </w:r>
      <w:r w:rsidR="001F4363">
        <w:br/>
      </w:r>
    </w:p>
    <w:tbl>
      <w:tblPr>
        <w:tblStyle w:val="TableGrid"/>
        <w:tblW w:w="0" w:type="auto"/>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697"/>
        <w:gridCol w:w="1934"/>
      </w:tblGrid>
      <w:tr w:rsidR="00620148" w:rsidRPr="002F7C81" w14:paraId="3EE9E17B" w14:textId="77777777" w:rsidTr="00572FD7">
        <w:trPr>
          <w:tblHeader/>
        </w:trPr>
        <w:tc>
          <w:tcPr>
            <w:tcW w:w="10740" w:type="dxa"/>
            <w:gridSpan w:val="2"/>
            <w:tcBorders>
              <w:top w:val="nil"/>
              <w:left w:val="nil"/>
              <w:bottom w:val="nil"/>
              <w:right w:val="nil"/>
            </w:tcBorders>
            <w:shd w:val="clear" w:color="auto" w:fill="1F497D" w:themeFill="text2"/>
            <w:vAlign w:val="center"/>
          </w:tcPr>
          <w:p w14:paraId="2006C615" w14:textId="5380BB4B" w:rsidR="00620148" w:rsidRPr="002A6715" w:rsidRDefault="00620148" w:rsidP="000C4CE0">
            <w:pPr>
              <w:pStyle w:val="Heading2"/>
              <w:rPr>
                <w:color w:val="365F91" w:themeColor="accent1" w:themeShade="BF"/>
              </w:rPr>
            </w:pPr>
            <w:r>
              <w:t>Assessment criteria</w:t>
            </w:r>
          </w:p>
        </w:tc>
      </w:tr>
      <w:tr w:rsidR="00620148" w:rsidRPr="002F7C81" w14:paraId="05F71C12" w14:textId="77777777" w:rsidTr="000C4CE0">
        <w:trPr>
          <w:trHeight w:val="340"/>
        </w:trPr>
        <w:tc>
          <w:tcPr>
            <w:tcW w:w="8797" w:type="dxa"/>
            <w:tcBorders>
              <w:top w:val="nil"/>
              <w:left w:val="nil"/>
            </w:tcBorders>
            <w:vAlign w:val="center"/>
          </w:tcPr>
          <w:p w14:paraId="08576997" w14:textId="0D63F091" w:rsidR="00620148" w:rsidRPr="002E7C77" w:rsidRDefault="00620148" w:rsidP="000C4CE0">
            <w:pPr>
              <w:pStyle w:val="Heading3"/>
            </w:pPr>
            <w:r>
              <w:t>Criteria</w:t>
            </w:r>
          </w:p>
        </w:tc>
        <w:tc>
          <w:tcPr>
            <w:tcW w:w="1943" w:type="dxa"/>
            <w:tcBorders>
              <w:top w:val="nil"/>
              <w:right w:val="nil"/>
            </w:tcBorders>
            <w:vAlign w:val="center"/>
          </w:tcPr>
          <w:p w14:paraId="2253DAA1" w14:textId="20C57079" w:rsidR="00620148" w:rsidRPr="002E7C77" w:rsidRDefault="00620148" w:rsidP="000C4CE0">
            <w:pPr>
              <w:pStyle w:val="Heading3"/>
            </w:pPr>
            <w:r>
              <w:t>Satisfactory?</w:t>
            </w:r>
          </w:p>
        </w:tc>
      </w:tr>
      <w:tr>
        <w:tc>
          <w:tcPr>
            <w:tcW w:type="dxa" w:w="8697"/>
          </w:tcPr>
          <w:p>
            <w:r>
              <w:t>A1 Scaling needs, current-state review and the residency input (tasks 1–3) — the student establishes what the design is held to from the supplied documents, reviews the current architecture against those needs rather than against general good practice, and reads the residency determination correctly, separating what must be held in India from what may remain in Australia</w:t>
            </w:r>
          </w:p>
          <w:p>
            <w:pPr/>
            <w:r>
              <w:t>[ICTCLD503 PC 1.1] · [ICTCLD503 FS Reading] · [ICTCLD503 PC 1.2] · [ICTCLD503 PC 1.5]</w:t>
            </w:r>
          </w:p>
        </w:tc>
        <w:tc>
          <w:tcPr>
            <w:tcW w:type="dxa" w:w="1934"/>
          </w:tcPr>
          <w:p>
            <w:r>
              <w:t>☐ Yes  ☐ No</w:t>
            </w:r>
          </w:p>
        </w:tc>
      </w:tr>
      <w:tr>
        <w:tc>
          <w:tcPr>
            <w:tcW w:type="dxa" w:w="8697"/>
          </w:tcPr>
          <w:p>
            <w:r>
              <w:t>A2 Services identified (task 4) — the services named address the gaps the review found, each with a stated purpose</w:t>
            </w:r>
          </w:p>
          <w:p>
            <w:pPr/>
            <w:r>
              <w:t>[ICTCLD503 PC 1.3]</w:t>
            </w:r>
          </w:p>
        </w:tc>
        <w:tc>
          <w:tcPr>
            <w:tcW w:type="dxa" w:w="1934"/>
          </w:tcPr>
          <w:p>
            <w:r>
              <w:t>☐ Yes  ☐ No</w:t>
            </w:r>
          </w:p>
        </w:tc>
      </w:tr>
      <w:tr>
        <w:tc>
          <w:tcPr>
            <w:tcW w:type="dxa" w:w="8697"/>
          </w:tcPr>
          <w:p>
            <w:r>
              <w:t>A3 Layer-by-layer design (tasks 5–7) — the student designs the network entry point, the compute tier and the data tier as CHANGES to a working system, keeping what already meets the need and saying so</w:t>
            </w:r>
          </w:p>
          <w:p>
            <w:pPr/>
            <w:r>
              <w:t>[ICTCLD503 PC 1.4]</w:t>
            </w:r>
          </w:p>
        </w:tc>
        <w:tc>
          <w:tcPr>
            <w:tcW w:type="dxa" w:w="1934"/>
          </w:tcPr>
          <w:p>
            <w:r>
              <w:t>☐ Yes  ☐ No</w:t>
            </w:r>
          </w:p>
        </w:tc>
      </w:tr>
      <w:tr>
        <w:tc>
          <w:tcPr>
            <w:tcW w:type="dxa" w:w="8697"/>
          </w:tcPr>
          <w:p>
            <w:r>
              <w:t>A4 Global delivery and caching (tasks 8–9) — the student distinguishes what is cached from what must reach the origin, sets a policy per content type, addresses search discoverability, and chooses between edge and in-memory caching with reasons</w:t>
            </w:r>
          </w:p>
          <w:p>
            <w:pPr/>
            <w:r>
              <w:t>[ICTCLD503 PC 1.5] · [ICTCLD503 PE 5] · [ICTCLD503 KE 3] · [ICTCLD503 FS Problem solving]</w:t>
            </w:r>
          </w:p>
        </w:tc>
        <w:tc>
          <w:tcPr>
            <w:tcW w:type="dxa" w:w="1934"/>
          </w:tcPr>
          <w:p>
            <w:r>
              <w:t>☐ Yes  ☐ No</w:t>
            </w:r>
          </w:p>
        </w:tc>
      </w:tr>
      <w:tr>
        <w:tc>
          <w:tcPr>
            <w:tcW w:type="dxa" w:w="8697"/>
          </w:tcPr>
          <w:p>
            <w:r>
              <w:t>A5 Design checks and review (tasks 10–12) — the student checks the design scales as utilisation increases and identifies where it stops, checks availability and security are maintained including the new dependencies introduced, and reviews the whole design back against the needs from task 1</w:t>
            </w:r>
          </w:p>
          <w:p>
            <w:pPr/>
            <w:r>
              <w:t>[ICTCLD503 PC 1.4] · [ICTCLD503 FS Problem solving] · [ICTCLD503 PC 1.6] · [ICTCLD503 FS Self-management]</w:t>
            </w:r>
          </w:p>
        </w:tc>
        <w:tc>
          <w:tcPr>
            <w:tcW w:type="dxa" w:w="1934"/>
          </w:tcPr>
          <w:p>
            <w:r>
              <w:t>☐ Yes  ☐ No</w:t>
            </w:r>
          </w:p>
        </w:tc>
      </w:tr>
      <w:tr>
        <w:tc>
          <w:tcPr>
            <w:tcW w:type="dxa" w:w="8697"/>
          </w:tcPr>
          <w:p>
            <w:r>
              <w:t>A6 Web-scale architecture (task 13) — a diagram showing a multi-tier web application whose networking, compute and storage all scale, consistent with the design tables</w:t>
            </w:r>
          </w:p>
          <w:p>
            <w:pPr/>
            <w:r>
              <w:t>[ICTCLD503 PE 1]</w:t>
            </w:r>
          </w:p>
        </w:tc>
        <w:tc>
          <w:tcPr>
            <w:tcW w:type="dxa" w:w="1934"/>
          </w:tcPr>
          <w:p>
            <w:r>
              <w:t>☐ Yes  ☐ No</w:t>
            </w:r>
          </w:p>
        </w:tc>
      </w:tr>
      <w:tr>
        <w:tc>
          <w:tcPr>
            <w:tcW w:type="dxa" w:w="8697"/>
          </w:tcPr>
          <w:p>
            <w:r>
              <w:t>A7 Web-scale justification (task 14) — a written justification tying each significant choice to a recorded requirement and naming the alternatives rejected</w:t>
            </w:r>
          </w:p>
          <w:p>
            <w:pPr/>
            <w:r>
              <w:t>[ICTCLD503 PC 1.7] · [ICTCLD503 FS Writing]</w:t>
            </w:r>
          </w:p>
        </w:tc>
        <w:tc>
          <w:tcPr>
            <w:tcW w:type="dxa" w:w="1934"/>
          </w:tcPr>
          <w:p>
            <w:r>
              <w:t>☐ Yes  ☐ No</w:t>
            </w:r>
          </w:p>
        </w:tc>
      </w:tr>
      <w:tr>
        <w:tc>
          <w:tcPr>
            <w:tcW w:type="dxa" w:w="8697"/>
          </w:tcPr>
          <w:p>
            <w:r>
              <w:t>A8 Microservice identified and its services chosen (tasks 15–16) — the student identifies the access-event transaction and where it comes to rest, and selects services for receiving, decoupling, processing and storing, explaining the queue</w:t>
            </w:r>
          </w:p>
          <w:p>
            <w:pPr/>
            <w:r>
              <w:t>[ICTCLD503 PC 2.1] · [ICTCLD503 PC 2.2] · [ICTCLD503 KE 4]</w:t>
            </w:r>
          </w:p>
        </w:tc>
        <w:tc>
          <w:tcPr>
            <w:tcW w:type="dxa" w:w="1934"/>
          </w:tcPr>
          <w:p>
            <w:r>
              <w:t>☐ Yes  ☐ No</w:t>
            </w:r>
          </w:p>
        </w:tc>
      </w:tr>
      <w:tr>
        <w:tc>
          <w:tcPr>
            <w:tcW w:type="dxa" w:w="8697"/>
          </w:tcPr>
          <w:p>
            <w:r>
              <w:t>A9 Microservice architecture and contract (tasks 17–18) — a diagram showing a decoupled flow across the region boundary, and an integration contract complete enough to build either side from, including duplicate handling</w:t>
            </w:r>
          </w:p>
          <w:p>
            <w:pPr/>
            <w:r>
              <w:t>[ICTCLD503 PC 2.3] · [ICTCLD503 PE 2] · [ICTCLD503 KE 4]</w:t>
            </w:r>
          </w:p>
        </w:tc>
        <w:tc>
          <w:tcPr>
            <w:tcW w:type="dxa" w:w="1934"/>
          </w:tcPr>
          <w:p>
            <w:r>
              <w:t>☐ Yes  ☐ No</w:t>
            </w:r>
          </w:p>
        </w:tc>
      </w:tr>
      <w:tr>
        <w:tc>
          <w:tcPr>
            <w:tcW w:type="dxa" w:w="8697"/>
          </w:tcPr>
          <w:p>
            <w:r>
              <w:t>A10 Microservice justification (task 19) — a written justification of the separation, the components and the residency decisions, including an honest account of what an outage of the service would cost</w:t>
            </w:r>
          </w:p>
          <w:p>
            <w:pPr/>
            <w:r>
              <w:t>[ICTCLD503 PC 2.4] · [ICTCLD503 FS Writing]</w:t>
            </w:r>
          </w:p>
        </w:tc>
        <w:tc>
          <w:tcPr>
            <w:tcW w:type="dxa" w:w="1934"/>
          </w:tcPr>
          <w:p>
            <w:r>
              <w:t>☐ Yes  ☐ No</w:t>
            </w:r>
          </w:p>
        </w:tc>
      </w:tr>
      <w:tr>
        <w:tc>
          <w:tcPr>
            <w:tcW w:type="dxa" w:w="8697"/>
          </w:tcPr>
          <w:p>
            <w:r>
              <w:t>A11 Design knowledge (questions 1–4) — the student explains the four component choices, cohesion and coupling, the web-scaling principles applied, and how the design keeps the residency option open, all with reference to their own design</w:t>
            </w:r>
          </w:p>
          <w:p>
            <w:pPr/>
            <w:r>
              <w:t>[ICTCLD503 KE 3] · [ICTCLD503 KE 4] · [ICTCLD503 KE 6] · [ICTCLD503 PE 5] · [ICTCLD503 FS Self-management]</w:t>
            </w:r>
          </w:p>
        </w:tc>
        <w:tc>
          <w:tcPr>
            <w:tcW w:type="dxa" w:w="1934"/>
          </w:tcPr>
          <w:p>
            <w:r>
              <w:t>☐ Yes  ☐ No</w:t>
            </w:r>
          </w:p>
        </w:tc>
      </w:tr>
      <w:tr>
        <w:tc>
          <w:tcPr>
            <w:tcW w:type="dxa" w:w="8697"/>
          </w:tcPr>
          <w:p>
            <w:r>
              <w:t>A12 Recovery requirements and current position (tasks 20–22) — the student identifies the recovery requirements with the business need behind each, determines what recovery arrangements already exist and what they do not cover, and identifies the vendor's commitments and where YAT's responsibility begins</w:t>
            </w:r>
          </w:p>
          <w:p>
            <w:pPr/>
            <w:r>
              <w:t>[ICTCLD501 PC 1.1] · [ICTCLD501 FS Reading] · [ICTCLD501 PC 1.2] · [ICTCLD501 PC 1.3]</w:t>
            </w:r>
          </w:p>
        </w:tc>
        <w:tc>
          <w:tcPr>
            <w:tcW w:type="dxa" w:w="1934"/>
          </w:tcPr>
          <w:p>
            <w:r>
              <w:t>☐ Yes  ☐ No</w:t>
            </w:r>
          </w:p>
        </w:tc>
      </w:tr>
      <w:tr>
        <w:tc>
          <w:tcPr>
            <w:tcW w:type="dxa" w:w="8697"/>
          </w:tcPr>
          <w:p>
            <w:r>
              <w:t>A13 Impact analysis (tasks 23–27) — recovery objectives per component, the data being protected with its volume and sensitivity, at least three major risk events rated by a stated method, justified plan exclusions, and the analysis recorded according to YAT's policies</w:t>
            </w:r>
          </w:p>
          <w:p>
            <w:pPr/>
            <w:r>
              <w:t>[ICTCLD501 PC 2.1] · [ICTCLD501 KE 5] · [ICTCLD501 PC 2.3] · [ICTCLD501 PC 2.4] · [ICTCLD501 PE 2] · [ICTCLD501 KE 1] · [ICTCLD501 KE 2] · [ICTCLD501 FS Planning and organising] · [ICTCLD501 PC 2.2] · [ICTCLD501 PC 2.5]</w:t>
            </w:r>
          </w:p>
        </w:tc>
        <w:tc>
          <w:tcPr>
            <w:tcW w:type="dxa" w:w="1934"/>
          </w:tcPr>
          <w:p>
            <w:r>
              <w:t>☐ Yes  ☐ No</w:t>
            </w:r>
          </w:p>
        </w:tc>
      </w:tr>
      <w:tr>
        <w:tc>
          <w:tcPr>
            <w:tcW w:type="dxa" w:w="8697"/>
          </w:tcPr>
          <w:p>
            <w:r>
              <w:t>A14 Recovery strategy (tasks 28–32) — a genuine range of recovery options with realistic recovery times and costs, a recommendation aligned to the business requirement rather than to maximum protection, vendor protections mapped against the risks and prioritised, a reasoned position on insurance, and the non-technical components the plan needs to work</w:t>
            </w:r>
          </w:p>
          <w:p>
            <w:pPr/>
            <w:r>
              <w:t>[ICTCLD501 PC 3.1] · [ICTCLD501 KE 3] · [ICTCLD501 FS Problem solving] · [ICTCLD501 PC 4.1] · [ICTCLD501 PC 3.2] · [ICTCLD501 PC 3.3] · [ICTCLD501 PC 3.4]</w:t>
            </w:r>
          </w:p>
        </w:tc>
        <w:tc>
          <w:tcPr>
            <w:tcW w:type="dxa" w:w="1934"/>
          </w:tcPr>
          <w:p>
            <w:r>
              <w:t>☐ Yes  ☐ No</w:t>
            </w:r>
          </w:p>
        </w:tc>
      </w:tr>
      <w:tr>
        <w:tc>
          <w:tcPr>
            <w:tcW w:type="dxa" w:w="8697"/>
          </w:tcPr>
          <w:p>
            <w:r>
              <w:t>A15 The plan itself (tasks 33–35) — detection that does not depend on the failed region, sequenced recovery steps with owners and timings, and the arithmetic showing the plan achieves the objectives set in task 4</w:t>
            </w:r>
          </w:p>
          <w:p>
            <w:pPr/>
            <w:r>
              <w:t>[ICTCLD501 KE 6] · [ICTCLD501 PC 4.2] · [ICTCLD501 FS Planning and organising] · [ICTCLD501 PE 3] · [ICTCLD501 KE 5]</w:t>
            </w:r>
          </w:p>
        </w:tc>
        <w:tc>
          <w:tcPr>
            <w:tcW w:type="dxa" w:w="1934"/>
          </w:tcPr>
          <w:p>
            <w:r>
              <w:t>☐ Yes  ☐ No</w:t>
            </w:r>
          </w:p>
        </w:tc>
      </w:tr>
      <w:tr>
        <w:tc>
          <w:tcPr>
            <w:tcW w:type="dxa" w:w="8697"/>
          </w:tcPr>
          <w:p>
            <w:r>
              <w:t>A16 Standards applied (task 36) — the information-security and continuity standards named and located in the student's own plan</w:t>
            </w:r>
          </w:p>
          <w:p>
            <w:pPr/>
            <w:r>
              <w:t>[ICTCLD501 KE 4]</w:t>
            </w:r>
          </w:p>
        </w:tc>
        <w:tc>
          <w:tcPr>
            <w:tcW w:type="dxa" w:w="1934"/>
          </w:tcPr>
          <w:p>
            <w:r>
              <w:t>☐ Yes  ☐ No</w:t>
            </w:r>
          </w:p>
        </w:tc>
      </w:tr>
      <w:tr>
        <w:tc>
          <w:tcPr>
            <w:tcW w:type="dxa" w:w="8697"/>
          </w:tcPr>
          <w:p>
            <w:r>
              <w:t>A17 The Disaster Recovery Plan (task 37) — the completed plan document, containing at least three major risk events, assembled to the YAT reporting standard the template sets. THIS CRITERION IS MARKED ON THE SUBMITTED PLAN, not on the worksheet</w:t>
            </w:r>
          </w:p>
          <w:p>
            <w:pPr/>
            <w:r>
              <w:t>[ICTCLD501 PC 4.3] · [ICTCLD501 PE 1] · [ICTCLD501 FS Self-management]</w:t>
            </w:r>
          </w:p>
        </w:tc>
        <w:tc>
          <w:tcPr>
            <w:tcW w:type="dxa" w:w="1934"/>
          </w:tcPr>
          <w:p>
            <w:r>
              <w:t>☐ Yes  ☐ No</w:t>
            </w:r>
          </w:p>
        </w:tc>
      </w:tr>
      <w:tr>
        <w:tc>
          <w:tcPr>
            <w:tcW w:type="dxa" w:w="8697"/>
          </w:tcPr>
          <w:p>
            <w:r>
              <w:t>A18 Recovery knowledge (questions 5–7) — the student explains what is distinctive about a public cloud-hosted website's risk environment, the method behind their risk ratings, and the recovery techniques available and why theirs fits</w:t>
            </w:r>
          </w:p>
          <w:p>
            <w:pPr/>
            <w:r>
              <w:t>[ICTCLD501 KE 1] · [ICTCLD501 KE 2] · [ICTCLD501 KE 3] · [ICTCLD501 KE 5]</w:t>
            </w:r>
          </w:p>
        </w:tc>
        <w:tc>
          <w:tcPr>
            <w:tcW w:type="dxa" w:w="1934"/>
          </w:tcPr>
          <w:p>
            <w:r>
              <w:t>☐ Yes  ☐ No</w:t>
            </w:r>
          </w:p>
        </w:tc>
      </w:tr>
      <w:tr>
        <w:tc>
          <w:tcPr>
            <w:tcW w:type="dxa" w:w="8697"/>
          </w:tcPr>
          <w:p>
            <w:r>
              <w:t>A19 Verbal walkthrough (task 40, observed) — the student conducts a verbal walkthrough of the design and the plan with the required person, explaining their own reasoning in appropriate industry language and answering questions on it</w:t>
            </w:r>
          </w:p>
          <w:p>
            <w:pPr/>
            <w:r>
              <w:t>[ICTCLD501 PC 5.1] · [ICTCLD501 FS Oral communication]</w:t>
            </w:r>
          </w:p>
        </w:tc>
        <w:tc>
          <w:tcPr>
            <w:tcW w:type="dxa" w:w="1934"/>
          </w:tcPr>
          <w:p>
            <w:r>
              <w:t>☐ Yes  ☐ No</w:t>
            </w:r>
          </w:p>
        </w:tc>
      </w:tr>
      <w:tr>
        <w:tc>
          <w:tcPr>
            <w:tcW w:type="dxa" w:w="8697"/>
          </w:tcPr>
          <w:p>
            <w:r>
              <w:t>A20 Feedback sought and responded to (task 41) — the student actively sought feedback and responded to each item with a decision and a reason; a reasoned disagreement is a satisfactory response</w:t>
            </w:r>
          </w:p>
          <w:p>
            <w:pPr/>
            <w:r>
              <w:t>[ICTCLD501 PC 5.2]</w:t>
            </w:r>
          </w:p>
        </w:tc>
        <w:tc>
          <w:tcPr>
            <w:tcW w:type="dxa" w:w="1934"/>
          </w:tcPr>
          <w:p>
            <w:r>
              <w:t>☐ Yes  ☐ No</w:t>
            </w:r>
          </w:p>
        </w:tc>
      </w:tr>
      <w:tr>
        <w:tc>
          <w:tcPr>
            <w:tcW w:type="dxa" w:w="8697"/>
          </w:tcPr>
          <w:p>
            <w:r>
              <w:t>A21 Lodgement (task 42) — the approved plan is lodged according to YAT's Records Management Policy, with location, classification and retrievability recorded</w:t>
            </w:r>
          </w:p>
          <w:p>
            <w:pPr/>
            <w:r>
              <w:t>[ICTCLD501 PC 5.3]</w:t>
            </w:r>
          </w:p>
        </w:tc>
        <w:tc>
          <w:tcPr>
            <w:tcW w:type="dxa" w:w="1934"/>
          </w:tcPr>
          <w:p>
            <w:r>
              <w:t>☐ Yes  ☐ No</w:t>
            </w:r>
          </w:p>
        </w:tc>
      </w:tr>
      <w:tr>
        <w:tc>
          <w:tcPr>
            <w:tcW w:type="dxa" w:w="8697"/>
          </w:tcPr>
          <w:p>
            <w:r>
              <w:t>A22 Sign-off obtained (task 43) — sign-off recorded with a decision, a name and a date; approval with conditions is a satisfactory outcome where the conditions are recorded</w:t>
            </w:r>
          </w:p>
          <w:p>
            <w:pPr/>
            <w:r>
              <w:t>[ICTCLD501 PC 5.4]</w:t>
            </w:r>
          </w:p>
        </w:tc>
        <w:tc>
          <w:tcPr>
            <w:tcW w:type="dxa" w:w="1934"/>
          </w:tcPr>
          <w:p>
            <w:r>
              <w:t>☐ Yes  ☐ No</w:t>
            </w:r>
          </w:p>
        </w:tc>
      </w:tr>
    </w:tbl>
    <w:p w14:paraId="0EA725F5" w14:textId="77777777" w:rsidR="001F4363" w:rsidRDefault="001F4363" w:rsidP="001F4363">
      <w:pPr>
        <w:pStyle w:val="Assessortext"/>
      </w:pPr>
    </w:p>
    <w:p w14:paraId="45294AB6" w14:textId="77777777" w:rsidR="0002686E" w:rsidRPr="003A316B" w:rsidRDefault="0002686E" w:rsidP="001F4363"/>
    <w:bookmarkEnd w:id="5"/>
    <w:p w14:paraId="3B5466B7" w14:textId="77777777" w:rsidR="00FA41B0" w:rsidRPr="00FA41B0" w:rsidRDefault="00FA41B0" w:rsidP="002439FC"/>
    <w:p>
      <w:pPr>
        <w:pStyle w:val="Heading1"/>
      </w:pPr>
      <w:r>
        <w:t>Scenario</w:t>
      </w:r>
    </w:p>
    <w:p>
      <w:pPr>
        <w:spacing w:after="160"/>
      </w:pPr>
      <w:r>
        <w:rPr>
          <w:b w:val="0"/>
          <w:i w:val="0"/>
          <w:sz w:val="21"/>
        </w:rPr>
        <w:t>YAT College has entered an offshore partnership in India, and the public website is now the enrolment front door for that campus. You are an MTS Consultant on this engagement, reporting to Pat Lin (MTS Senior Consultant). Sam Walker (YAT ICT Manager) is your primary YAT-side stakeholder; Dana Mercer (Marketing &amp; Admissions Manager) owns the website itself.</w:t>
      </w:r>
    </w:p>
    <w:p>
      <w:pPr>
        <w:spacing w:after="160"/>
      </w:pPr>
      <w:r>
        <w:rPr>
          <w:b w:val="0"/>
          <w:i w:val="0"/>
          <w:sz w:val="21"/>
        </w:rPr>
        <w:t>The website already runs on AWS in Sydney and has been hardened to Multi-AZ high availability. It works, and it is resilient inside its region. What it was never built for is an audience on the other side of the Indian Ocean, or the log-residency obligations that come with operating in India.</w:t>
      </w:r>
    </w:p>
    <w:p>
      <w:pPr>
        <w:spacing w:after="160"/>
      </w:pPr>
      <w:r>
        <w:rPr>
          <w:b w:val="0"/>
          <w:i w:val="0"/>
          <w:sz w:val="21"/>
        </w:rPr>
        <w:t>The board has approved the expansion. In this part you design the extended architecture: how the website serves a global audience, and the audit-log service that keeps India's access logs in India. You are designing changes to a working system, not replacing it.</w:t>
      </w:r>
    </w:p>
    <w:p>
      <w:pPr>
        <w:pStyle w:val="Heading1"/>
      </w:pPr>
      <w:r>
        <w:t>Required resources (assessment conditions)</w:t>
      </w:r>
    </w:p>
    <w:p>
      <w:pPr>
        <w:spacing w:after="120"/>
        <w:ind w:left="340"/>
      </w:pPr>
      <w:r>
        <w:rPr>
          <w:sz w:val="21"/>
        </w:rPr>
        <w:t xml:space="preserve">•  </w:t>
      </w:r>
      <w:hyperlink r:id="rId17">
        <w:r>
          <w:rPr>
            <w:sz w:val="21"/>
            <w:color w:val="0563C1"/>
            <w:u w:val="single"/>
          </w:rPr>
          <w:t>Website Global Expansion — Functional &amp; Non-Functional Requirements — the targets this design is held to</w:t>
        </w:r>
      </w:hyperlink>
    </w:p>
    <w:p>
      <w:pPr>
        <w:spacing w:after="120"/>
        <w:ind w:left="340"/>
      </w:pPr>
      <w:r>
        <w:rPr>
          <w:sz w:val="21"/>
        </w:rPr>
        <w:t xml:space="preserve">•  </w:t>
      </w:r>
      <w:hyperlink r:id="rId18">
        <w:r>
          <w:rPr>
            <w:sz w:val="21"/>
            <w:color w:val="0563C1"/>
            <w:u w:val="single"/>
          </w:rPr>
          <w:t>Data Residency &amp; Sovereignty Requirements — the India obligations the design must satisfy</w:t>
        </w:r>
      </w:hyperlink>
    </w:p>
    <w:p>
      <w:pPr>
        <w:spacing w:after="120"/>
        <w:ind w:left="340"/>
      </w:pPr>
      <w:r>
        <w:rPr>
          <w:sz w:val="21"/>
        </w:rPr>
        <w:t xml:space="preserve">•  </w:t>
      </w:r>
      <w:hyperlink r:id="rId19">
        <w:r>
          <w:rPr>
            <w:sz w:val="21"/>
            <w:color w:val="0563C1"/>
            <w:u w:val="single"/>
          </w:rPr>
          <w:t>Website Infrastructure Specifications — the HA-hardened environment you are extending</w:t>
        </w:r>
      </w:hyperlink>
    </w:p>
    <w:p>
      <w:pPr>
        <w:spacing w:after="120"/>
        <w:ind w:left="340"/>
      </w:pPr>
      <w:r>
        <w:rPr>
          <w:sz w:val="21"/>
        </w:rPr>
        <w:t xml:space="preserve">•  </w:t>
      </w:r>
      <w:hyperlink r:id="rId20">
        <w:r>
          <w:rPr>
            <w:sz w:val="21"/>
            <w:color w:val="0563C1"/>
            <w:u w:val="single"/>
          </w:rPr>
          <w:t>Website Specification — the workload itself: what the site does, who uses it, and how much</w:t>
        </w:r>
      </w:hyperlink>
    </w:p>
    <w:p>
      <w:pPr>
        <w:spacing w:after="120"/>
        <w:ind w:left="340"/>
      </w:pPr>
      <w:r>
        <w:rPr>
          <w:sz w:val="21"/>
        </w:rPr>
        <w:t xml:space="preserve">•  </w:t>
      </w:r>
      <w:hyperlink r:id="rId21">
        <w:r>
          <w:rPr>
            <w:sz w:val="21"/>
            <w:color w:val="0563C1"/>
            <w:u w:val="single"/>
          </w:rPr>
          <w:t>Engagement Role Brief — your role on this engagement and what is in scope for MTS</w:t>
        </w:r>
      </w:hyperlink>
    </w:p>
    <w:p>
      <w:pPr>
        <w:spacing w:after="160"/>
      </w:pPr>
      <w:r>
        <w:rPr>
          <w:b w:val="0"/>
          <w:i/>
          <w:color w:val="6B6660"/>
          <w:sz w:val="19"/>
        </w:rPr>
        <w:t>Everything this part needs is on the YAT intranet. Your assessor will tell you the current address of the site.</w:t>
      </w:r>
    </w:p>
    <w:p>
      <w:pPr>
        <w:pStyle w:val="Heading1"/>
      </w:pPr>
      <w:r>
        <w:t>Instructions to Student</w:t>
      </w:r>
    </w:p>
    <w:p>
      <w:pPr>
        <w:spacing w:after="160"/>
      </w:pPr>
      <w:r>
        <w:rPr>
          <w:b w:val="0"/>
          <w:i w:val="0"/>
          <w:sz w:val="21"/>
        </w:rPr>
        <w:t>This is an open-book assessment. You may use the YAT intranet, AWS documentation, and anything you have from class — including your own notes and any practice work you have done. What you may not use is another student.</w:t>
      </w:r>
    </w:p>
    <w:p>
      <w:pPr>
        <w:spacing w:after="160"/>
      </w:pPr>
      <w:r>
        <w:rPr>
          <w:b w:val="0"/>
          <w:i w:val="0"/>
          <w:sz w:val="21"/>
        </w:rPr>
        <w:t>Work the tasks in order — each one builds on the answer before it. They tell you what to decide; they do not tell you what to decide it to.</w:t>
      </w:r>
    </w:p>
    <w:p>
      <w:pPr>
        <w:spacing w:after="160"/>
      </w:pPr>
      <w:r>
        <w:rPr>
          <w:b w:val="0"/>
          <w:i w:val="0"/>
          <w:sz w:val="21"/>
        </w:rPr>
        <w:t>Tasks 1 to 14 are the web-scale design. Tasks 15 to 19 are the audit-log microservice. Each strand finishes with a written justification of the design you produced in it — those two tasks are where your reasoning is assessed, so give them the time they need.</w:t>
      </w:r>
    </w:p>
    <w:p>
      <w:pPr>
        <w:spacing w:after="160"/>
      </w:pPr>
      <w:r>
        <w:rPr>
          <w:b w:val="0"/>
          <w:i w:val="0"/>
          <w:sz w:val="21"/>
        </w:rPr>
        <w:t>This part is design only. You are not building anything here, and nothing is deployed. Where a task asks for a region, name the region the design calls for.</w:t>
      </w:r>
    </w:p>
    <w:p>
      <w:pPr>
        <w:spacing w:after="160"/>
      </w:pPr>
      <w:r>
        <w:rPr>
          <w:b w:val="0"/>
          <w:i w:val="0"/>
          <w:sz w:val="21"/>
        </w:rPr>
        <w:t>Recovery from the loss of the whole Sydney region is the subject of Part B's disaster recovery plan. Design for it here only where a scaling decision also affects it, and say so.</w:t>
      </w:r>
    </w:p>
    <w:p>
      <w:pPr>
        <w:pStyle w:val="Heading1"/>
      </w:pPr>
      <w:r>
        <w:t>Part A — Design</w:t>
      </w:r>
    </w:p>
    <w:p>
      <w:pPr>
        <w:pStyle w:val="Heading2"/>
      </w:pPr>
      <w:r>
        <w:rPr>
          <w:color w:val="1F5A5C"/>
        </w:rPr>
        <w:t>The environment you are extending</w:t>
      </w:r>
    </w:p>
    <w:p>
      <w:pPr>
        <w:spacing w:after="120"/>
      </w:pPr>
      <w:r>
        <w:rPr>
          <w:b w:val="0"/>
          <w:i w:val="0"/>
          <w:sz w:val="21"/>
        </w:rPr>
        <w:t>This is the environment you are extending. It is what the previous phase built and handed over — Multi-AZ, in one region, and working. Read it before you answer anything: several tasks below turn on noticing what is already there and not redesigning it.</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Region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ap-southeast-2 (Sydney). This part is a design exercise — no build, so the region is the one the design calls for, not a lab substitute.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Workload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YAT's public website — marketing pages, course catalogue, and the online enquiry / application intake. Open-source PHP / MySQL CMS on a LAMP stack. Public and unauthenticated: its visitors are anonymous, arriving from the open internet and from search engines.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Network</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 website VPC across two availability zones  ·  public-web-a / -b (load balancer + NAT)  ·  private-app-a / -b (web tier)  ·  private-data-a / -b (database)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Load balancing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internet-facing Application Load Balancer across both public subnets, HTTPS :443, TLS terminating at the load balancer on an ACM certificate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Compute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Auto Scaling group across private-app-a and -b, minimum 2 (one per zone), scaling on CPU and request count; general-purpose small instances running the LAMP stack</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Database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Amazon RDS for MySQL, Multi-AZ — primary in private-data-a, synchronous standby in private-data-b, automatic failover typically under two minutes, encrypted, 7-day backup retention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Storage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uploaded media (images, brochures, course PDFs) served from an S3 bucket rather than instance disk, so every instance serves the same media; a second private bucket holds nightly database and media backups</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Internet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 internet gateway, and a NAT gateway in each zone for the private subnets' outbound traffic</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Security groups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sg-alb  HTTPS 443 from the internet  ·  sg-app  from sg-alb only  ·  sg-db  MySQL 3306 from sg-app only</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Availability posture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tolerates an instance failure and a single-zone failure with no manual intervention. Availability is already at or above 99.9%, and the expansion must not degrade it.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NOT in place</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anything outside this one region. There is no edge delivery, no presence in India, no cross-region recovery, and no audit-log service.</w:t>
            </w:r>
          </w:p>
        </w:tc>
      </w:tr>
    </w:tbl>
    <w:p/>
    <w:p>
      <w:pPr>
        <w:spacing w:after="80"/>
      </w:pPr>
      <w:r>
        <w:rPr>
          <w:sz w:val="21"/>
        </w:rPr>
        <w:t xml:space="preserve">•  </w:t>
      </w:r>
      <w:hyperlink r:id="rId22">
        <w:r>
          <w:rPr>
            <w:sz w:val="21"/>
            <w:color w:val="0563C1"/>
            <w:u w:val="single"/>
          </w:rPr>
          <w:t>Network Diagram (HA-hardened) — the environment drawn out, including where the website sits relative to the campus</w:t>
        </w:r>
      </w:hyperlink>
    </w:p>
    <w:p>
      <w:pPr>
        <w:spacing w:after="200"/>
      </w:pPr>
      <w:r>
        <w:rPr>
          <w:b w:val="0"/>
          <w:i/>
          <w:color w:val="6B6660"/>
          <w:sz w:val="19"/>
        </w:rPr>
        <w:t>Your work is the AWS infrastructure. The CMS, the website content and the application stack are not yours to change — the requirements are explicit that no operating system, CMS or application version changes as part of this engagement.</w:t>
      </w:r>
    </w:p>
    <w:p>
      <w:pPr>
        <w:spacing w:before="200" w:after="0"/>
      </w:pPr>
      <w:r>
        <w:rPr>
          <w:b/>
          <w:color w:val="1F5A5C"/>
          <w:sz w:val="16"/>
        </w:rPr>
        <w:t>TASK 1</w:t>
      </w:r>
    </w:p>
    <w:p>
      <w:pPr>
        <w:pStyle w:val="Heading2"/>
      </w:pPr>
      <w:r>
        <w:rPr>
          <w:color w:val="1F5A5C"/>
        </w:rPr>
        <w:t>The scaling needs this design has to meet</w:t>
      </w:r>
    </w:p>
    <w:p>
      <w:pPr>
        <w:spacing w:after="120"/>
      </w:pPr>
      <w:r>
        <w:rPr>
          <w:b w:val="0"/>
          <w:i w:val="0"/>
          <w:sz w:val="21"/>
        </w:rPr>
        <w:t>Before you design anything, establish what the design is held to. Read the requirements and the website specification, and record the scaling and performance needs this expansion must meet. Name the document each one came from — a target you cannot attribute is one you have assumed.</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targets YAT signed off on. The figures you need are here</w:t>
        </w:r>
      </w:hyperlink>
    </w:p>
    <w:p>
      <w:pPr>
        <w:spacing w:after="60"/>
        <w:ind w:left="340"/>
      </w:pPr>
      <w:r>
        <w:rPr>
          <w:sz w:val="19"/>
        </w:rPr>
        <w:t xml:space="preserve">•  </w:t>
      </w:r>
      <w:hyperlink r:id="rId20">
        <w:r>
          <w:rPr>
            <w:sz w:val="19"/>
            <w:color w:val="0563C1"/>
            <w:u w:val="single"/>
          </w:rPr>
          <w:t>Website Specification — the workload those targets are set against: who visits, how many, and when</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Need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requirement says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came from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Global audience served with acceptable latency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India prospective-student audience must receive acceptable response times; content delivered from the edge, close to users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Scale up and down with demand automatically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varies across the academic calendar with a pronounced Jan–Feb enrolment peak; the new cohort adds to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Availability must not be degraded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already Multi-AZ at 99.9% or better; the expansion builds on top and must not reduce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Read-heavy traffic profile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marketing pages and course catalogue dominate; enquiry / application submissions are comparatively light writes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Remain discoverable by search engines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catalogue and marketing pages are a primary acquisition channel for the new market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Public attack surface must be protected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internet-facing and unauthenticated — exposed to bots, scraping, denial of service and abuse of the public form</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Functional &amp; Non-Functional Requirements</w:t>
            </w:r>
          </w:p>
        </w:tc>
      </w:tr>
    </w:tbl>
    <w:p/>
    <w:p>
      <w:pPr>
        <w:spacing w:after="40"/>
      </w:pPr>
      <w:r>
        <w:rPr>
          <w:b w:val="0"/>
          <w:i/>
          <w:color w:val="6B6660"/>
          <w:sz w:val="18"/>
        </w:rPr>
        <w:t>Evidences: [ICTCLD503 PC 1.1] · [ICTCLD503 FS Reading]</w:t>
      </w:r>
    </w:p>
    <w:p>
      <w:pPr>
        <w:spacing w:after="120"/>
      </w:pPr>
      <w:r>
        <w:rPr>
          <w:b/>
          <w:color w:val="6B6660"/>
          <w:sz w:val="18"/>
        </w:rPr>
        <w:t xml:space="preserve">Satisfactory when </w:t>
      </w:r>
      <w:r>
        <w:rPr>
          <w:i/>
          <w:color w:val="6B6660"/>
          <w:sz w:val="18"/>
        </w:rPr>
        <w:t>the student records the global-audience latency need, the seasonal scaling behaviour, the availability floor and the read-heavy traffic profile, and attributes each to a source document rather than inventing it. The figures are in the supplied documents; a student who transcribes them correctly has met the item. Additional rows are welcome, not required.</w:t>
      </w:r>
    </w:p>
    <w:p>
      <w:pPr>
        <w:spacing w:before="200" w:after="0"/>
      </w:pPr>
      <w:r>
        <w:rPr>
          <w:b/>
          <w:color w:val="1F5A5C"/>
          <w:sz w:val="16"/>
        </w:rPr>
        <w:t>TASK 2</w:t>
      </w:r>
    </w:p>
    <w:p>
      <w:pPr>
        <w:pStyle w:val="Heading2"/>
      </w:pPr>
      <w:r>
        <w:rPr>
          <w:color w:val="1F5A5C"/>
        </w:rPr>
        <w:t>Review the current architecture against those needs</w:t>
      </w:r>
    </w:p>
    <w:p>
      <w:pPr>
        <w:spacing w:after="120"/>
      </w:pPr>
      <w:r>
        <w:rPr>
          <w:b w:val="0"/>
          <w:i w:val="0"/>
          <w:sz w:val="21"/>
        </w:rPr>
        <w:t>Go through the current architecture layer by layer. For each, say whether it meets the needs you recorded in task 1, and if it does not, why not. Work from what is described above and in the infrastructure specifications — not from what you would expect a cloud website to look like.</w:t>
      </w:r>
    </w:p>
    <w:p>
      <w:pPr>
        <w:spacing w:after="60"/>
      </w:pPr>
      <w:r>
        <w:rPr>
          <w:b/>
          <w:i w:val="0"/>
          <w:sz w:val="19"/>
        </w:rPr>
        <w:t>Related resources</w:t>
      </w:r>
    </w:p>
    <w:p>
      <w:pPr>
        <w:spacing w:after="60"/>
        <w:ind w:left="340"/>
      </w:pPr>
      <w:r>
        <w:rPr>
          <w:sz w:val="19"/>
        </w:rPr>
        <w:t xml:space="preserve">•  </w:t>
      </w:r>
      <w:hyperlink r:id="rId19">
        <w:r>
          <w:rPr>
            <w:sz w:val="19"/>
            <w:color w:val="0563C1"/>
            <w:u w:val="single"/>
          </w:rPr>
          <w:t>Website Infrastructure Specifications — the HA-hardened environment as it stands today, tier by tier</w:t>
        </w:r>
      </w:hyperlink>
    </w:p>
    <w:p>
      <w:pPr>
        <w:spacing w:after="60"/>
        <w:ind w:left="340"/>
      </w:pPr>
      <w:r>
        <w:rPr>
          <w:sz w:val="19"/>
        </w:rPr>
        <w:t xml:space="preserve">•  </w:t>
      </w:r>
      <w:hyperlink r:id="rId22">
        <w:r>
          <w:rPr>
            <w:sz w:val="19"/>
            <w:color w:val="0563C1"/>
            <w:u w:val="single"/>
          </w:rPr>
          <w:t>Network Diagram (HA-hardened) — the same environment drawn out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Meets the needs?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 why not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balancing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cross-AZ ALB with TLS at the edge of the VPC; scales with the tier behind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 Scaling group across two zones already scales on CPU and request count, and absorbs the Jan–Feb peak</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Partly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Multi-AZ MySQL is available and durable, but every read for every visitor still crosses the Indian Ocean to Sydney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Storage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media already served from S3 rather than instance disk, so it is not tied to a single instance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Content delivery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there is no edge caching — an India visitor fetches every page and image from Sydney over the open internet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India presence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exists in an Indian region, so the log-residency obligation cannot be met as things stand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Public exposure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Partly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security groups control network reach but nothing inspects or filters malicious web traffic at the edge</w:t>
            </w:r>
          </w:p>
        </w:tc>
      </w:tr>
    </w:tbl>
    <w:p/>
    <w:p>
      <w:pPr>
        <w:spacing w:after="40"/>
      </w:pPr>
      <w:r>
        <w:rPr>
          <w:b w:val="0"/>
          <w:i/>
          <w:color w:val="6B6660"/>
          <w:sz w:val="18"/>
        </w:rPr>
        <w:t>Evidences: [ICTCLD503 PC 1.2] · [ICTCLD503 FS Reading]</w:t>
      </w:r>
    </w:p>
    <w:p>
      <w:pPr>
        <w:spacing w:after="120"/>
      </w:pPr>
      <w:r>
        <w:rPr>
          <w:b/>
          <w:color w:val="6B6660"/>
          <w:sz w:val="18"/>
        </w:rPr>
        <w:t xml:space="preserve">Satisfactory when </w:t>
      </w:r>
      <w:r>
        <w:rPr>
          <w:i/>
          <w:color w:val="6B6660"/>
          <w:sz w:val="18"/>
        </w:rPr>
        <w:t>every layer is reviewed and each judgement is tied to a task 1 need rather than to a general sense that something is 'not best practice'. The student must recognise that compute, database and in-region availability already meet their needs — a review that recommends rebuilding what is already adequate has not met the item. The gaps that matter are edge delivery and the absence of any India presence.</w:t>
      </w:r>
    </w:p>
    <w:p>
      <w:pPr>
        <w:spacing w:before="200" w:after="0"/>
      </w:pPr>
      <w:r>
        <w:rPr>
          <w:b/>
          <w:color w:val="1F5A5C"/>
          <w:sz w:val="16"/>
        </w:rPr>
        <w:t>TASK 3</w:t>
      </w:r>
    </w:p>
    <w:p>
      <w:pPr>
        <w:pStyle w:val="Heading2"/>
      </w:pPr>
      <w:r>
        <w:rPr>
          <w:color w:val="1F5A5C"/>
        </w:rPr>
        <w:t>The residency obligation, as a design input</w:t>
      </w:r>
    </w:p>
    <w:p>
      <w:pPr>
        <w:spacing w:after="120"/>
      </w:pPr>
      <w:r>
        <w:rPr>
          <w:b w:val="0"/>
          <w:i w:val="0"/>
          <w:sz w:val="21"/>
        </w:rPr>
        <w:t>Read the Data Residency &amp; Sovereignty Requirements and record what they oblige this design to do. Be precise about the boundary: note what must be held in India and what may remain in Australia. This is an input that shapes your design — you are not writing a compliance plan, and you are not interpreting the law.</w:t>
      </w:r>
    </w:p>
    <w:p>
      <w:pPr>
        <w:spacing w:after="60"/>
      </w:pPr>
      <w:r>
        <w:rPr>
          <w:b/>
          <w:i w:val="0"/>
          <w:sz w:val="19"/>
        </w:rPr>
        <w:t>Related resources</w:t>
      </w:r>
    </w:p>
    <w:p>
      <w:pPr>
        <w:spacing w:after="60"/>
        <w:ind w:left="340"/>
      </w:pPr>
      <w:r>
        <w:rPr>
          <w:sz w:val="19"/>
        </w:rPr>
        <w:t xml:space="preserve">•  </w:t>
      </w:r>
      <w:hyperlink r:id="rId18">
        <w:r>
          <w:rPr>
            <w:sz w:val="19"/>
            <w:color w:val="0563C1"/>
            <w:u w:val="single"/>
          </w:rPr>
          <w:t>Data Residency &amp; Sovereignty Requirements — the India obligations, and what they do and do not require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Reference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design must do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require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access and activity logs for the India cohort written to and retained in an Indian AWS region for at least 180 days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it does not require the website itself to run in India</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those logs readily retrievable, so an incident can be reported within 6 hours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continuous reporting pipeline is asked for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DR-R3</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 content and enquiry records may remain in the Australian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full localisation of the website is explicitly not required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DR-R4</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keep the option open to place more data categories in India later without re-architecting — provision the Indian footprint as reusable, region-parameterised infrastructure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it does not require those categories to be moved now</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DR-R5</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handling of India-cohort personal data stays consistent with YAT's Privacy and Security policies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separate compliance deliverable is required</w:t>
            </w:r>
          </w:p>
        </w:tc>
      </w:tr>
    </w:tbl>
    <w:p/>
    <w:p>
      <w:pPr>
        <w:spacing w:after="40"/>
      </w:pPr>
      <w:r>
        <w:rPr>
          <w:b w:val="0"/>
          <w:i/>
          <w:color w:val="6B6660"/>
          <w:sz w:val="18"/>
        </w:rPr>
        <w:t>Evidences: [ICTCLD503 PC 1.5] · [ICTCLD503 FS Reading]</w:t>
      </w:r>
    </w:p>
    <w:p>
      <w:pPr>
        <w:spacing w:after="120"/>
      </w:pPr>
      <w:r>
        <w:rPr>
          <w:b/>
          <w:color w:val="6B6660"/>
          <w:sz w:val="18"/>
        </w:rPr>
        <w:t xml:space="preserve">Satisfactory when </w:t>
      </w:r>
      <w:r>
        <w:rPr>
          <w:i/>
          <w:color w:val="6B6660"/>
          <w:sz w:val="18"/>
        </w:rPr>
        <w:t>the student separates the log-residency obligation (DR-R1: access and activity logs in an Indian region, 180 days) from what is NOT required (DR-R3: the main data store may stay in Australia; full localisation is not required). A student who concludes the whole website must move to India has misread the input and will over-build in every task after this one.</w:t>
      </w:r>
    </w:p>
    <w:p>
      <w:pPr>
        <w:spacing w:before="200" w:after="0"/>
      </w:pPr>
      <w:r>
        <w:rPr>
          <w:b/>
          <w:color w:val="1F5A5C"/>
          <w:sz w:val="16"/>
        </w:rPr>
        <w:t>TASK 4</w:t>
      </w:r>
    </w:p>
    <w:p>
      <w:pPr>
        <w:pStyle w:val="Heading2"/>
      </w:pPr>
      <w:r>
        <w:rPr>
          <w:color w:val="1F5A5C"/>
        </w:rPr>
        <w:t>The cloud services this design needs</w:t>
      </w:r>
    </w:p>
    <w:p>
      <w:pPr>
        <w:spacing w:after="120"/>
      </w:pPr>
      <w:r>
        <w:rPr>
          <w:b w:val="0"/>
          <w:i w:val="0"/>
          <w:sz w:val="21"/>
        </w:rPr>
        <w:t>Name the cloud services you will use to close the gaps you found in task 2, and say what each one does for you. One row per service. You are identifying the toolkit here; the design decisions come in the tasks after this one.</w:t>
      </w:r>
    </w:p>
    <w:p>
      <w:pPr>
        <w:spacing w:after="60"/>
      </w:pPr>
      <w:r>
        <w:rPr>
          <w:b/>
          <w:i w:val="0"/>
          <w:sz w:val="19"/>
        </w:rPr>
        <w:t>Related resources</w:t>
      </w:r>
    </w:p>
    <w:p>
      <w:pPr>
        <w:spacing w:after="60"/>
        <w:ind w:left="340"/>
      </w:pPr>
      <w:r>
        <w:rPr>
          <w:sz w:val="19"/>
        </w:rPr>
        <w:t xml:space="preserve">•  </w:t>
      </w:r>
      <w:hyperlink r:id="rId23">
        <w:r>
          <w:rPr>
            <w:sz w:val="19"/>
            <w:color w:val="0563C1"/>
            <w:u w:val="single"/>
          </w:rPr>
          <w:t>Reference Architectures — the service patterns YAT's architects work from</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Gap it closes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Edge delivery / latency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Content delivery network (CloudFront)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caches pages and media at edge locations near the visitor, so India traffic is served locally instead of from Sydney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Global entry point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DNS with latency or geolocation routing (Route 53)</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resolves visitors to the nearest entry point and is the seam a second region would later plug into</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Public attack surface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Web application firewall at the edge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filters common web exploits, bots and abusive traffic before it reaches the origin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Log residency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Managed NoSQL data store in an Indian region (DynamoDB)</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holds the India-cohort access records in-region, retained 180 days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Log ingestion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API + queue + serverless function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receives access events, buffers them, and writes them to the store without the website waiting on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Repeatable Indian footprint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Infrastructure as code (CloudFormation)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lets the India-side resources be stood up by parameter, which is what keeps DR-R4 open</w:t>
            </w:r>
          </w:p>
        </w:tc>
      </w:tr>
    </w:tbl>
    <w:p/>
    <w:p>
      <w:pPr>
        <w:spacing w:after="40"/>
      </w:pPr>
      <w:r>
        <w:rPr>
          <w:b w:val="0"/>
          <w:i/>
          <w:color w:val="6B6660"/>
          <w:sz w:val="18"/>
        </w:rPr>
        <w:t>Evidences: [ICTCLD503 PC 1.3]</w:t>
      </w:r>
    </w:p>
    <w:p>
      <w:pPr>
        <w:spacing w:after="120"/>
      </w:pPr>
      <w:r>
        <w:rPr>
          <w:b/>
          <w:color w:val="6B6660"/>
          <w:sz w:val="18"/>
        </w:rPr>
        <w:t xml:space="preserve">Satisfactory when </w:t>
      </w:r>
      <w:r>
        <w:rPr>
          <w:i/>
          <w:color w:val="6B6660"/>
          <w:sz w:val="18"/>
        </w:rPr>
        <w:t>the services named actually address the gaps identified in task 2 — at minimum a content delivery network for edge delivery and something in an Indian region for the logs. A service list that repeats what is already deployed, or that names services with no stated purpose, has not met the item. Specific product names are not required; the function each service performs is.</w:t>
      </w:r>
    </w:p>
    <w:p>
      <w:pPr>
        <w:spacing w:before="200" w:after="0"/>
      </w:pPr>
      <w:r>
        <w:rPr>
          <w:b/>
          <w:color w:val="1F5A5C"/>
          <w:sz w:val="16"/>
        </w:rPr>
        <w:t>TASK 5</w:t>
      </w:r>
    </w:p>
    <w:p>
      <w:pPr>
        <w:pStyle w:val="Heading2"/>
      </w:pPr>
      <w:r>
        <w:rPr>
          <w:color w:val="1F5A5C"/>
        </w:rPr>
        <w:t>Design — the network and entry point</w:t>
      </w:r>
    </w:p>
    <w:p>
      <w:pPr>
        <w:spacing w:after="120"/>
      </w:pPr>
      <w:r>
        <w:rPr>
          <w:b w:val="0"/>
          <w:i w:val="0"/>
          <w:sz w:val="21"/>
        </w:rPr>
        <w:t>Design how a visitor's request reaches the website once the expansion is in place. Say what sits in front of the load balancer, how a visitor in India is routed, and what changes inside the VPC. Remember the load balancer, subnets and security groups already exist — say where you leave them alone.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Public entry point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CDN distribution in front of the ALB</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visitor reaches an edge location, not Sydney; the ALB becomes the origin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public domain resolves to the CDN distribution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global name, routed to the nearest edge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Load balancer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 still internet-facing, still across both zones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it already works and the CDN needs a reachable origin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Subnets and routing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about global serving requires a different VPC layout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Origin protection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restrict the ALB so it only accepts traffic from the CDN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otherwise the edge can be bypassed and the firewall with it</w:t>
            </w:r>
          </w:p>
        </w:tc>
      </w:tr>
    </w:tbl>
    <w:p/>
    <w:p>
      <w:pPr>
        <w:spacing w:after="40"/>
      </w:pPr>
      <w:r>
        <w:rPr>
          <w:b w:val="0"/>
          <w:i/>
          <w:color w:val="6B6660"/>
          <w:sz w:val="18"/>
        </w:rPr>
        <w:t>Evidences: [ICTCLD503 PC 1.4]</w:t>
      </w:r>
    </w:p>
    <w:p>
      <w:pPr>
        <w:spacing w:after="120"/>
      </w:pPr>
      <w:r>
        <w:rPr>
          <w:b/>
          <w:color w:val="6B6660"/>
          <w:sz w:val="18"/>
        </w:rPr>
        <w:t xml:space="preserve">Satisfactory when </w:t>
      </w:r>
      <w:r>
        <w:rPr>
          <w:i/>
          <w:color w:val="6B6660"/>
          <w:sz w:val="18"/>
        </w:rPr>
        <w:t>the design puts an edge layer in front of the existing load balancer rather than replacing it, and the student is explicit that the VPC layout is unchanged. A design that rebuilds the network has not met the item — PC 1.4 is about designing architecture CHANGES, and the change here is in front of the origin, not inside it.</w:t>
      </w:r>
    </w:p>
    <w:p>
      <w:pPr>
        <w:spacing w:before="200" w:after="0"/>
      </w:pPr>
      <w:r>
        <w:rPr>
          <w:b/>
          <w:color w:val="1F5A5C"/>
          <w:sz w:val="16"/>
        </w:rPr>
        <w:t>TASK 6</w:t>
      </w:r>
    </w:p>
    <w:p>
      <w:pPr>
        <w:pStyle w:val="Heading2"/>
      </w:pPr>
      <w:r>
        <w:rPr>
          <w:color w:val="1F5A5C"/>
        </w:rPr>
        <w:t>Design — the compute tier</w:t>
      </w:r>
    </w:p>
    <w:p>
      <w:pPr>
        <w:spacing w:after="120"/>
      </w:pPr>
      <w:r>
        <w:rPr>
          <w:b w:val="0"/>
          <w:i w:val="0"/>
          <w:sz w:val="21"/>
        </w:rPr>
        <w:t>Say what happens to the web tier under the expansion. Consider the Jan–Feb peak with the new cohort added to it, and what the edge layer does to the volume of requests that actually reach an instance.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 Scaling group</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retained across both zones; minimum stays 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instance per zone is what holds the availability floor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Maximum capacity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raised to absorb the enlarged Jan–Feb peak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new cohort adds to an already-peaky profile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Scaling signal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request count per target, or CPU</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tier scales on what actually reaches it, which is now cache misses and form submissions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Effect of the edge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cached pages and media never reach an instance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read-heavy public site offloads most of its traffic to the CDN</w:t>
            </w:r>
          </w:p>
        </w:tc>
      </w:tr>
    </w:tbl>
    <w:p/>
    <w:p>
      <w:pPr>
        <w:spacing w:after="40"/>
      </w:pPr>
      <w:r>
        <w:rPr>
          <w:b w:val="0"/>
          <w:i/>
          <w:color w:val="6B6660"/>
          <w:sz w:val="18"/>
        </w:rPr>
        <w:t>Evidences: [ICTCLD503 PC 1.4]</w:t>
      </w:r>
    </w:p>
    <w:p>
      <w:pPr>
        <w:spacing w:after="120"/>
      </w:pPr>
      <w:r>
        <w:rPr>
          <w:b/>
          <w:color w:val="6B6660"/>
          <w:sz w:val="18"/>
        </w:rPr>
        <w:t xml:space="preserve">Satisfactory when </w:t>
      </w:r>
      <w:r>
        <w:rPr>
          <w:i/>
          <w:color w:val="6B6660"/>
          <w:sz w:val="18"/>
        </w:rPr>
        <w:t>the student recognises that caching at the edge REDUCES origin load, so the compute tier does not need to grow in proportion to the new audience, and states what the scaling policy is measured on. A design that simply raises the instance count without reference to the edge has not engaged with the change it just made in task 5.</w:t>
      </w:r>
    </w:p>
    <w:p>
      <w:pPr>
        <w:spacing w:before="200" w:after="0"/>
      </w:pPr>
      <w:r>
        <w:rPr>
          <w:b/>
          <w:color w:val="1F5A5C"/>
          <w:sz w:val="16"/>
        </w:rPr>
        <w:t>TASK 7</w:t>
      </w:r>
    </w:p>
    <w:p>
      <w:pPr>
        <w:pStyle w:val="Heading2"/>
      </w:pPr>
      <w:r>
        <w:rPr>
          <w:color w:val="1F5A5C"/>
        </w:rPr>
        <w:t>Design — the database and storage tier</w:t>
      </w:r>
    </w:p>
    <w:p>
      <w:pPr>
        <w:spacing w:after="120"/>
      </w:pPr>
      <w:r>
        <w:rPr>
          <w:b w:val="0"/>
          <w:i w:val="0"/>
          <w:sz w:val="21"/>
        </w:rPr>
        <w:t>Say what happens to the database and to media storage. Both already exist and both already work — the question is what the global audience and the read-heavy profile change about them, if anything.</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design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Primary 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stays Multi-AZ MySQL in Sydney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residency permits it, and the write volume is light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Read scaling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read replica, or an in-memory cache for hot queries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catalogue is read constantly and changes rarely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Media</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 in S3, delivered via the CDN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already decoupled from the instances; the edge does the rest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Backups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unchanged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 scope for Part B's recovery plan, not for scaling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Enquiry submissions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continue to write to the Sydney primary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light write traffic, and DR-R3 allows the records to stay in Australia</w:t>
            </w:r>
          </w:p>
        </w:tc>
      </w:tr>
    </w:tbl>
    <w:p/>
    <w:p>
      <w:pPr>
        <w:spacing w:after="40"/>
      </w:pPr>
      <w:r>
        <w:rPr>
          <w:b w:val="0"/>
          <w:i/>
          <w:color w:val="6B6660"/>
          <w:sz w:val="18"/>
        </w:rPr>
        <w:t>Evidences: [ICTCLD503 PC 1.4]</w:t>
      </w:r>
    </w:p>
    <w:p>
      <w:pPr>
        <w:spacing w:after="120"/>
      </w:pPr>
      <w:r>
        <w:rPr>
          <w:b/>
          <w:color w:val="6B6660"/>
          <w:sz w:val="18"/>
        </w:rPr>
        <w:t xml:space="preserve">Satisfactory when </w:t>
      </w:r>
      <w:r>
        <w:rPr>
          <w:i/>
          <w:color w:val="6B6660"/>
          <w:sz w:val="18"/>
        </w:rPr>
        <w:t>the student addresses read scaling for a read-heavy workload (a read replica or caching layer is the expected answer, and either is acceptable if justified) and recognises that media is already in object storage and is therefore served through the CDN without change. Keeping the writable primary in Sydney is correct, not a gap — DR-R3 permits it.</w:t>
      </w:r>
    </w:p>
    <w:p>
      <w:pPr>
        <w:spacing w:before="200" w:after="0"/>
      </w:pPr>
      <w:r>
        <w:rPr>
          <w:b/>
          <w:color w:val="1F5A5C"/>
          <w:sz w:val="16"/>
        </w:rPr>
        <w:t>TASK 8</w:t>
      </w:r>
    </w:p>
    <w:p>
      <w:pPr>
        <w:pStyle w:val="Heading2"/>
      </w:pPr>
      <w:r>
        <w:rPr>
          <w:color w:val="1F5A5C"/>
        </w:rPr>
        <w:t>Design — serving a global audience</w:t>
      </w:r>
    </w:p>
    <w:p>
      <w:pPr>
        <w:spacing w:after="120"/>
      </w:pPr>
      <w:r>
        <w:rPr>
          <w:b w:val="0"/>
          <w:i w:val="0"/>
          <w:sz w:val="21"/>
        </w:rPr>
        <w:t>This is the task the whole expansion turns on. Set out how the architecture serves the India audience: what is cached, where, for how long, and what cannot be cached. Say how the site stays discoverable by search engines, and how a visitor in Australia and a visitor in India each reach content.</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global serving and search-discoverability requirements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Content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Cached where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Policy</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Marketing pages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CDN edge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cached, medium TTL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changes rarely, read constantly, identical for every visitor</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Course catalogue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CDN edge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cached, medium TTL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primary acquisition channel and the heaviest read path</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Media (images, brochures, PDFs)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CDN edge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cached, long TTL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large, static, and the biggest share of bytes transferred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Enquiry / application form POST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not cached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pass through to origin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write; caching it would break the submission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CMS authoring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not cached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pass through to origin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authenticated and must always be live for Marketing</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Search discoverability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one canonical public domain on the CDN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 split hostnames per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regionally divergent URLs fragment search ranking for the new market</w:t>
            </w:r>
          </w:p>
        </w:tc>
      </w:tr>
    </w:tbl>
    <w:p/>
    <w:p>
      <w:pPr>
        <w:spacing w:after="40"/>
      </w:pPr>
      <w:r>
        <w:rPr>
          <w:b w:val="0"/>
          <w:i/>
          <w:color w:val="6B6660"/>
          <w:sz w:val="18"/>
        </w:rPr>
        <w:t>Evidences: [ICTCLD503 PC 1.5] · [ICTCLD503 PE 5]</w:t>
      </w:r>
    </w:p>
    <w:p>
      <w:pPr>
        <w:spacing w:after="120"/>
      </w:pPr>
      <w:r>
        <w:rPr>
          <w:b/>
          <w:color w:val="6B6660"/>
          <w:sz w:val="18"/>
        </w:rPr>
        <w:t xml:space="preserve">Satisfactory when </w:t>
      </w:r>
      <w:r>
        <w:rPr>
          <w:i/>
          <w:color w:val="6B6660"/>
          <w:sz w:val="18"/>
        </w:rPr>
        <w:t>the student distinguishes cacheable content (marketing pages, catalogue, media) from what must reach the origin (the enquiry form submission, CMS authoring), and sets a cache policy for each rather than caching everything or nothing. Naming edge locations near the India audience, and keeping one canonical domain for search, are the substance of PC 1.5 here.</w:t>
      </w:r>
    </w:p>
    <w:p>
      <w:pPr>
        <w:spacing w:before="200" w:after="0"/>
      </w:pPr>
      <w:r>
        <w:rPr>
          <w:b/>
          <w:color w:val="1F5A5C"/>
          <w:sz w:val="16"/>
        </w:rPr>
        <w:t>TASK 9</w:t>
      </w:r>
    </w:p>
    <w:p>
      <w:pPr>
        <w:pStyle w:val="Heading2"/>
      </w:pPr>
      <w:r>
        <w:rPr>
          <w:color w:val="1F5A5C"/>
        </w:rPr>
        <w:t>Design — the caching decision</w:t>
      </w:r>
    </w:p>
    <w:p>
      <w:pPr>
        <w:spacing w:after="120"/>
      </w:pPr>
      <w:r>
        <w:rPr>
          <w:b w:val="0"/>
          <w:i w:val="0"/>
          <w:sz w:val="21"/>
        </w:rPr>
        <w:t>Task 8 put content at the edge. There is a second, different caching question inside the architecture: repeated database reads. Choose between a content delivery network and an in-memory data store for this problem — or say where you use each — and explain the choice against your workload. Name the option you did not choose as well as the one you did.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you would use it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solve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Content delivery network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 front of the whole site, for anonymous read traffic and media</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does not help a dynamic page whose query still runs on every miss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In-memory data 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 front of the database, for hot catalogue queries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does nothing about the distance between India and Sydney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Your decision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both, at their own layer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edge removes the distance; the in-memory cache removes repeated query cost</w:t>
            </w:r>
          </w:p>
        </w:tc>
      </w:tr>
    </w:tbl>
    <w:p/>
    <w:p>
      <w:pPr>
        <w:spacing w:after="40"/>
      </w:pPr>
      <w:r>
        <w:rPr>
          <w:b w:val="0"/>
          <w:i/>
          <w:color w:val="6B6660"/>
          <w:sz w:val="18"/>
        </w:rPr>
        <w:t>Evidences: [ICTCLD503 KE 3] · [ICTCLD503 PE 5] · [ICTCLD503 FS Problem solving]</w:t>
      </w:r>
    </w:p>
    <w:p>
      <w:pPr>
        <w:spacing w:after="120"/>
      </w:pPr>
      <w:r>
        <w:rPr>
          <w:b/>
          <w:color w:val="6B6660"/>
          <w:sz w:val="18"/>
        </w:rPr>
        <w:t xml:space="preserve">Satisfactory when </w:t>
      </w:r>
      <w:r>
        <w:rPr>
          <w:i/>
          <w:color w:val="6B6660"/>
          <w:sz w:val="18"/>
        </w:rPr>
        <w:t>the student shows they understand these solve different problems — the CDN caches whole responses at the network edge for anonymous visitors, an in-memory store caches query results next to the application. The strongest answer uses both, in the right places. An answer that treats them as interchangeable has not met KE 3's content-delivery-network / in-memory-data-store bullet.</w:t>
      </w:r>
    </w:p>
    <w:p>
      <w:pPr>
        <w:spacing w:before="200" w:after="0"/>
      </w:pPr>
      <w:r>
        <w:rPr>
          <w:b/>
          <w:color w:val="1F5A5C"/>
          <w:sz w:val="16"/>
        </w:rPr>
        <w:t>TASK 10</w:t>
      </w:r>
    </w:p>
    <w:p>
      <w:pPr>
        <w:pStyle w:val="Heading2"/>
      </w:pPr>
      <w:r>
        <w:rPr>
          <w:color w:val="1F5A5C"/>
        </w:rPr>
        <w:t>Check the design scales as utilisation increases</w:t>
      </w:r>
    </w:p>
    <w:p>
      <w:pPr>
        <w:spacing w:after="120"/>
      </w:pPr>
      <w:r>
        <w:rPr>
          <w:b w:val="0"/>
          <w:i w:val="0"/>
          <w:sz w:val="21"/>
        </w:rPr>
        <w:t>Walk your design through a load increase. Take the Jan–Feb enrolment peak with the India cohort added, and say what each layer does as demand rises — and what would run out first. A design that only works at today's volume has not met the requirement.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Layer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happens as load rises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runs out first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Network / edge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CDN absorbs it — edge capacity is elastic</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practical at this scale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Compute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Auto Scaling group adds instances on request count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group's configured maximum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 — reads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served by the replica or the in-memory cache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replica capacity, if the catalogue cache is cold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Database — writes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enquiry submissions go to the single primary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single writer — vertical scaling only</w:t>
            </w:r>
          </w:p>
        </w:tc>
      </w:tr>
    </w:tbl>
    <w:p/>
    <w:p>
      <w:pPr>
        <w:spacing w:after="40"/>
      </w:pPr>
      <w:r>
        <w:rPr>
          <w:b w:val="0"/>
          <w:i/>
          <w:color w:val="6B6660"/>
          <w:sz w:val="18"/>
        </w:rPr>
        <w:t>Evidences: [ICTCLD503 PC 1.4] · [ICTCLD503 FS Problem solving]</w:t>
      </w:r>
    </w:p>
    <w:p>
      <w:pPr>
        <w:spacing w:after="120"/>
      </w:pPr>
      <w:r>
        <w:rPr>
          <w:b/>
          <w:color w:val="6B6660"/>
          <w:sz w:val="18"/>
        </w:rPr>
        <w:t xml:space="preserve">Satisfactory when </w:t>
      </w:r>
      <w:r>
        <w:rPr>
          <w:i/>
          <w:color w:val="6B6660"/>
          <w:sz w:val="18"/>
        </w:rPr>
        <w:t>each of network, compute and storage is addressed, and the student identifies at least one genuine limit — the Auto Scaling maximum, the database's single writer, or the read replica's capacity. Naming the constraint is the evidence; the item asks the student to CHECK the design scales, which means finding where it stops.</w:t>
      </w:r>
    </w:p>
    <w:p>
      <w:pPr>
        <w:spacing w:before="200" w:after="0"/>
      </w:pPr>
      <w:r>
        <w:rPr>
          <w:b/>
          <w:color w:val="1F5A5C"/>
          <w:sz w:val="16"/>
        </w:rPr>
        <w:t>TASK 11</w:t>
      </w:r>
    </w:p>
    <w:p>
      <w:pPr>
        <w:pStyle w:val="Heading2"/>
      </w:pPr>
      <w:r>
        <w:rPr>
          <w:color w:val="1F5A5C"/>
        </w:rPr>
        <w:t>Check availability and security are maintained</w:t>
      </w:r>
    </w:p>
    <w:p>
      <w:pPr>
        <w:spacing w:after="120"/>
      </w:pPr>
      <w:r>
        <w:rPr>
          <w:b w:val="0"/>
          <w:i w:val="0"/>
          <w:sz w:val="21"/>
        </w:rPr>
        <w:t>Your changes must not cost the website the availability it already has, and they must not open it up. Go through what you have added and say, for each, what it does to availability and what it does to the attack surface.</w:t>
      </w:r>
    </w:p>
    <w:p>
      <w:pPr>
        <w:spacing w:after="60"/>
      </w:pPr>
      <w:r>
        <w:rPr>
          <w:b/>
          <w:i w:val="0"/>
          <w:sz w:val="19"/>
        </w:rPr>
        <w:t>Related resources</w:t>
      </w:r>
    </w:p>
    <w:p>
      <w:pPr>
        <w:spacing w:after="60"/>
        <w:ind w:left="340"/>
      </w:pPr>
      <w:r>
        <w:rPr>
          <w:sz w:val="19"/>
        </w:rPr>
        <w:t xml:space="preserve">•  </w:t>
      </w:r>
      <w:hyperlink r:id="rId24">
        <w:r>
          <w:rPr>
            <w:sz w:val="19"/>
            <w:color w:val="0563C1"/>
            <w:u w:val="single"/>
          </w:rPr>
          <w:t>Privacy / Data Handling Policy — YAT's obligations for the personal information the enquiry form collects</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added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Effect on availability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Effect on security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CDN distribution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improves it — the edge serves cached content even under origin stress; but it is now in the request path</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improves it — the origin is no longer directly addressable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Web application firewall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negligible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main gain — filters exploits, bots and form abuse at the edge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Origin access restriction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change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closes the bypass that would defeat the firewall</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Read replica / cache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improves read availability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one more component holding website data — same encryption and access rules apply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Audit-log microservice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none — decoupled from the website by design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holds India-cohort access records; scoped write permissions only</w:t>
            </w:r>
          </w:p>
        </w:tc>
      </w:tr>
    </w:tbl>
    <w:p/>
    <w:p>
      <w:pPr>
        <w:spacing w:after="40"/>
      </w:pPr>
      <w:r>
        <w:rPr>
          <w:b w:val="0"/>
          <w:i/>
          <w:color w:val="6B6660"/>
          <w:sz w:val="18"/>
        </w:rPr>
        <w:t>Evidences: [ICTCLD503 PC 1.6]</w:t>
      </w:r>
    </w:p>
    <w:p>
      <w:pPr>
        <w:spacing w:after="120"/>
      </w:pPr>
      <w:r>
        <w:rPr>
          <w:b/>
          <w:color w:val="6B6660"/>
          <w:sz w:val="18"/>
        </w:rPr>
        <w:t xml:space="preserve">Satisfactory when </w:t>
      </w:r>
      <w:r>
        <w:rPr>
          <w:i/>
          <w:color w:val="6B6660"/>
          <w:sz w:val="18"/>
        </w:rPr>
        <w:t>the student recognises that adding an edge layer creates a new dependency in front of a previously self-contained system, and addresses the public attack surface explicitly (a web application firewall, TLS to the origin, and origin access restriction are the expected answers). Asserting that availability is 'maintained because it is Multi-AZ' without examining the new components has not met the item.</w:t>
      </w:r>
    </w:p>
    <w:p>
      <w:pPr>
        <w:spacing w:before="200" w:after="0"/>
      </w:pPr>
      <w:r>
        <w:rPr>
          <w:b/>
          <w:color w:val="1F5A5C"/>
          <w:sz w:val="16"/>
        </w:rPr>
        <w:t>TASK 12</w:t>
      </w:r>
    </w:p>
    <w:p>
      <w:pPr>
        <w:pStyle w:val="Heading2"/>
      </w:pPr>
      <w:r>
        <w:rPr>
          <w:color w:val="1F5A5C"/>
        </w:rPr>
        <w:t>Review your design and revise it</w:t>
      </w:r>
    </w:p>
    <w:p>
      <w:pPr>
        <w:spacing w:after="120"/>
      </w:pPr>
      <w:r>
        <w:rPr>
          <w:b w:val="0"/>
          <w:i w:val="0"/>
          <w:sz w:val="21"/>
        </w:rPr>
        <w:t>Go back over tasks 5 to 11 as a whole. Does the design meet every need you recorded in task 1? Where it does not, or where two decisions you made pull against each other, say what you would change. If you change nothing, say what you checked and why you are satisfied — 'no changes' is an acceptable answer only if it is an argued one.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Need from task 1</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 you would make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Global audience served with acceptable latency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none — the edge layer answers it directly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Scale up and down with demand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none, provided the Auto Scaling maximum is raised as designed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Availability not degraded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none, but the CDN is a new dependency and belongs in Part B's recovery plan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Remain discoverable by search engines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Partly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cache TTLs need to be short enough that catalogue updates publish within the intake cycle Marketing works to</w:t>
            </w:r>
          </w:p>
        </w:tc>
      </w:tr>
    </w:tbl>
    <w:p/>
    <w:p>
      <w:pPr>
        <w:spacing w:after="40"/>
      </w:pPr>
      <w:r>
        <w:rPr>
          <w:b w:val="0"/>
          <w:i/>
          <w:color w:val="6B6660"/>
          <w:sz w:val="18"/>
        </w:rPr>
        <w:t>Evidences: [ICTCLD503 PC 1.6] · [ICTCLD503 FS Self-management]</w:t>
      </w:r>
    </w:p>
    <w:p>
      <w:pPr>
        <w:spacing w:after="120"/>
      </w:pPr>
      <w:r>
        <w:rPr>
          <w:b/>
          <w:color w:val="6B6660"/>
          <w:sz w:val="18"/>
        </w:rPr>
        <w:t xml:space="preserve">Satisfactory when </w:t>
      </w:r>
      <w:r>
        <w:rPr>
          <w:i/>
          <w:color w:val="6B6660"/>
          <w:sz w:val="18"/>
        </w:rPr>
        <w:t>the student revisits their own design against task 1 rather than describing it again, and the review is specific. PC 1.6's 'review design as required' is met by a genuine second pass — a candidate who identifies a tension (cache TTL against content freshness for Marketing, or cost against replica capacity) and resolves it has met the item well.</w:t>
      </w:r>
    </w:p>
    <w:p>
      <w:pPr>
        <w:spacing w:before="200" w:after="0"/>
      </w:pPr>
      <w:r>
        <w:rPr>
          <w:b/>
          <w:color w:val="1F5A5C"/>
          <w:sz w:val="16"/>
        </w:rPr>
        <w:t>TASK 13</w:t>
      </w:r>
    </w:p>
    <w:p>
      <w:pPr>
        <w:pStyle w:val="Heading2"/>
      </w:pPr>
      <w:r>
        <w:rPr>
          <w:color w:val="1F5A5C"/>
        </w:rPr>
        <w:t>Draw the web-scale architecture</w:t>
      </w:r>
    </w:p>
    <w:p>
      <w:pPr>
        <w:spacing w:after="120"/>
      </w:pPr>
      <w:r>
        <w:rPr>
          <w:b w:val="0"/>
          <w:i w:val="0"/>
          <w:sz w:val="21"/>
        </w:rPr>
        <w:t>Draw the extended architecture as a diagram: the path a visitor's request takes from India and from Australia, everything you added, and everything you kept. Label the regions. A reader who has not seen your tables should be able to follow how the website now serves a global audience.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DIAGRAM — the extended website architecture — edge, region, tiers, and the request path from both audiences</w:t>
            </w:r>
          </w:p>
        </w:tc>
      </w:tr>
    </w:tbl>
    <w:p/>
    <w:p>
      <w:pPr>
        <w:spacing w:after="40"/>
      </w:pPr>
      <w:r>
        <w:rPr>
          <w:b w:val="0"/>
          <w:i/>
          <w:color w:val="6B6660"/>
          <w:sz w:val="18"/>
        </w:rPr>
        <w:t>Evidences: [ICTCLD503 PE 1]</w:t>
      </w:r>
    </w:p>
    <w:p>
      <w:pPr>
        <w:spacing w:after="120"/>
      </w:pPr>
      <w:r>
        <w:rPr>
          <w:b/>
          <w:color w:val="6B6660"/>
          <w:sz w:val="18"/>
        </w:rPr>
        <w:t xml:space="preserve">Satisfactory when </w:t>
      </w:r>
      <w:r>
        <w:rPr>
          <w:i/>
          <w:color w:val="6B6660"/>
          <w:sz w:val="18"/>
        </w:rPr>
        <w:t>the diagram shows a multi-tier web application whose networking, compute and storage all scale — the edge layer, the load balancer, the auto-scaling tier, and the database with its read path — and it is consistent with the tables in tasks 5 to 8. This is where PE 1 is demonstrated: the tables carry the reasoning, the diagram is the architecture.</w:t>
      </w:r>
    </w:p>
    <w:p>
      <w:pPr>
        <w:spacing w:before="200" w:after="0"/>
      </w:pPr>
      <w:r>
        <w:rPr>
          <w:b/>
          <w:color w:val="1F5A5C"/>
          <w:sz w:val="16"/>
        </w:rPr>
        <w:t>TASK 14</w:t>
      </w:r>
    </w:p>
    <w:p>
      <w:pPr>
        <w:pStyle w:val="Heading2"/>
      </w:pPr>
      <w:r>
        <w:rPr>
          <w:color w:val="1F5A5C"/>
        </w:rPr>
        <w:t>Justify the web-scale design</w:t>
      </w:r>
    </w:p>
    <w:p>
      <w:pPr>
        <w:spacing w:after="120"/>
      </w:pPr>
      <w:r>
        <w:rPr>
          <w:b w:val="0"/>
          <w:i w:val="0"/>
          <w:sz w:val="21"/>
        </w:rPr>
        <w:t>Justify the architecture you have documented in tasks 5 to 13. For each significant choice, say which of the scaling needs from task 1 it answers, and why you chose it over the alternative you considered. This is a written answer, not a table — and it is where your design reasoning is assessed, not your design.</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edge layer is justified by the latency need, not by convention — India traffic is the reason it exists</w:t>
            </w:r>
          </w:p>
          <w:p>
            <w:pPr>
              <w:jc w:val="left"/>
            </w:pPr>
            <w:r>
              <w:rPr>
                <w:b w:val="0"/>
                <w:i w:val="0"/>
                <w:color w:val="1F5A5C"/>
                <w:sz w:val="19"/>
              </w:rPr>
              <w:t>•  keeping the existing VPC, load balancer and Multi-AZ database is itself a justified choice: the requirements say build on the HA platform, not replace it</w:t>
            </w:r>
          </w:p>
          <w:p>
            <w:pPr>
              <w:jc w:val="left"/>
            </w:pPr>
            <w:r>
              <w:rPr>
                <w:b w:val="0"/>
                <w:i w:val="0"/>
                <w:color w:val="1F5A5C"/>
                <w:sz w:val="19"/>
              </w:rPr>
              <w:t>•  the read-scaling choice is argued against the read-heavy profile from task 1</w:t>
            </w:r>
          </w:p>
          <w:p>
            <w:pPr>
              <w:jc w:val="left"/>
            </w:pPr>
            <w:r>
              <w:rPr>
                <w:b w:val="0"/>
                <w:i w:val="0"/>
                <w:color w:val="1F5A5C"/>
                <w:sz w:val="19"/>
              </w:rPr>
              <w:t>•  cache policy is justified per content type, including what is deliberately not cached</w:t>
            </w:r>
          </w:p>
          <w:p>
            <w:pPr>
              <w:jc w:val="left"/>
            </w:pPr>
            <w:r>
              <w:rPr>
                <w:b w:val="0"/>
                <w:i w:val="0"/>
                <w:color w:val="1F5A5C"/>
                <w:sz w:val="19"/>
              </w:rPr>
              <w:t>•  at least one rejected alternative appears with the reason it was rejected — a second full region, full localisation in India, or caching everything at one TTL</w:t>
            </w:r>
          </w:p>
          <w:p>
            <w:pPr>
              <w:jc w:val="left"/>
            </w:pPr>
            <w:r>
              <w:rPr>
                <w:b w:val="0"/>
                <w:i w:val="0"/>
                <w:color w:val="1F5A5C"/>
                <w:sz w:val="19"/>
              </w:rPr>
              <w:t>•  cost-effectiveness is addressed: the requirements ask for the simplest arrangement that meets them</w:t>
            </w:r>
          </w:p>
        </w:tc>
      </w:tr>
    </w:tbl>
    <w:p/>
    <w:p>
      <w:pPr>
        <w:spacing w:after="40"/>
      </w:pPr>
      <w:r>
        <w:rPr>
          <w:b w:val="0"/>
          <w:i/>
          <w:color w:val="6B6660"/>
          <w:sz w:val="18"/>
        </w:rPr>
        <w:t>Evidences: [ICTCLD503 PC 1.7] · [ICTCLD503 FS Writing]</w:t>
      </w:r>
    </w:p>
    <w:p>
      <w:pPr>
        <w:spacing w:after="120"/>
      </w:pPr>
      <w:r>
        <w:rPr>
          <w:b/>
          <w:color w:val="6B6660"/>
          <w:sz w:val="18"/>
        </w:rPr>
        <w:t xml:space="preserve">Satisfactory when </w:t>
      </w:r>
      <w:r>
        <w:rPr>
          <w:i/>
          <w:color w:val="6B6660"/>
          <w:sz w:val="18"/>
        </w:rPr>
        <w:t>the justification ties specific design choices to specific needs recorded in task 1, and names alternatives that were considered and rejected. A restatement of the design, or generic praise for the services chosen ('CloudFront is fast and scalable'), has not met PC 1.7 — the item asks the student to JUSTIFY, which means giving reasons an assessor could disagree with.</w:t>
      </w:r>
    </w:p>
    <w:p>
      <w:pPr>
        <w:spacing w:before="200" w:after="0"/>
      </w:pPr>
      <w:r>
        <w:rPr>
          <w:b/>
          <w:color w:val="1F5A5C"/>
          <w:sz w:val="16"/>
        </w:rPr>
        <w:t>TASK 15</w:t>
      </w:r>
    </w:p>
    <w:p>
      <w:pPr>
        <w:pStyle w:val="Heading2"/>
      </w:pPr>
      <w:r>
        <w:rPr>
          <w:color w:val="1F5A5C"/>
        </w:rPr>
        <w:t>The microservice and the data it handles</w:t>
      </w:r>
    </w:p>
    <w:p>
      <w:pPr>
        <w:spacing w:after="120"/>
      </w:pPr>
      <w:r>
        <w:rPr>
          <w:b w:val="0"/>
          <w:i w:val="0"/>
          <w:sz w:val="21"/>
        </w:rPr>
        <w:t>The residency obligation you recorded in task 3 is met by a dedicated service, not by changing the website. Identify what that service does: the events it receives, the data each event carries, and where the data comes to rest. One row per data transaction.</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audit / access log requirement and why it is a separate service</w:t>
        </w:r>
      </w:hyperlink>
    </w:p>
    <w:p>
      <w:pPr>
        <w:spacing w:after="60"/>
        <w:ind w:left="340"/>
      </w:pPr>
      <w:r>
        <w:rPr>
          <w:sz w:val="19"/>
        </w:rPr>
        <w:t xml:space="preserve">•  </w:t>
      </w:r>
      <w:hyperlink r:id="rId18">
        <w:r>
          <w:rPr>
            <w:sz w:val="19"/>
            <w:color w:val="0563C1"/>
            <w:u w:val="single"/>
          </w:rPr>
          <w:t>Data Residency &amp; Sovereignty Requirements — what has to be captured and held in India</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Transaction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carries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comes to rest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Access / activity event from the website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event identifier, timestamp, an opaque user reference, the cohort, the event type, and the source address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India-region log store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Enquiry / application submission event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same access-event shape — that a submission occurred, not its contents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India-region log store; the submission itself stays in Sydney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Retrieval for incident reporting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query over the retained records for a time window</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read from the India-region store, within the 6-hour obligation</w:t>
            </w:r>
          </w:p>
        </w:tc>
      </w:tr>
    </w:tbl>
    <w:p/>
    <w:p>
      <w:pPr>
        <w:spacing w:after="40"/>
      </w:pPr>
      <w:r>
        <w:rPr>
          <w:b w:val="0"/>
          <w:i/>
          <w:color w:val="6B6660"/>
          <w:sz w:val="18"/>
        </w:rPr>
        <w:t>Evidences: [ICTCLD503 PC 2.1]</w:t>
      </w:r>
    </w:p>
    <w:p>
      <w:pPr>
        <w:spacing w:after="120"/>
      </w:pPr>
      <w:r>
        <w:rPr>
          <w:b/>
          <w:color w:val="6B6660"/>
          <w:sz w:val="18"/>
        </w:rPr>
        <w:t xml:space="preserve">Satisfactory when </w:t>
      </w:r>
      <w:r>
        <w:rPr>
          <w:i/>
          <w:color w:val="6B6660"/>
          <w:sz w:val="18"/>
        </w:rPr>
        <w:t>the student identifies the access/activity event as the transaction, names the fields an access log needs to be useful to CERT-In (who, what, when, from where), and places the store in an Indian region. A design that logs into the existing MySQL database in Sydney has not met the requirement it exists to satisfy.</w:t>
      </w:r>
    </w:p>
    <w:p>
      <w:pPr>
        <w:spacing w:before="200" w:after="0"/>
      </w:pPr>
      <w:r>
        <w:rPr>
          <w:b/>
          <w:color w:val="1F5A5C"/>
          <w:sz w:val="16"/>
        </w:rPr>
        <w:t>TASK 16</w:t>
      </w:r>
    </w:p>
    <w:p>
      <w:pPr>
        <w:pStyle w:val="Heading2"/>
      </w:pPr>
      <w:r>
        <w:rPr>
          <w:color w:val="1F5A5C"/>
        </w:rPr>
        <w:t>The cloud services that support it</w:t>
      </w:r>
    </w:p>
    <w:p>
      <w:pPr>
        <w:spacing w:after="120"/>
      </w:pPr>
      <w:r>
        <w:rPr>
          <w:b w:val="0"/>
          <w:i w:val="0"/>
          <w:sz w:val="21"/>
        </w:rPr>
        <w:t>Name the services your microservice is built from, and say what each contributes. The service has to receive events from the website, hold them safely if it is busy or briefly unavailable, process them, and store them — say which service does each of those, and why that kind of service suits the job.</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Role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Service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kind of service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Receive events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API endpoint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single, simple integration point the website can call</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Decouple and buffer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Queue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website hands the event over and moves on; if the writer is slow or down, events wait in the queue instead of being lost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Process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Serverless function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runs only when there are events, which suits bursty, low-volume traffic and costs nothing at idle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Store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Managed NoSQL table in an Indian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append-only records with a simple key, retained 180 days, in-region by construction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Provision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Infrastructure as code, parameterised by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keeps DR-R4 open — another region is a parameter, not a rebuild</w:t>
            </w:r>
          </w:p>
        </w:tc>
      </w:tr>
    </w:tbl>
    <w:p/>
    <w:p>
      <w:pPr>
        <w:spacing w:after="40"/>
      </w:pPr>
      <w:r>
        <w:rPr>
          <w:b w:val="0"/>
          <w:i/>
          <w:color w:val="6B6660"/>
          <w:sz w:val="18"/>
        </w:rPr>
        <w:t>Evidences: [ICTCLD503 PC 2.2] · [ICTCLD503 KE 4]</w:t>
      </w:r>
    </w:p>
    <w:p>
      <w:pPr>
        <w:spacing w:after="120"/>
      </w:pPr>
      <w:r>
        <w:rPr>
          <w:b/>
          <w:color w:val="6B6660"/>
          <w:sz w:val="18"/>
        </w:rPr>
        <w:t xml:space="preserve">Satisfactory when </w:t>
      </w:r>
      <w:r>
        <w:rPr>
          <w:i/>
          <w:color w:val="6B6660"/>
          <w:sz w:val="18"/>
        </w:rPr>
        <w:t>the student names an API or endpoint to receive events, a queue or messaging service to decouple, a compute element to process, and a persistent store — and explains the queue's purpose specifically. KE 4's 'API, messaging and queuing services' and 'database and storage services for persistent data storage' are both evidenced here; a design with no queue has not evidenced the messaging bullet and has also lost the decoupling the requirement asks for.</w:t>
      </w:r>
    </w:p>
    <w:p>
      <w:pPr>
        <w:spacing w:before="200" w:after="0"/>
      </w:pPr>
      <w:r>
        <w:rPr>
          <w:b/>
          <w:color w:val="1F5A5C"/>
          <w:sz w:val="16"/>
        </w:rPr>
        <w:t>TASK 17</w:t>
      </w:r>
    </w:p>
    <w:p>
      <w:pPr>
        <w:pStyle w:val="Heading2"/>
      </w:pPr>
      <w:r>
        <w:rPr>
          <w:color w:val="1F5A5C"/>
        </w:rPr>
        <w:t>Draw the microservice architecture</w:t>
      </w:r>
    </w:p>
    <w:p>
      <w:pPr>
        <w:spacing w:after="120"/>
      </w:pPr>
      <w:r>
        <w:rPr>
          <w:b w:val="0"/>
          <w:i w:val="0"/>
          <w:sz w:val="21"/>
        </w:rPr>
        <w:t>Draw the microservice: the website as the event producer, each component of your service, the direction events travel, and the region boundary between Australia and India. Show where the website's responsibility ends and the service's begins.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val="0"/>
                <w:i/>
                <w:color w:val="C5613B"/>
                <w:sz w:val="19"/>
              </w:rPr>
              <w:t>DIAGRAM — the audit-log microservice — producer, endpoint, queue, processor, store, and the Australia / India region boundary</w:t>
            </w:r>
          </w:p>
        </w:tc>
      </w:tr>
    </w:tbl>
    <w:p/>
    <w:p>
      <w:pPr>
        <w:spacing w:after="40"/>
      </w:pPr>
      <w:r>
        <w:rPr>
          <w:b w:val="0"/>
          <w:i/>
          <w:color w:val="6B6660"/>
          <w:sz w:val="18"/>
        </w:rPr>
        <w:t>Evidences: [ICTCLD503 PC 2.3] · [ICTCLD503 PE 2]</w:t>
      </w:r>
    </w:p>
    <w:p>
      <w:pPr>
        <w:spacing w:after="120"/>
      </w:pPr>
      <w:r>
        <w:rPr>
          <w:b/>
          <w:color w:val="6B6660"/>
          <w:sz w:val="18"/>
        </w:rPr>
        <w:t xml:space="preserve">Satisfactory when </w:t>
      </w:r>
      <w:r>
        <w:rPr>
          <w:i/>
          <w:color w:val="6B6660"/>
          <w:sz w:val="18"/>
        </w:rPr>
        <w:t>the diagram shows a decoupled flow — producer, endpoint, queue, processor, store — with the region boundary marked, and it agrees with task 16. PE 2 is demonstrated here: a microservice architecture for a simple web application. A diagram showing the website writing directly to the store has designed the coupling out of existence and has not met the item.</w:t>
      </w:r>
    </w:p>
    <w:p>
      <w:pPr>
        <w:spacing w:before="200" w:after="0"/>
      </w:pPr>
      <w:r>
        <w:rPr>
          <w:b/>
          <w:color w:val="1F5A5C"/>
          <w:sz w:val="16"/>
        </w:rPr>
        <w:t>TASK 18</w:t>
      </w:r>
    </w:p>
    <w:p>
      <w:pPr>
        <w:pStyle w:val="Heading2"/>
      </w:pPr>
      <w:r>
        <w:rPr>
          <w:color w:val="1F5A5C"/>
        </w:rPr>
        <w:t>The interface contract</w:t>
      </w:r>
    </w:p>
    <w:p>
      <w:pPr>
        <w:spacing w:after="120"/>
      </w:pPr>
      <w:r>
        <w:rPr>
          <w:b w:val="0"/>
          <w:i w:val="0"/>
          <w:sz w:val="21"/>
        </w:rPr>
        <w:t>Define the contract between the website and your service — the one place they touch. Say what the website sends, what it gets back, and what happens if the same event arrives twice. Someone building either side from your contract alone should not have to ask you a question.</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Element of the contract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definition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Direction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website → service, one way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website does not read its own audit log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Call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HTTP POST to a single endpoint, JSON body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simplest integration a CMS can make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Payload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event id, timestamp, opaque user reference, cohort, event type, source address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enough for CERT-In retrieval without carrying personal content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Success response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accepted, queued for writing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website is told it was received, not that it was stored — that is the decoupling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Failure response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malformed request rejected with a clear error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producer can log and move 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Duplicates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event id is the idempotency key; a repeat is ignored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re-delivered message must not create a second audit record</w:t>
            </w:r>
          </w:p>
        </w:tc>
      </w:tr>
    </w:tbl>
    <w:p/>
    <w:p>
      <w:pPr>
        <w:spacing w:after="40"/>
      </w:pPr>
      <w:r>
        <w:rPr>
          <w:b w:val="0"/>
          <w:i/>
          <w:color w:val="6B6660"/>
          <w:sz w:val="18"/>
        </w:rPr>
        <w:t>Evidences: [ICTCLD503 PC 2.3] · [ICTCLD503 KE 4]</w:t>
      </w:r>
    </w:p>
    <w:p>
      <w:pPr>
        <w:spacing w:after="120"/>
      </w:pPr>
      <w:r>
        <w:rPr>
          <w:b/>
          <w:color w:val="6B6660"/>
          <w:sz w:val="18"/>
        </w:rPr>
        <w:t xml:space="preserve">Satisfactory when </w:t>
      </w:r>
      <w:r>
        <w:rPr>
          <w:i/>
          <w:color w:val="6B6660"/>
          <w:sz w:val="18"/>
        </w:rPr>
        <w:t>the contract specifies the request (method, payload fields, types), the responses including a failure response, and how duplicates are handled. Cohesion and loose coupling — KE 4's first bullet — are evidenced by the contract being the ONLY coupling: the website knows the endpoint and nothing about the queue, the function or the store.</w:t>
      </w:r>
    </w:p>
    <w:p>
      <w:pPr>
        <w:spacing w:before="200" w:after="0"/>
      </w:pPr>
      <w:r>
        <w:rPr>
          <w:b/>
          <w:color w:val="1F5A5C"/>
          <w:sz w:val="16"/>
        </w:rPr>
        <w:t>TASK 19</w:t>
      </w:r>
    </w:p>
    <w:p>
      <w:pPr>
        <w:pStyle w:val="Heading2"/>
      </w:pPr>
      <w:r>
        <w:rPr>
          <w:color w:val="1F5A5C"/>
        </w:rPr>
        <w:t>Justify the microservice design</w:t>
      </w:r>
    </w:p>
    <w:p>
      <w:pPr>
        <w:spacing w:after="120"/>
      </w:pPr>
      <w:r>
        <w:rPr>
          <w:b w:val="0"/>
          <w:i w:val="0"/>
          <w:sz w:val="21"/>
        </w:rPr>
        <w:t>Justify the microservice you have documented in tasks 15 to 18. Say why a separate service rather than a change to the website, why each component is there, and what your design would cost you if the service were unavailable for an hour. As with task 14, this is a written answer and it is where your reasoning is assessed.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separation is justified by the requirement that the log service not affect website availability — not by a general preference for microservices</w:t>
            </w:r>
          </w:p>
          <w:p>
            <w:pPr>
              <w:jc w:val="left"/>
            </w:pPr>
            <w:r>
              <w:rPr>
                <w:b w:val="0"/>
                <w:i w:val="0"/>
                <w:color w:val="1F5A5C"/>
                <w:sz w:val="19"/>
              </w:rPr>
              <w:t>•  the India region is justified by DR-R1, and the choice NOT to move the rest is justified by DR-R3</w:t>
            </w:r>
          </w:p>
          <w:p>
            <w:pPr>
              <w:jc w:val="left"/>
            </w:pPr>
            <w:r>
              <w:rPr>
                <w:b w:val="0"/>
                <w:i w:val="0"/>
                <w:color w:val="1F5A5C"/>
                <w:sz w:val="19"/>
              </w:rPr>
              <w:t>•  the queue is justified by what it protects against: a slow or failed writer losing events the obligation requires be retained</w:t>
            </w:r>
          </w:p>
          <w:p>
            <w:pPr>
              <w:jc w:val="left"/>
            </w:pPr>
            <w:r>
              <w:rPr>
                <w:b w:val="0"/>
                <w:i w:val="0"/>
                <w:color w:val="1F5A5C"/>
                <w:sz w:val="19"/>
              </w:rPr>
              <w:t>•  the store choice is argued for an append-only, key-accessed, high-write-rate record set — which is what KE 3's SQL-versus-NoSQL bullet is really asking</w:t>
            </w:r>
          </w:p>
          <w:p>
            <w:pPr>
              <w:jc w:val="left"/>
            </w:pPr>
            <w:r>
              <w:rPr>
                <w:b w:val="0"/>
                <w:i w:val="0"/>
                <w:color w:val="1F5A5C"/>
                <w:sz w:val="19"/>
              </w:rPr>
              <w:t>•  an honest answer to the outage question: events queue and are written when the service recovers; events lost entirely only if the queue's retention is exceeded</w:t>
            </w:r>
          </w:p>
          <w:p>
            <w:pPr>
              <w:jc w:val="left"/>
            </w:pPr>
            <w:r>
              <w:rPr>
                <w:b w:val="0"/>
                <w:i w:val="0"/>
                <w:color w:val="1F5A5C"/>
                <w:sz w:val="19"/>
              </w:rPr>
              <w:t>•  parameterising by region is justified by DR-R4, not by tidiness</w:t>
            </w:r>
          </w:p>
        </w:tc>
      </w:tr>
    </w:tbl>
    <w:p/>
    <w:p>
      <w:pPr>
        <w:spacing w:after="40"/>
      </w:pPr>
      <w:r>
        <w:rPr>
          <w:b w:val="0"/>
          <w:i/>
          <w:color w:val="6B6660"/>
          <w:sz w:val="18"/>
        </w:rPr>
        <w:t>Evidences: [ICTCLD503 PC 2.4] · [ICTCLD503 FS Writing]</w:t>
      </w:r>
    </w:p>
    <w:p>
      <w:pPr>
        <w:spacing w:after="120"/>
      </w:pPr>
      <w:r>
        <w:rPr>
          <w:b/>
          <w:color w:val="6B6660"/>
          <w:sz w:val="18"/>
        </w:rPr>
        <w:t xml:space="preserve">Satisfactory when </w:t>
      </w:r>
      <w:r>
        <w:rPr>
          <w:i/>
          <w:color w:val="6B6660"/>
          <w:sz w:val="18"/>
        </w:rPr>
        <w:t>the justification argues the separation (availability of the website must not depend on the logger — the requirement says so explicitly), argues the queue specifically, and answers the unavailability question honestly. A student who says the service is 'best practice' or 'more scalable' without tying it to the requirement or to the residency obligation has not met PC 2.4.</w:t>
      </w:r>
    </w:p>
    <w:p>
      <w:pPr>
        <w:pStyle w:val="Heading1"/>
      </w:pPr>
      <w:r>
        <w:t>Knowledge questions</w:t>
      </w:r>
    </w:p>
    <w:p>
      <w:pPr>
        <w:spacing w:after="200"/>
      </w:pPr>
      <w:r>
        <w:rPr>
          <w:b w:val="0"/>
          <w:i/>
          <w:color w:val="6B6660"/>
          <w:sz w:val="19"/>
        </w:rPr>
        <w:t>Answer these about your own design. Generic answers about cloud architecture will not pass.</w:t>
      </w:r>
    </w:p>
    <w:p>
      <w:pPr>
        <w:spacing w:before="200" w:after="0"/>
      </w:pPr>
      <w:r>
        <w:rPr>
          <w:b/>
          <w:color w:val="1F5A5C"/>
          <w:sz w:val="16"/>
        </w:rPr>
        <w:t>QUESTION 1</w:t>
      </w:r>
    </w:p>
    <w:p>
      <w:pPr>
        <w:pStyle w:val="Heading2"/>
      </w:pPr>
      <w:r>
        <w:rPr>
          <w:color w:val="1F5A5C"/>
        </w:rPr>
        <w:t>Your design makes four component choices. Explain each one.</w:t>
      </w:r>
    </w:p>
    <w:p>
      <w:pPr>
        <w:spacing w:after="120"/>
      </w:pPr>
      <w:r>
        <w:rPr>
          <w:b w:val="0"/>
          <w:i w:val="0"/>
          <w:sz w:val="21"/>
        </w:rPr>
        <w:t>For each pair below, say which you used in your design, where, and why it suited that job better than the alternative. Answer about YOUR design — a general comparison of the two technologies will not pass.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SQL vs NoSQL — relational CMS content stays on MySQL; the audit log is key-accessed, append-only and high-write, which suits NoSQL</w:t>
            </w:r>
          </w:p>
          <w:p>
            <w:pPr>
              <w:jc w:val="left"/>
            </w:pPr>
            <w:r>
              <w:rPr>
                <w:b w:val="0"/>
                <w:i w:val="0"/>
                <w:color w:val="1F5A5C"/>
                <w:sz w:val="19"/>
              </w:rPr>
              <w:t>•  monolithic vs microservice — the CMS stays monolithic because the engagement forbids changing it; the new capability is a microservice because it must not affect website availability</w:t>
            </w:r>
          </w:p>
          <w:p>
            <w:pPr>
              <w:jc w:val="left"/>
            </w:pPr>
            <w:r>
              <w:rPr>
                <w:b w:val="0"/>
                <w:i w:val="0"/>
                <w:color w:val="1F5A5C"/>
                <w:sz w:val="19"/>
              </w:rPr>
              <w:t>•  virtual, container and serverless compute — instances run the LAMP stack; the logger is serverless because it is event-driven and idle most of the time</w:t>
            </w:r>
          </w:p>
          <w:p>
            <w:pPr>
              <w:jc w:val="left"/>
            </w:pPr>
            <w:r>
              <w:rPr>
                <w:b w:val="0"/>
                <w:i w:val="0"/>
                <w:color w:val="1F5A5C"/>
                <w:sz w:val="19"/>
              </w:rPr>
              <w:t>•  CDN vs in-memory data store — the edge removes distance, the in-memory cache removes repeated query cost; they solve different problems</w:t>
            </w:r>
          </w:p>
        </w:tc>
      </w:tr>
    </w:tbl>
    <w:p/>
    <w:p>
      <w:pPr>
        <w:spacing w:after="40"/>
      </w:pPr>
      <w:r>
        <w:rPr>
          <w:b w:val="0"/>
          <w:i/>
          <w:color w:val="6B6660"/>
          <w:sz w:val="18"/>
        </w:rPr>
        <w:t>Evidences: [ICTCLD503 KE 3]</w:t>
      </w:r>
    </w:p>
    <w:p>
      <w:pPr>
        <w:spacing w:after="120"/>
      </w:pPr>
      <w:r>
        <w:rPr>
          <w:b/>
          <w:color w:val="6B6660"/>
          <w:sz w:val="18"/>
        </w:rPr>
        <w:t xml:space="preserve">Satisfactory when </w:t>
      </w:r>
      <w:r>
        <w:rPr>
          <w:i/>
          <w:color w:val="6B6660"/>
          <w:sz w:val="18"/>
        </w:rPr>
        <w:t>all four pairs are addressed against the student's own design: SQL for the website's relational content and NoSQL for the append-only log store; the monolithic CMS retained while the new function is a microservice; the compute models (instances for the CMS, serverless for the logger); and the two caching technologies from task 9. This question is the whole of KE 3 and each bullet must be evidenced.</w:t>
      </w:r>
    </w:p>
    <w:p>
      <w:pPr>
        <w:spacing w:before="200" w:after="0"/>
      </w:pPr>
      <w:r>
        <w:rPr>
          <w:b/>
          <w:color w:val="1F5A5C"/>
          <w:sz w:val="16"/>
        </w:rPr>
        <w:t>QUESTION 2</w:t>
      </w:r>
    </w:p>
    <w:p>
      <w:pPr>
        <w:pStyle w:val="Heading2"/>
      </w:pPr>
      <w:r>
        <w:rPr>
          <w:color w:val="1F5A5C"/>
        </w:rPr>
        <w:t>What makes your microservice highly cohesive and loosely coupled?</w:t>
      </w:r>
    </w:p>
    <w:p>
      <w:pPr>
        <w:spacing w:after="120"/>
      </w:pPr>
      <w:r>
        <w:rPr>
          <w:b w:val="0"/>
          <w:i w:val="0"/>
          <w:sz w:val="21"/>
        </w:rPr>
        <w:t>Point at the specific parts of your own design that make it so, and say what would have to change for that to stop being true.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cohesion: the service records access events and does nothing else</w:t>
            </w:r>
          </w:p>
          <w:p>
            <w:pPr>
              <w:jc w:val="left"/>
            </w:pPr>
            <w:r>
              <w:rPr>
                <w:b w:val="0"/>
                <w:i w:val="0"/>
                <w:color w:val="1F5A5C"/>
                <w:sz w:val="19"/>
              </w:rPr>
              <w:t>•  coupling: the website knows one endpoint and one payload shape — not the queue, the function, or the store</w:t>
            </w:r>
          </w:p>
          <w:p>
            <w:pPr>
              <w:jc w:val="left"/>
            </w:pPr>
            <w:r>
              <w:rPr>
                <w:b w:val="0"/>
                <w:i w:val="0"/>
                <w:color w:val="1F5A5C"/>
                <w:sz w:val="19"/>
              </w:rPr>
              <w:t>•  the store can be changed without the website knowing</w:t>
            </w:r>
          </w:p>
          <w:p>
            <w:pPr>
              <w:jc w:val="left"/>
            </w:pPr>
            <w:r>
              <w:rPr>
                <w:b w:val="0"/>
                <w:i w:val="0"/>
                <w:color w:val="1F5A5C"/>
                <w:sz w:val="19"/>
              </w:rPr>
              <w:t>•  it would stop being true if the website read the log store directly, or if the service took on a second job</w:t>
            </w:r>
          </w:p>
        </w:tc>
      </w:tr>
    </w:tbl>
    <w:p/>
    <w:p>
      <w:pPr>
        <w:spacing w:after="40"/>
      </w:pPr>
      <w:r>
        <w:rPr>
          <w:b w:val="0"/>
          <w:i/>
          <w:color w:val="6B6660"/>
          <w:sz w:val="18"/>
        </w:rPr>
        <w:t>Evidences: [ICTCLD503 KE 4]</w:t>
      </w:r>
    </w:p>
    <w:p>
      <w:pPr>
        <w:spacing w:after="120"/>
      </w:pPr>
      <w:r>
        <w:rPr>
          <w:b/>
          <w:color w:val="6B6660"/>
          <w:sz w:val="18"/>
        </w:rPr>
        <w:t xml:space="preserve">Satisfactory when </w:t>
      </w:r>
      <w:r>
        <w:rPr>
          <w:i/>
          <w:color w:val="6B6660"/>
          <w:sz w:val="18"/>
        </w:rPr>
        <w:t>the student explains cohesion as the service doing one job (recording access events) and coupling as the single contract from task 18, and can name what would break it — the website reading the store directly, or the service taking on a second responsibility. Definitions with no reference to their own design have not met the contextual-knowledge bar.</w:t>
      </w:r>
    </w:p>
    <w:p>
      <w:pPr>
        <w:spacing w:before="200" w:after="0"/>
      </w:pPr>
      <w:r>
        <w:rPr>
          <w:b/>
          <w:color w:val="1F5A5C"/>
          <w:sz w:val="16"/>
        </w:rPr>
        <w:t>QUESTION 3</w:t>
      </w:r>
    </w:p>
    <w:p>
      <w:pPr>
        <w:pStyle w:val="Heading2"/>
      </w:pPr>
      <w:r>
        <w:rPr>
          <w:color w:val="1F5A5C"/>
        </w:rPr>
        <w:t>Which web-scaling principles does your design apply?</w:t>
      </w:r>
    </w:p>
    <w:p>
      <w:pPr>
        <w:spacing w:after="120"/>
      </w:pPr>
      <w:r>
        <w:rPr>
          <w:b w:val="0"/>
          <w:i w:val="0"/>
          <w:sz w:val="21"/>
        </w:rPr>
        <w:t>Name the web-scaling principles and technologies your design uses, and for each one point to where it appears in your architecture and what it does for the global, anonymous, read-heavy audience this website serves.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cache close to the user — the edge layer, justified by the India audience</w:t>
            </w:r>
          </w:p>
          <w:p>
            <w:pPr>
              <w:jc w:val="left"/>
            </w:pPr>
            <w:r>
              <w:rPr>
                <w:b w:val="0"/>
                <w:i w:val="0"/>
                <w:color w:val="1F5A5C"/>
                <w:sz w:val="19"/>
              </w:rPr>
              <w:t>•  scale horizontally, not vertically — the Auto Scaling group; and where that is not possible, the single database writer</w:t>
            </w:r>
          </w:p>
          <w:p>
            <w:pPr>
              <w:jc w:val="left"/>
            </w:pPr>
            <w:r>
              <w:rPr>
                <w:b w:val="0"/>
                <w:i w:val="0"/>
                <w:color w:val="1F5A5C"/>
                <w:sz w:val="19"/>
              </w:rPr>
              <w:t>•  keep the tier stateless — media in object storage rather than instance disk, which is what lets any instance serve any request</w:t>
            </w:r>
          </w:p>
          <w:p>
            <w:pPr>
              <w:jc w:val="left"/>
            </w:pPr>
            <w:r>
              <w:rPr>
                <w:b w:val="0"/>
                <w:i w:val="0"/>
                <w:color w:val="1F5A5C"/>
                <w:sz w:val="19"/>
              </w:rPr>
              <w:t>•  decouple work that does not have to be synchronous — the queue in the microservice</w:t>
            </w:r>
          </w:p>
          <w:p>
            <w:pPr>
              <w:jc w:val="left"/>
            </w:pPr>
            <w:r>
              <w:rPr>
                <w:b w:val="0"/>
                <w:i w:val="0"/>
                <w:color w:val="1F5A5C"/>
                <w:sz w:val="19"/>
              </w:rPr>
              <w:t>•  offload static content from the application — media served from the edge, never touching an instance</w:t>
            </w:r>
          </w:p>
        </w:tc>
      </w:tr>
    </w:tbl>
    <w:p/>
    <w:p>
      <w:pPr>
        <w:spacing w:after="40"/>
      </w:pPr>
      <w:r>
        <w:rPr>
          <w:b w:val="0"/>
          <w:i/>
          <w:color w:val="6B6660"/>
          <w:sz w:val="18"/>
        </w:rPr>
        <w:t>Evidences: [ICTCLD503 KE 6] · [ICTCLD503 PE 5]</w:t>
      </w:r>
    </w:p>
    <w:p>
      <w:pPr>
        <w:spacing w:after="120"/>
      </w:pPr>
      <w:r>
        <w:rPr>
          <w:b/>
          <w:color w:val="6B6660"/>
          <w:sz w:val="18"/>
        </w:rPr>
        <w:t xml:space="preserve">Satisfactory when </w:t>
      </w:r>
      <w:r>
        <w:rPr>
          <w:i/>
          <w:color w:val="6B6660"/>
          <w:sz w:val="18"/>
        </w:rPr>
        <w:t>the student names principles rather than only products — caching close to the user, horizontal scaling, statelessness, decoupling, offloading static content — and locates each in their own design. Listing AWS services with no principle behind them has not met KE 6.</w:t>
      </w:r>
    </w:p>
    <w:p>
      <w:pPr>
        <w:spacing w:before="200" w:after="0"/>
      </w:pPr>
      <w:r>
        <w:rPr>
          <w:b/>
          <w:color w:val="1F5A5C"/>
          <w:sz w:val="16"/>
        </w:rPr>
        <w:t>QUESTION 4</w:t>
      </w:r>
    </w:p>
    <w:p>
      <w:pPr>
        <w:pStyle w:val="Heading2"/>
      </w:pPr>
      <w:r>
        <w:rPr>
          <w:color w:val="1F5A5C"/>
        </w:rPr>
        <w:t>How does your design keep the residency option open?</w:t>
      </w:r>
    </w:p>
    <w:p>
      <w:pPr>
        <w:spacing w:after="120"/>
      </w:pPr>
      <w:r>
        <w:rPr>
          <w:b w:val="0"/>
          <w:i w:val="0"/>
          <w:sz w:val="21"/>
        </w:rPr>
        <w:t>DR-R4 asks that additional data categories could be located in India later without re-architecting. Explain how your design keeps that open, and what it would take to act on it.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Indian footprint is defined as code and parameterised by region, so a second category is a deployment, not a redesign</w:t>
            </w:r>
          </w:p>
          <w:p>
            <w:pPr>
              <w:jc w:val="left"/>
            </w:pPr>
            <w:r>
              <w:rPr>
                <w:b w:val="0"/>
                <w:i w:val="0"/>
                <w:color w:val="1F5A5C"/>
                <w:sz w:val="19"/>
              </w:rPr>
              <w:t>•  the microservice pattern generalises — another event type is another producer calling the same contract</w:t>
            </w:r>
          </w:p>
          <w:p>
            <w:pPr>
              <w:jc w:val="left"/>
            </w:pPr>
            <w:r>
              <w:rPr>
                <w:b w:val="0"/>
                <w:i w:val="0"/>
                <w:color w:val="1F5A5C"/>
                <w:sz w:val="19"/>
              </w:rPr>
              <w:t>•  what it would take: a new store and writer for the category, and a decision about whether the Sydney copy is retained or moved</w:t>
            </w:r>
          </w:p>
        </w:tc>
      </w:tr>
    </w:tbl>
    <w:p/>
    <w:p>
      <w:pPr>
        <w:spacing w:after="40"/>
      </w:pPr>
      <w:r>
        <w:rPr>
          <w:b w:val="0"/>
          <w:i/>
          <w:color w:val="6B6660"/>
          <w:sz w:val="18"/>
        </w:rPr>
        <w:t>Evidences: [ICTCLD503 KE 4] · [ICTCLD503 FS Self-management]</w:t>
      </w:r>
    </w:p>
    <w:p>
      <w:pPr>
        <w:spacing w:after="120"/>
      </w:pPr>
      <w:r>
        <w:rPr>
          <w:b/>
          <w:color w:val="6B6660"/>
          <w:sz w:val="18"/>
        </w:rPr>
        <w:t xml:space="preserve">Satisfactory when </w:t>
      </w:r>
      <w:r>
        <w:rPr>
          <w:i/>
          <w:color w:val="6B6660"/>
          <w:sz w:val="18"/>
        </w:rPr>
        <w:t>the student connects the parameterised, infrastructure-as-code Indian footprint to the future obligation, and gives a concrete answer about what changing it would involve. This is the design-for-change question; an answer that only restates DR-R4 has not engaged with it.</w:t>
      </w:r>
    </w:p>
    <w:p>
      <w:pPr>
        <w:pStyle w:val="Heading1"/>
      </w:pPr>
      <w:r>
        <w:t>Part B — Disaster Recovery Plan</w:t>
      </w:r>
    </w:p>
    <w:p>
      <w:pPr>
        <w:spacing w:after="160"/>
      </w:pPr>
      <w:r>
        <w:rPr>
          <w:b w:val="0"/>
          <w:i w:val="0"/>
          <w:sz w:val="21"/>
        </w:rPr>
        <w:t>Part A designed the extended website. This part plans its recovery: what could take it down, what that would cost YAT, how you would get it back, and how long that would take.</w:t>
      </w:r>
    </w:p>
    <w:p>
      <w:pPr>
        <w:spacing w:after="160"/>
      </w:pPr>
      <w:r>
        <w:rPr>
          <w:b w:val="0"/>
          <w:i w:val="0"/>
          <w:sz w:val="21"/>
        </w:rPr>
        <w:t>You are writing for two readers. One is Sam Walker, who approves the plan. The other is whoever is on call at 3am when the Sydney region is unavailable and this is the document they open. Write for the second one.</w:t>
      </w:r>
    </w:p>
    <w:p>
      <w:pPr>
        <w:spacing w:after="160"/>
      </w:pPr>
      <w:r>
        <w:rPr>
          <w:b w:val="0"/>
          <w:i w:val="0"/>
          <w:sz w:val="21"/>
        </w:rPr>
        <w:t>Work the tasks in order. They follow the sections of the YAT Disaster Recovery Plan template, so when you reach the last task the plan assembles from what you have already written. Nothing you do here is wasted effort or gets written twice.</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recovery objectives YAT signed off on</w:t>
        </w:r>
      </w:hyperlink>
    </w:p>
    <w:p>
      <w:pPr>
        <w:spacing w:after="60"/>
        <w:ind w:left="340"/>
      </w:pPr>
      <w:r>
        <w:rPr>
          <w:sz w:val="19"/>
        </w:rPr>
        <w:t xml:space="preserve">•  </w:t>
      </w:r>
      <w:hyperlink r:id="rId19">
        <w:r>
          <w:rPr>
            <w:sz w:val="19"/>
            <w:color w:val="0563C1"/>
            <w:u w:val="single"/>
          </w:rPr>
          <w:t>Website Infrastructure Specifications — the environment, and the backup arrangements currently in place</w:t>
        </w:r>
      </w:hyperlink>
    </w:p>
    <w:p>
      <w:pPr>
        <w:spacing w:after="60"/>
        <w:ind w:left="340"/>
      </w:pPr>
      <w:r>
        <w:rPr>
          <w:sz w:val="19"/>
        </w:rPr>
        <w:t xml:space="preserve">•  </w:t>
      </w:r>
      <w:hyperlink r:id="rId25">
        <w:r>
          <w:rPr>
            <w:sz w:val="19"/>
            <w:color w:val="0563C1"/>
            <w:u w:val="single"/>
          </w:rPr>
          <w:t>Deprecated on-premises DR Plan — superseded by the move to the cloud. Context for what an organisational plan looks like, not a model to copy</w:t>
        </w:r>
      </w:hyperlink>
    </w:p>
    <w:p>
      <w:pPr>
        <w:spacing w:after="60"/>
        <w:ind w:left="340"/>
      </w:pPr>
      <w:r>
        <w:rPr>
          <w:sz w:val="19"/>
        </w:rPr>
        <w:t xml:space="preserve">•  </w:t>
      </w:r>
      <w:hyperlink r:id="rId26">
        <w:r>
          <w:rPr>
            <w:sz w:val="19"/>
            <w:color w:val="0563C1"/>
            <w:u w:val="single"/>
          </w:rPr>
          <w:t>Backup &amp; Retention Policy — YAT's standing backup and retention obligations</w:t>
        </w:r>
      </w:hyperlink>
    </w:p>
    <w:p>
      <w:pPr>
        <w:spacing w:after="60"/>
        <w:ind w:left="340"/>
      </w:pPr>
      <w:r>
        <w:rPr>
          <w:sz w:val="19"/>
        </w:rPr>
        <w:t xml:space="preserve">•  </w:t>
      </w:r>
      <w:hyperlink r:id="rId27">
        <w:r>
          <w:rPr>
            <w:sz w:val="19"/>
            <w:color w:val="0563C1"/>
            <w:u w:val="single"/>
          </w:rPr>
          <w:t>Industry Standards — the information-security and continuity standards YAT works to</w:t>
        </w:r>
      </w:hyperlink>
    </w:p>
    <w:p>
      <w:pPr>
        <w:spacing w:after="60"/>
        <w:ind w:left="340"/>
      </w:pPr>
      <w:r>
        <w:rPr>
          <w:sz w:val="19"/>
        </w:rPr>
        <w:t xml:space="preserve">•  </w:t>
      </w:r>
      <w:hyperlink r:id="rId28">
        <w:r>
          <w:rPr>
            <w:sz w:val="19"/>
            <w:color w:val="0563C1"/>
            <w:u w:val="single"/>
          </w:rPr>
          <w:t>Records Management Policy — where a completed engagement document has to be lodged</w:t>
        </w:r>
      </w:hyperlink>
    </w:p>
    <w:p/>
    <w:p>
      <w:pPr>
        <w:spacing w:after="200"/>
      </w:pPr>
      <w:r>
        <w:rPr>
          <w:b w:val="0"/>
          <w:i/>
          <w:color w:val="6B6660"/>
          <w:sz w:val="19"/>
        </w:rPr>
        <w:t>You will need the YAT Disaster Recovery Plan template — download it from the intranet's Templates section. You do not need it until the last task, but read its section headings before you start so you can see where your answers land.</w:t>
      </w:r>
    </w:p>
    <w:p>
      <w:pPr>
        <w:spacing w:before="200" w:after="0"/>
      </w:pPr>
      <w:r>
        <w:rPr>
          <w:b/>
          <w:color w:val="1F5A5C"/>
          <w:sz w:val="16"/>
        </w:rPr>
        <w:t>TASK 20</w:t>
      </w:r>
    </w:p>
    <w:p>
      <w:pPr>
        <w:pStyle w:val="Heading2"/>
      </w:pPr>
      <w:r>
        <w:rPr>
          <w:color w:val="1F5A5C"/>
        </w:rPr>
        <w:t>The recovery requirements this plan has to meet</w:t>
      </w:r>
    </w:p>
    <w:p>
      <w:pPr>
        <w:spacing w:after="120"/>
      </w:pPr>
      <w:r>
        <w:rPr>
          <w:b w:val="0"/>
          <w:i w:val="0"/>
          <w:sz w:val="21"/>
        </w:rPr>
        <w:t>Establish what the plan is held to before you write any of it. Record the recovery requirements YAT has set, what business need each one comes from, and where you read it. A requirement you cannot attribute is one you have assumed.</w:t>
      </w:r>
    </w:p>
    <w:p>
      <w:pPr>
        <w:spacing w:after="60"/>
      </w:pPr>
      <w:r>
        <w:rPr>
          <w:b/>
          <w:i w:val="0"/>
          <w:sz w:val="19"/>
        </w:rPr>
        <w:t>Related resources</w:t>
      </w:r>
    </w:p>
    <w:p>
      <w:pPr>
        <w:spacing w:after="60"/>
        <w:ind w:left="340"/>
      </w:pPr>
      <w:r>
        <w:rPr>
          <w:sz w:val="19"/>
        </w:rPr>
        <w:t xml:space="preserve">•  </w:t>
      </w:r>
      <w:hyperlink r:id="rId17">
        <w:r>
          <w:rPr>
            <w:sz w:val="19"/>
            <w:color w:val="0563C1"/>
            <w:u w:val="single"/>
          </w:rPr>
          <w:t>Website Global Expansion — Functional &amp; Non-Functional Requirements — the recovery objectives and the availability floor</w:t>
        </w:r>
      </w:hyperlink>
    </w:p>
    <w:p>
      <w:pPr>
        <w:spacing w:after="60"/>
        <w:ind w:left="340"/>
      </w:pPr>
      <w:r>
        <w:rPr>
          <w:sz w:val="19"/>
        </w:rPr>
        <w:t xml:space="preserve">•  </w:t>
      </w:r>
      <w:hyperlink r:id="rId21">
        <w:r>
          <w:rPr>
            <w:sz w:val="19"/>
            <w:color w:val="0563C1"/>
            <w:u w:val="single"/>
          </w:rPr>
          <w:t>Engagement Role Brief — what MTS is engaged to deliver and what is out of scope</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Requirement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business need behind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time objective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 4 hours to operational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prospective student who cannot reach the site during intake goes elsewhere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point objective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 1 hour of data loss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enquiry and application submissions are the acquisition pipeline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Availability floor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 99.9%, not to be degraded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already achieved Multi-AZ; the expansion must not cost YAT what it has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independent of the primary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must not depend on Sydney being available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regional event is exactly the case the plan exists for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Scope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cloud infrastructure only — CMS and content unchanged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Marketing owns the content; MTS is engaged for the infrastructure</w:t>
            </w:r>
          </w:p>
        </w:tc>
      </w:tr>
    </w:tbl>
    <w:p/>
    <w:p>
      <w:pPr>
        <w:spacing w:after="40"/>
      </w:pPr>
      <w:r>
        <w:rPr>
          <w:b w:val="0"/>
          <w:i/>
          <w:color w:val="6B6660"/>
          <w:sz w:val="18"/>
        </w:rPr>
        <w:t>Evidences: [ICTCLD501 PC 1.1] · [ICTCLD501 FS Reading]</w:t>
      </w:r>
    </w:p>
    <w:p>
      <w:pPr>
        <w:spacing w:after="120"/>
      </w:pPr>
      <w:r>
        <w:rPr>
          <w:b/>
          <w:color w:val="6B6660"/>
          <w:sz w:val="18"/>
        </w:rPr>
        <w:t xml:space="preserve">Satisfactory when </w:t>
      </w:r>
      <w:r>
        <w:rPr>
          <w:i/>
          <w:color w:val="6B6660"/>
          <w:sz w:val="18"/>
        </w:rPr>
        <w:t>the student records the RTO and RPO targets, the availability floor, and the business reason the website now warrants them (it is the enrolment front door for the India campus), each attributed to a source document. PC 1.1 is about identifying requirements according to BUSINESS needs — a list of technical targets with no business driver beside them has not met it.</w:t>
      </w:r>
    </w:p>
    <w:p>
      <w:pPr>
        <w:spacing w:before="200" w:after="0"/>
      </w:pPr>
      <w:r>
        <w:rPr>
          <w:b/>
          <w:color w:val="1F5A5C"/>
          <w:sz w:val="16"/>
        </w:rPr>
        <w:t>TASK 21</w:t>
      </w:r>
    </w:p>
    <w:p>
      <w:pPr>
        <w:pStyle w:val="Heading2"/>
      </w:pPr>
      <w:r>
        <w:rPr>
          <w:color w:val="1F5A5C"/>
        </w:rPr>
        <w:t>Existing recovery arrangements</w:t>
      </w:r>
    </w:p>
    <w:p>
      <w:pPr>
        <w:spacing w:after="120"/>
      </w:pPr>
      <w:r>
        <w:rPr>
          <w:b w:val="0"/>
          <w:i w:val="0"/>
          <w:sz w:val="21"/>
        </w:rPr>
        <w:t>Determine what recovery arrangements already exist. Go through what is actually in place today and say what each one would and would not get you back. Be honest about the difference between a backup and a recovery plan.</w:t>
      </w:r>
    </w:p>
    <w:p>
      <w:pPr>
        <w:spacing w:after="60"/>
      </w:pPr>
      <w:r>
        <w:rPr>
          <w:b/>
          <w:i w:val="0"/>
          <w:sz w:val="19"/>
        </w:rPr>
        <w:t>Related resources</w:t>
      </w:r>
    </w:p>
    <w:p>
      <w:pPr>
        <w:spacing w:after="60"/>
        <w:ind w:left="340"/>
      </w:pPr>
      <w:r>
        <w:rPr>
          <w:sz w:val="19"/>
        </w:rPr>
        <w:t xml:space="preserve">•  </w:t>
      </w:r>
      <w:hyperlink r:id="rId19">
        <w:r>
          <w:rPr>
            <w:sz w:val="19"/>
            <w:color w:val="0563C1"/>
            <w:u w:val="single"/>
          </w:rPr>
          <w:t>Website Infrastructure Specifications — the backup arrangements in place today</w:t>
        </w:r>
      </w:hyperlink>
    </w:p>
    <w:p>
      <w:pPr>
        <w:spacing w:after="60"/>
        <w:ind w:left="340"/>
      </w:pPr>
      <w:r>
        <w:rPr>
          <w:sz w:val="19"/>
        </w:rPr>
        <w:t xml:space="preserve">•  </w:t>
      </w:r>
      <w:hyperlink r:id="rId26">
        <w:r>
          <w:rPr>
            <w:sz w:val="19"/>
            <w:color w:val="0563C1"/>
            <w:u w:val="single"/>
          </w:rPr>
          <w:t>Backup &amp; Retention Policy — YAT's standing obligations</w:t>
        </w:r>
      </w:hyperlink>
    </w:p>
    <w:p>
      <w:pPr>
        <w:spacing w:after="60"/>
        <w:ind w:left="340"/>
      </w:pPr>
      <w:r>
        <w:rPr>
          <w:sz w:val="19"/>
        </w:rPr>
        <w:t xml:space="preserve">•  </w:t>
      </w:r>
      <w:hyperlink r:id="rId25">
        <w:r>
          <w:rPr>
            <w:sz w:val="19"/>
            <w:color w:val="0563C1"/>
            <w:u w:val="single"/>
          </w:rPr>
          <w:t>Deprecated on-premises DR Plan — the plan the cloud migration superseded. Context only — do not copy it</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Existing arrangement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protects against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does not cover</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Multi-AZ database with automatic failover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loss of one availability zone, an instance, or the primary 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loss of the whole region — the standby is in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Automated database backups, 7-day retention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data corruption or accidental deletion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backups are held in the same region as the database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Nightly database and media snapshots to object storage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rebuilding content after a data loss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same region again; and nothing automates the rebuild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 Scaling across two zones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instance failure, replaced without intervention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outside the region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Deprecated on-premises DR plan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nothing current — it was written for the on-premises estate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superseded by the cloud migration; no cloud environment is in scope of it</w:t>
            </w:r>
          </w:p>
        </w:tc>
      </w:tr>
    </w:tbl>
    <w:p/>
    <w:p>
      <w:pPr>
        <w:spacing w:after="40"/>
      </w:pPr>
      <w:r>
        <w:rPr>
          <w:b w:val="0"/>
          <w:i/>
          <w:color w:val="6B6660"/>
          <w:sz w:val="18"/>
        </w:rPr>
        <w:t>Evidences: [ICTCLD501 PC 1.2] · [ICTCLD501 FS Reading]</w:t>
      </w:r>
    </w:p>
    <w:p>
      <w:pPr>
        <w:spacing w:after="120"/>
      </w:pPr>
      <w:r>
        <w:rPr>
          <w:b/>
          <w:color w:val="6B6660"/>
          <w:sz w:val="18"/>
        </w:rPr>
        <w:t xml:space="preserve">Satisfactory when </w:t>
      </w:r>
      <w:r>
        <w:rPr>
          <w:i/>
          <w:color w:val="6B6660"/>
          <w:sz w:val="18"/>
        </w:rPr>
        <w:t>the student identifies the automated database backups, the nightly snapshots to object storage, and Multi-AZ failover — and recognises that none of these survive the loss of the region, because they all live in it. Recognising that the deprecated on-prem plan is superseded and does not cover the cloud environment is the other half of PC 1.2.</w:t>
      </w:r>
    </w:p>
    <w:p>
      <w:pPr>
        <w:spacing w:before="200" w:after="0"/>
      </w:pPr>
      <w:r>
        <w:rPr>
          <w:b/>
          <w:color w:val="1F5A5C"/>
          <w:sz w:val="16"/>
        </w:rPr>
        <w:t>TASK 22</w:t>
      </w:r>
    </w:p>
    <w:p>
      <w:pPr>
        <w:pStyle w:val="Heading2"/>
      </w:pPr>
      <w:r>
        <w:rPr>
          <w:color w:val="1F5A5C"/>
        </w:rPr>
        <w:t>Vendor provisions and service level agreements</w:t>
      </w:r>
    </w:p>
    <w:p>
      <w:pPr>
        <w:spacing w:after="120"/>
      </w:pPr>
      <w:r>
        <w:rPr>
          <w:b w:val="0"/>
          <w:i w:val="0"/>
          <w:sz w:val="21"/>
        </w:rPr>
        <w:t>Identify what your cloud provider commits to, and what it does not. Record the service commitments that matter to this plan, and be clear about where the provider's responsibility ends and YAT's begins — that boundary is where your plan has to do the work.</w:t>
      </w:r>
    </w:p>
    <w:p>
      <w:pPr>
        <w:spacing w:after="60"/>
      </w:pPr>
      <w:r>
        <w:rPr>
          <w:b/>
          <w:i w:val="0"/>
          <w:sz w:val="19"/>
        </w:rPr>
        <w:t>Related resources</w:t>
      </w:r>
    </w:p>
    <w:p>
      <w:pPr>
        <w:spacing w:after="60"/>
        <w:ind w:left="340"/>
      </w:pPr>
      <w:r>
        <w:rPr>
          <w:sz w:val="19"/>
        </w:rPr>
        <w:t xml:space="preserve">•  </w:t>
      </w:r>
      <w:hyperlink r:id="rId29">
        <w:r>
          <w:rPr>
            <w:sz w:val="19"/>
            <w:color w:val="0563C1"/>
            <w:u w:val="single"/>
          </w:rPr>
          <w:t>Master Services Agreement — the engagement's contractual frame</w:t>
        </w:r>
      </w:hyperlink>
    </w:p>
    <w:p>
      <w:pPr>
        <w:spacing w:after="60"/>
        <w:ind w:left="340"/>
      </w:pPr>
      <w:r>
        <w:rPr>
          <w:sz w:val="19"/>
        </w:rPr>
        <w:t xml:space="preserve">•  </w:t>
      </w:r>
      <w:hyperlink r:id="rId27">
        <w:r>
          <w:rPr>
            <w:sz w:val="19"/>
            <w:color w:val="0563C1"/>
            <w:u w:val="single"/>
          </w:rPr>
          <w:t>Industry Standards — the provider commitments YAT works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Provision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provider commits to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remains YAT's responsibility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Compute service level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service availability within a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application running on it, and its recovery elsewhere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Managed database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automated backup, patching, Multi-AZ failover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choosing the retention, and copying backups out of the region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Object storage durability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very high durability of stored objects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replicating the bucket to another region if that is what recovery needs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Regional isolation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regions fail independently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having anything at all in a second region beforehand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Incident communication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status reporting during a service event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detecting the impact on YAT and deciding to invoke the plan</w:t>
            </w:r>
          </w:p>
        </w:tc>
      </w:tr>
    </w:tbl>
    <w:p/>
    <w:p>
      <w:pPr>
        <w:spacing w:after="40"/>
      </w:pPr>
      <w:r>
        <w:rPr>
          <w:b w:val="0"/>
          <w:i/>
          <w:color w:val="6B6660"/>
          <w:sz w:val="18"/>
        </w:rPr>
        <w:t>Evidences: [ICTCLD501 PC 1.3]</w:t>
      </w:r>
    </w:p>
    <w:p>
      <w:pPr>
        <w:spacing w:after="120"/>
      </w:pPr>
      <w:r>
        <w:rPr>
          <w:b/>
          <w:color w:val="6B6660"/>
          <w:sz w:val="18"/>
        </w:rPr>
        <w:t xml:space="preserve">Satisfactory when </w:t>
      </w:r>
      <w:r>
        <w:rPr>
          <w:i/>
          <w:color w:val="6B6660"/>
          <w:sz w:val="18"/>
        </w:rPr>
        <w:t>the student identifies the shared-responsibility boundary: the provider commits to service availability and to the durability of stored objects, but recovery of YAT's workload into another region is YAT's job. A student who treats the provider's availability figure as YAT's recovery plan has not met PC 1.3.</w:t>
      </w:r>
    </w:p>
    <w:p>
      <w:pPr>
        <w:spacing w:before="200" w:after="0"/>
      </w:pPr>
      <w:r>
        <w:rPr>
          <w:b/>
          <w:color w:val="1F5A5C"/>
          <w:sz w:val="16"/>
        </w:rPr>
        <w:t>TASK 23</w:t>
      </w:r>
    </w:p>
    <w:p>
      <w:pPr>
        <w:pStyle w:val="Heading2"/>
      </w:pPr>
      <w:r>
        <w:rPr>
          <w:color w:val="1F5A5C"/>
        </w:rPr>
        <w:t>Recovery objectives</w:t>
      </w:r>
    </w:p>
    <w:p>
      <w:pPr>
        <w:spacing w:after="120"/>
      </w:pPr>
      <w:r>
        <w:rPr>
          <w:b w:val="0"/>
          <w:i w:val="0"/>
          <w:sz w:val="21"/>
        </w:rPr>
        <w:t>State the recovery objectives this plan commits to, per component of the system you designed in Part A. Take the targets from task 20 as the requirement, then say what each component's objective is and why. Not everything needs the same objective — say where you differentiate, and why that is defensible.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RTO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RPO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Why this objective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Public website (pages, catalogue)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1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front door; the whole target exists for this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Enquiry / application submissions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1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acquisition pipeline — lost submissions are lost students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Media (images, brochures, PDFs)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24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changes rarely; a day-old copy is materially the same site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CMS authoring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24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1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internal, and Marketing can wait a day to publish</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India audit-log store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1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residency obligation does not pause during a Sydney outage</w:t>
            </w:r>
          </w:p>
        </w:tc>
      </w:tr>
    </w:tbl>
    <w:p/>
    <w:p>
      <w:pPr>
        <w:spacing w:after="40"/>
      </w:pPr>
      <w:r>
        <w:rPr>
          <w:b w:val="0"/>
          <w:i/>
          <w:color w:val="6B6660"/>
          <w:sz w:val="18"/>
        </w:rPr>
        <w:t>Evidences: [ICTCLD501 PC 2.1] · [ICTCLD501 KE 5]</w:t>
      </w:r>
    </w:p>
    <w:p>
      <w:pPr>
        <w:spacing w:after="120"/>
      </w:pPr>
      <w:r>
        <w:rPr>
          <w:b/>
          <w:color w:val="6B6660"/>
          <w:sz w:val="18"/>
        </w:rPr>
        <w:t xml:space="preserve">Satisfactory when </w:t>
      </w:r>
      <w:r>
        <w:rPr>
          <w:i/>
          <w:color w:val="6B6660"/>
          <w:sz w:val="18"/>
        </w:rPr>
        <w:t>the student states an RTO and RPO per component rather than one figure for the whole system, and the figures are within the targets from task 20. Differentiating (the marketing pages can come back before the enquiry history) is the mark of a strong answer; KE 5 is evidenced by the student using the terms correctly — RPO is data loss, RTO is time to service.</w:t>
      </w:r>
    </w:p>
    <w:p>
      <w:pPr>
        <w:spacing w:before="200" w:after="0"/>
      </w:pPr>
      <w:r>
        <w:rPr>
          <w:b/>
          <w:color w:val="1F5A5C"/>
          <w:sz w:val="16"/>
        </w:rPr>
        <w:t>TASK 24</w:t>
      </w:r>
    </w:p>
    <w:p>
      <w:pPr>
        <w:pStyle w:val="Heading2"/>
      </w:pPr>
      <w:r>
        <w:rPr>
          <w:color w:val="1F5A5C"/>
        </w:rPr>
        <w:t>The data you are protecting</w:t>
      </w:r>
    </w:p>
    <w:p>
      <w:pPr>
        <w:spacing w:after="120"/>
      </w:pPr>
      <w:r>
        <w:rPr>
          <w:b w:val="0"/>
          <w:i w:val="0"/>
          <w:sz w:val="21"/>
        </w:rPr>
        <w:t>Estimate what data this system holds, how much of it there is, and how sensitive each kind is. Volume drives how long a recovery takes; sensitivity drives how carefully it has to be handled while you are recovering it.</w:t>
      </w:r>
    </w:p>
    <w:p>
      <w:pPr>
        <w:spacing w:after="60"/>
      </w:pPr>
      <w:r>
        <w:rPr>
          <w:b/>
          <w:i w:val="0"/>
          <w:sz w:val="19"/>
        </w:rPr>
        <w:t>Related resources</w:t>
      </w:r>
    </w:p>
    <w:p>
      <w:pPr>
        <w:spacing w:after="60"/>
        <w:ind w:left="340"/>
      </w:pPr>
      <w:r>
        <w:rPr>
          <w:sz w:val="19"/>
        </w:rPr>
        <w:t xml:space="preserve">•  </w:t>
      </w:r>
      <w:hyperlink r:id="rId20">
        <w:r>
          <w:rPr>
            <w:sz w:val="19"/>
            <w:color w:val="0563C1"/>
            <w:u w:val="single"/>
          </w:rPr>
          <w:t>Website Specification — the data the website holds, its volume and its sensitivity</w:t>
        </w:r>
      </w:hyperlink>
    </w:p>
    <w:p>
      <w:pPr>
        <w:spacing w:after="60"/>
        <w:ind w:left="340"/>
      </w:pPr>
      <w:r>
        <w:rPr>
          <w:sz w:val="19"/>
        </w:rPr>
        <w:t xml:space="preserve">•  </w:t>
      </w:r>
      <w:hyperlink r:id="rId24">
        <w:r>
          <w:rPr>
            <w:sz w:val="19"/>
            <w:color w:val="0563C1"/>
            <w:u w:val="single"/>
          </w:rPr>
          <w:t>Privacy / Data Handling Policy — the classification and handling obligations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Data</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Approximate volume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Sensitivity</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that means for recovery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Page content and course catalogue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~0.3 GB</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Public once published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small, and no handling constraint — recover it first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Uploaded media</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~5 GB, growing ~1 GB/year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Public</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bulk of the volume; drives transfer time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Enquiry / application submissions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~0.5 GB</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Personal information — Privacy Act and APPs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must stay encrypted and in an approved region throughout recovery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India audit / access logs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grows with India traffic</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Regulated — CERT-In, 180-day retention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must be recovered into an Indian region, not into the DR region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Web and access logs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 GB rolling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Operational</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useful for diagnosis; not required to restore service</w:t>
            </w:r>
          </w:p>
        </w:tc>
      </w:tr>
    </w:tbl>
    <w:p/>
    <w:p>
      <w:pPr>
        <w:spacing w:after="40"/>
      </w:pPr>
      <w:r>
        <w:rPr>
          <w:b w:val="0"/>
          <w:i/>
          <w:color w:val="6B6660"/>
          <w:sz w:val="18"/>
        </w:rPr>
        <w:t>Evidences: [ICTCLD501 PC 2.3]</w:t>
      </w:r>
    </w:p>
    <w:p>
      <w:pPr>
        <w:spacing w:after="120"/>
      </w:pPr>
      <w:r>
        <w:rPr>
          <w:b/>
          <w:color w:val="6B6660"/>
          <w:sz w:val="18"/>
        </w:rPr>
        <w:t xml:space="preserve">Satisfactory when </w:t>
      </w:r>
      <w:r>
        <w:rPr>
          <w:i/>
          <w:color w:val="6B6660"/>
          <w:sz w:val="18"/>
        </w:rPr>
        <w:t>the student estimates volumes and assigns a sensitivity or classification to each data category, and identifies the enquiry / application submissions as the personal information that carries the heaviest obligation. PC 2.3 asks for the amount AND the security level — an answer with volumes but no classification has met half the item.</w:t>
      </w:r>
    </w:p>
    <w:p>
      <w:pPr>
        <w:spacing w:before="200" w:after="0"/>
      </w:pPr>
      <w:r>
        <w:rPr>
          <w:b/>
          <w:color w:val="1F5A5C"/>
          <w:sz w:val="16"/>
        </w:rPr>
        <w:t>TASK 25</w:t>
      </w:r>
    </w:p>
    <w:p>
      <w:pPr>
        <w:pStyle w:val="Heading2"/>
      </w:pPr>
      <w:r>
        <w:rPr>
          <w:color w:val="1F5A5C"/>
        </w:rPr>
        <w:t>Risk assessment — the major risk events</w:t>
      </w:r>
    </w:p>
    <w:p>
      <w:pPr>
        <w:spacing w:after="120"/>
      </w:pPr>
      <w:r>
        <w:rPr>
          <w:b w:val="0"/>
          <w:i w:val="0"/>
          <w:sz w:val="21"/>
        </w:rPr>
        <w:t>Identify the major risk events this plan is written for. You need at least three. For each, say how likely it is, what the impact on YAT would be, and how you rated it — name the method you used, because a rating with no method behind it is an opinion.</w:t>
      </w:r>
    </w:p>
    <w:p>
      <w:pPr>
        <w:spacing w:after="60"/>
      </w:pPr>
      <w:r>
        <w:rPr>
          <w:b/>
          <w:i w:val="0"/>
          <w:sz w:val="19"/>
        </w:rPr>
        <w:t>Related resources</w:t>
      </w:r>
    </w:p>
    <w:p>
      <w:pPr>
        <w:spacing w:after="60"/>
        <w:ind w:left="340"/>
      </w:pPr>
      <w:r>
        <w:rPr>
          <w:sz w:val="19"/>
        </w:rPr>
        <w:t xml:space="preserve">•  </w:t>
      </w:r>
      <w:hyperlink r:id="rId30">
        <w:r>
          <w:rPr>
            <w:sz w:val="19"/>
            <w:color w:val="0563C1"/>
            <w:u w:val="single"/>
          </w:rPr>
          <w:t>Security &amp; Incident Response Policy — how YAT classifies and responds to incidents</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Risk event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Likelihood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Impact on YAT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Rating</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Loss of the Sydney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Rare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enrolment front door is down; every prospective student sees nothing; submissions stop</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High</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 corruption or destructive change to the database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Unlikely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catalogue and submission history damaged; recovery from backup with data loss up to the retention point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High</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Sustained denial-of-service or hostile traffic against the public site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Possible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site slow or unreachable during the period it matters most; a public, unauthenticated site is exposed by design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Medium</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Loss of the India log store or its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Rare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residency obligation is breached and CERT-In reporting cannot be met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Medium</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Accidental deletion of infrastructure by a change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Possible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partial or total outage; recoverable but only as fast as it can be rebuilt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Medium</w:t>
            </w:r>
          </w:p>
        </w:tc>
      </w:tr>
    </w:tbl>
    <w:p/>
    <w:p>
      <w:pPr>
        <w:spacing w:after="40"/>
      </w:pPr>
      <w:r>
        <w:rPr>
          <w:b w:val="0"/>
          <w:i/>
          <w:color w:val="6B6660"/>
          <w:sz w:val="18"/>
        </w:rPr>
        <w:t>Evidences: [ICTCLD501 PC 2.4] · [ICTCLD501 PE 2] · [ICTCLD501 KE 1] · [ICTCLD501 KE 2] · [ICTCLD501 FS Planning and organising]</w:t>
      </w:r>
    </w:p>
    <w:p>
      <w:pPr>
        <w:spacing w:after="120"/>
      </w:pPr>
      <w:r>
        <w:rPr>
          <w:b/>
          <w:color w:val="6B6660"/>
          <w:sz w:val="18"/>
        </w:rPr>
        <w:t xml:space="preserve">Satisfactory when </w:t>
      </w:r>
      <w:r>
        <w:rPr>
          <w:i/>
          <w:color w:val="6B6660"/>
          <w:sz w:val="18"/>
        </w:rPr>
        <w:t>at least three major risk events, each with a likelihood, an impact stated in terms of YAT's business rather than in generic risk language, and a stated rating method (a likelihood × consequence matrix is the expected answer and satisfies KE 2). PE 1 depends on this task producing three — fewer than three fails the performance evidence for the whole AT, so it is worth checking here.</w:t>
      </w:r>
    </w:p>
    <w:p>
      <w:pPr>
        <w:spacing w:before="200" w:after="0"/>
      </w:pPr>
      <w:r>
        <w:rPr>
          <w:b/>
          <w:color w:val="1F5A5C"/>
          <w:sz w:val="16"/>
        </w:rPr>
        <w:t>TASK 26</w:t>
      </w:r>
    </w:p>
    <w:p>
      <w:pPr>
        <w:pStyle w:val="Heading2"/>
      </w:pPr>
      <w:r>
        <w:rPr>
          <w:color w:val="1F5A5C"/>
        </w:rPr>
        <w:t>Plan exclusions</w:t>
      </w:r>
    </w:p>
    <w:p>
      <w:pPr>
        <w:spacing w:after="120"/>
      </w:pPr>
      <w:r>
        <w:rPr>
          <w:b w:val="0"/>
          <w:i w:val="0"/>
          <w:sz w:val="21"/>
        </w:rPr>
        <w:t>Say what this plan does not cover, and why each exclusion is defensible against the business requirements. An exclusion is a decision you are accountable for — it is not the same as something you forgot.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Excluded from this plan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 does own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CMS application and website content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engagement is cloud infrastructure only; no application change is permitted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Marketing &amp; Admissions, with YAT ICT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campus network</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website is public-facing and not connected to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ICT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of individual user devices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 part of the website 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ICT service desk</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Legal interpretation of the India obligations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owned by the YAT compliance area; MTS designs to the determination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Compliance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of the LMS and Ledgerline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separate systems with their own arrangements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YAT ICT</w:t>
            </w:r>
          </w:p>
        </w:tc>
      </w:tr>
    </w:tbl>
    <w:p/>
    <w:p>
      <w:pPr>
        <w:spacing w:after="40"/>
      </w:pPr>
      <w:r>
        <w:rPr>
          <w:b w:val="0"/>
          <w:i/>
          <w:color w:val="6B6660"/>
          <w:sz w:val="18"/>
        </w:rPr>
        <w:t>Evidences: [ICTCLD501 PC 2.2]</w:t>
      </w:r>
    </w:p>
    <w:p>
      <w:pPr>
        <w:spacing w:after="120"/>
      </w:pPr>
      <w:r>
        <w:rPr>
          <w:b/>
          <w:color w:val="6B6660"/>
          <w:sz w:val="18"/>
        </w:rPr>
        <w:t xml:space="preserve">Satisfactory when </w:t>
      </w:r>
      <w:r>
        <w:rPr>
          <w:i/>
          <w:color w:val="6B6660"/>
          <w:sz w:val="18"/>
        </w:rPr>
        <w:t>the student names exclusions and justifies each against a business requirement — typically the CMS application and content (out of engagement scope), the campus network (not connected to the website), and anything the requirements place outside cloud infrastructure. An empty or unjustified exclusions list has not met PC 2.2, which asks the student to ASSESS exclusions.</w:t>
      </w:r>
    </w:p>
    <w:p>
      <w:pPr>
        <w:spacing w:before="200" w:after="0"/>
      </w:pPr>
      <w:r>
        <w:rPr>
          <w:b/>
          <w:color w:val="1F5A5C"/>
          <w:sz w:val="16"/>
        </w:rPr>
        <w:t>TASK 27</w:t>
      </w:r>
    </w:p>
    <w:p>
      <w:pPr>
        <w:pStyle w:val="Heading2"/>
      </w:pPr>
      <w:r>
        <w:rPr>
          <w:color w:val="1F5A5C"/>
        </w:rPr>
        <w:t>Record the outcomes of the impact analysis</w:t>
      </w:r>
    </w:p>
    <w:p>
      <w:pPr>
        <w:spacing w:after="120"/>
      </w:pPr>
      <w:r>
        <w:rPr>
          <w:b w:val="0"/>
          <w:i w:val="0"/>
          <w:sz w:val="21"/>
        </w:rPr>
        <w:t>Your analysis in tasks 4 to 7 has to be recorded in a way YAT can act on and audit later. Say what gets recorded, where it is held, who owns it, and when it is reviewed — according to YAT's policies, not your preference.</w:t>
      </w:r>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how analysis outcomes are recorded and retained</w:t>
        </w:r>
      </w:hyperlink>
    </w:p>
    <w:p>
      <w:pPr>
        <w:spacing w:after="60"/>
        <w:ind w:left="340"/>
      </w:pPr>
      <w:r>
        <w:rPr>
          <w:sz w:val="19"/>
        </w:rPr>
        <w:t xml:space="preserve">•  </w:t>
      </w:r>
      <w:hyperlink r:id="rId31">
        <w:r>
          <w:rPr>
            <w:sz w:val="19"/>
            <w:color w:val="0563C1"/>
            <w:u w:val="single"/>
          </w:rPr>
          <w:t>Change Management Procedure — the governance a production-affecting plan sits under</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is recorded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is held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Owner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Reviewed when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Risk register and ratings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 the lodged DR plan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Sam Walker, ICT Manager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annually, and after any incident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Recovery objectives per component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 the DR plan itself</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Sam Walker, ICT Manager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annually, or on material change to the website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Plan exclusions and their justification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 the DR plan itself</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Sam Walker, ICT Manager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annually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 volumes and classifications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 the lodged DR plan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annually, or when the data profile changes</w:t>
            </w:r>
          </w:p>
        </w:tc>
      </w:tr>
    </w:tbl>
    <w:p/>
    <w:p>
      <w:pPr>
        <w:spacing w:after="40"/>
      </w:pPr>
      <w:r>
        <w:rPr>
          <w:b w:val="0"/>
          <w:i/>
          <w:color w:val="6B6660"/>
          <w:sz w:val="18"/>
        </w:rPr>
        <w:t>Evidences: [ICTCLD501 PC 2.5]</w:t>
      </w:r>
    </w:p>
    <w:p>
      <w:pPr>
        <w:spacing w:after="120"/>
      </w:pPr>
      <w:r>
        <w:rPr>
          <w:b/>
          <w:color w:val="6B6660"/>
          <w:sz w:val="18"/>
        </w:rPr>
        <w:t xml:space="preserve">Satisfactory when </w:t>
      </w:r>
      <w:r>
        <w:rPr>
          <w:i/>
          <w:color w:val="6B6660"/>
          <w:sz w:val="18"/>
        </w:rPr>
        <w:t>the student ties the recording of the analysis to YAT's actual policies — the Records Management Policy for lodgement and retention, and a review trigger. PC 2.5 says 'according to organisational policies and procedures', so an answer that describes good practice without reference to YAT's policies has not met it.</w:t>
      </w:r>
    </w:p>
    <w:p>
      <w:pPr>
        <w:spacing w:before="200" w:after="0"/>
      </w:pPr>
      <w:r>
        <w:rPr>
          <w:b/>
          <w:color w:val="1F5A5C"/>
          <w:sz w:val="16"/>
        </w:rPr>
        <w:t>TASK 28</w:t>
      </w:r>
    </w:p>
    <w:p>
      <w:pPr>
        <w:pStyle w:val="Heading2"/>
      </w:pPr>
      <w:r>
        <w:rPr>
          <w:color w:val="1F5A5C"/>
        </w:rPr>
        <w:t>Recovery options evaluated</w:t>
      </w:r>
    </w:p>
    <w:p>
      <w:pPr>
        <w:spacing w:after="120"/>
      </w:pPr>
      <w:r>
        <w:rPr>
          <w:b w:val="0"/>
          <w:i w:val="0"/>
          <w:sz w:val="21"/>
        </w:rPr>
        <w:t>Develop a range of recovery solutions — not one. For each, say what it would cost YAT to run, what recovery time it would actually achieve, and what it would not do. You are building the comparison your recommendation in the next task rests on.</w:t>
      </w:r>
    </w:p>
    <w:p>
      <w:pPr>
        <w:spacing w:after="60"/>
      </w:pPr>
      <w:r>
        <w:rPr>
          <w:b/>
          <w:i w:val="0"/>
          <w:sz w:val="19"/>
        </w:rPr>
        <w:t>Related resources</w:t>
      </w:r>
    </w:p>
    <w:p>
      <w:pPr>
        <w:spacing w:after="60"/>
        <w:ind w:left="340"/>
      </w:pPr>
      <w:r>
        <w:rPr>
          <w:sz w:val="19"/>
        </w:rPr>
        <w:t xml:space="preserve">•  </w:t>
      </w:r>
      <w:hyperlink r:id="rId23">
        <w:r>
          <w:rPr>
            <w:sz w:val="19"/>
            <w:color w:val="0563C1"/>
            <w:u w:val="single"/>
          </w:rPr>
          <w:t>Reference Architectures — the recovery patterns YAT's architects work from</w:t>
        </w:r>
      </w:hyperlink>
    </w:p>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Option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it works</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Realistic RTO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Cost posture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Backup and restore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backups copied to a second region; everything rebuilt on demand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many hours to a day — misses the 4-hour target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lowest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Pilot light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database replicated to the second region, core infrastructure defined as code and deployed on invocation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2 to 4 hours — meets the target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low: storage and replication only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Warm standby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scaled-down but running copy in the second region, scaled up on failover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under an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moderate: always-on capacity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Multi-site active/active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both regions serving traffic all the time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near zero</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highest — roughly double</w:t>
            </w:r>
          </w:p>
        </w:tc>
      </w:tr>
    </w:tbl>
    <w:p/>
    <w:p>
      <w:pPr>
        <w:spacing w:after="40"/>
      </w:pPr>
      <w:r>
        <w:rPr>
          <w:b w:val="0"/>
          <w:i/>
          <w:color w:val="6B6660"/>
          <w:sz w:val="18"/>
        </w:rPr>
        <w:t>Evidences: [ICTCLD501 PC 3.1] · [ICTCLD501 KE 3] · [ICTCLD501 FS Problem solving]</w:t>
      </w:r>
    </w:p>
    <w:p>
      <w:pPr>
        <w:spacing w:after="120"/>
      </w:pPr>
      <w:r>
        <w:rPr>
          <w:b/>
          <w:color w:val="6B6660"/>
          <w:sz w:val="18"/>
        </w:rPr>
        <w:t xml:space="preserve">Satisfactory when </w:t>
      </w:r>
      <w:r>
        <w:rPr>
          <w:i/>
          <w:color w:val="6B6660"/>
          <w:sz w:val="18"/>
        </w:rPr>
        <w:t>at least three genuine cloud recovery techniques are evaluated — backup and restore, pilot light, warm standby and multi-site active/active are the recognised set, and naming them satisfies KE 3. Each must carry a realistic recovery time and a cost posture. PC 3.1 says 'develop RANGE of solutions': a single proposal with no alternatives has not met it.</w:t>
      </w:r>
    </w:p>
    <w:p>
      <w:pPr>
        <w:spacing w:before="200" w:after="0"/>
      </w:pPr>
      <w:r>
        <w:rPr>
          <w:b/>
          <w:color w:val="1F5A5C"/>
          <w:sz w:val="16"/>
        </w:rPr>
        <w:t>TASK 29</w:t>
      </w:r>
    </w:p>
    <w:p>
      <w:pPr>
        <w:pStyle w:val="Heading2"/>
      </w:pPr>
      <w:r>
        <w:rPr>
          <w:color w:val="1F5A5C"/>
        </w:rPr>
        <w:t>The recommended approach</w:t>
      </w:r>
    </w:p>
    <w:p>
      <w:pPr>
        <w:spacing w:after="120"/>
      </w:pPr>
      <w:r>
        <w:rPr>
          <w:b w:val="0"/>
          <w:i w:val="0"/>
          <w:sz w:val="21"/>
        </w:rPr>
        <w:t>Recommend one of the options from task 28 and align it to the business requirement. Say why it is the right level of protection for this system — not the most protection available. Name the option you would choose if the requirements changed, and what change would make you switch.</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Decision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Recommended strategy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pilot light in a second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meets a 4-hour RTO and a 1-hour RPO without paying for idle capacity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Why not the cheaper option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backup and restore cannot make 4 hours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it fails the requirement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Why not the stronger option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warm standby and active/active both exceed the requirement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requirements ask for the simplest arrangement that meets them</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would change the recommendation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RTO under an hour, or the website becoming transactional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then warm standby becomes the proportionate answer</w:t>
            </w:r>
          </w:p>
        </w:tc>
      </w:tr>
    </w:tbl>
    <w:p/>
    <w:p>
      <w:pPr>
        <w:spacing w:after="40"/>
      </w:pPr>
      <w:r>
        <w:rPr>
          <w:b w:val="0"/>
          <w:i/>
          <w:color w:val="6B6660"/>
          <w:sz w:val="18"/>
        </w:rPr>
        <w:t>Evidences: [ICTCLD501 PC 3.1] · [ICTCLD501 PC 4.1] · [ICTCLD501 FS Problem solving]</w:t>
      </w:r>
    </w:p>
    <w:p>
      <w:pPr>
        <w:spacing w:after="120"/>
      </w:pPr>
      <w:r>
        <w:rPr>
          <w:b/>
          <w:color w:val="6B6660"/>
          <w:sz w:val="18"/>
        </w:rPr>
        <w:t xml:space="preserve">Satisfactory when </w:t>
      </w:r>
      <w:r>
        <w:rPr>
          <w:i/>
          <w:color w:val="6B6660"/>
          <w:sz w:val="18"/>
        </w:rPr>
        <w:t>the recommendation meets the RTO and RPO from task 23 and is justified as proportionate — PC 4.1 is about ALIGNING the recovery to business requirements, which cuts both ways: under-protecting misses the target, over-protecting spends YAT's money on protection it did not ask for. A student who recommends active/active for a 4-hour RTO has not aligned anything.</w:t>
      </w:r>
    </w:p>
    <w:p>
      <w:pPr>
        <w:spacing w:before="200" w:after="0"/>
      </w:pPr>
      <w:r>
        <w:rPr>
          <w:b/>
          <w:color w:val="1F5A5C"/>
          <w:sz w:val="16"/>
        </w:rPr>
        <w:t>TASK 30</w:t>
      </w:r>
    </w:p>
    <w:p>
      <w:pPr>
        <w:pStyle w:val="Heading2"/>
      </w:pPr>
      <w:r>
        <w:rPr>
          <w:color w:val="1F5A5C"/>
        </w:rPr>
        <w:t>Vendor protections and risk prioritisation</w:t>
      </w:r>
    </w:p>
    <w:p>
      <w:pPr>
        <w:spacing w:after="120"/>
      </w:pPr>
      <w:r>
        <w:rPr>
          <w:b w:val="0"/>
          <w:i w:val="0"/>
          <w:sz w:val="21"/>
        </w:rPr>
        <w:t>Come back to the provider protections you identified in task 22, now that you have a strategy. For each risk event from task 25, say what the provider already covers, what your plan has to cover, and in what order you would deal with them.</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Risk event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Provider protection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your plan must add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Priority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Loss of the Sydney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regions fail independently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everything — a second region does not exist until you create it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Data corruption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automated backups and point-in-time restore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copy outside the region, and a decision about restore point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2</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Denial of service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platform-level absorption at the edge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web application firewall and rate limiting from Part A</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Loss of the India log store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regional durability of stored objects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recovery path that keeps the logs in an Indian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4</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Accidental deletion by change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none — this is a YAT action, not a provider event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change discipline, and infrastructure defined as code to rebuild from</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5</w:t>
            </w:r>
          </w:p>
        </w:tc>
      </w:tr>
    </w:tbl>
    <w:p/>
    <w:p>
      <w:pPr>
        <w:spacing w:after="40"/>
      </w:pPr>
      <w:r>
        <w:rPr>
          <w:b w:val="0"/>
          <w:i/>
          <w:color w:val="6B6660"/>
          <w:sz w:val="18"/>
        </w:rPr>
        <w:t>Evidences: [ICTCLD501 PC 3.2]</w:t>
      </w:r>
    </w:p>
    <w:p>
      <w:pPr>
        <w:spacing w:after="120"/>
      </w:pPr>
      <w:r>
        <w:rPr>
          <w:b/>
          <w:color w:val="6B6660"/>
          <w:sz w:val="18"/>
        </w:rPr>
        <w:t xml:space="preserve">Satisfactory when </w:t>
      </w:r>
      <w:r>
        <w:rPr>
          <w:i/>
          <w:color w:val="6B6660"/>
          <w:sz w:val="18"/>
        </w:rPr>
        <w:t>the student prioritises the risks rather than treating them as equal, and the priority order is defensible against the ratings from task 25. The pairing of provider protection against plan responsibility is the substance of PC 3.2.</w:t>
      </w:r>
    </w:p>
    <w:p>
      <w:pPr>
        <w:spacing w:before="200" w:after="0"/>
      </w:pPr>
      <w:r>
        <w:rPr>
          <w:b/>
          <w:color w:val="1F5A5C"/>
          <w:sz w:val="16"/>
        </w:rPr>
        <w:t>TASK 31</w:t>
      </w:r>
    </w:p>
    <w:p>
      <w:pPr>
        <w:pStyle w:val="Heading2"/>
      </w:pPr>
      <w:r>
        <w:rPr>
          <w:color w:val="1F5A5C"/>
        </w:rPr>
        <w:t>Insurance</w:t>
      </w:r>
    </w:p>
    <w:p>
      <w:pPr>
        <w:spacing w:after="120"/>
      </w:pPr>
      <w:r>
        <w:rPr>
          <w:b w:val="0"/>
          <w:i w:val="0"/>
          <w:sz w:val="21"/>
        </w:rPr>
        <w:t>Assess whether external insurance protection is appropriate here, and at what level. This is a real question with a real answer either way — say what you would recommend to YAT and on what basis. If your answer is that it sits outside your scope, say who it belongs to and what you would tell them.</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Cover type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would protect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Suitability here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Cyber liability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costs of a breach of the personal information in enquiry submissions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relevant — the site holds personal information under the Privacy Act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Business interruption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revenue lost while the site is unavailable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limited — YAT's revenue is enrolment, not transactions on the site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Provider service credits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 partial refund of service charges for a breached service level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not insurance; does not restore service or cover YAT's loss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Recommendation to YAT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cyber liability warrants review; the rest is a commercial decision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MTS advises the technical exposure; YAT's business area decides cover</w:t>
            </w:r>
          </w:p>
        </w:tc>
      </w:tr>
    </w:tbl>
    <w:p/>
    <w:p>
      <w:pPr>
        <w:spacing w:after="40"/>
      </w:pPr>
      <w:r>
        <w:rPr>
          <w:b w:val="0"/>
          <w:i/>
          <w:color w:val="6B6660"/>
          <w:sz w:val="18"/>
        </w:rPr>
        <w:t>Evidences: [ICTCLD501 PC 3.3]</w:t>
      </w:r>
    </w:p>
    <w:p>
      <w:pPr>
        <w:spacing w:after="120"/>
      </w:pPr>
      <w:r>
        <w:rPr>
          <w:b/>
          <w:color w:val="6B6660"/>
          <w:sz w:val="18"/>
        </w:rPr>
        <w:t xml:space="preserve">Satisfactory when </w:t>
      </w:r>
      <w:r>
        <w:rPr>
          <w:i/>
          <w:color w:val="6B6660"/>
          <w:sz w:val="18"/>
        </w:rPr>
        <w:t>the student engages with the question rather than skipping it, and reaches a position: what cyber or business-interruption cover would and would not do for this system, and the recommendation to YAT. PC 3.3 asks the student to ASSESS suitability — 'not applicable' with no reasoning has not met it, but a reasoned 'this is YAT's commercial decision, and here is what they need to know' has.</w:t>
      </w:r>
    </w:p>
    <w:p>
      <w:pPr>
        <w:spacing w:before="200" w:after="0"/>
      </w:pPr>
      <w:r>
        <w:rPr>
          <w:b/>
          <w:color w:val="1F5A5C"/>
          <w:sz w:val="16"/>
        </w:rPr>
        <w:t>TASK 32</w:t>
      </w:r>
    </w:p>
    <w:p>
      <w:pPr>
        <w:pStyle w:val="Heading2"/>
      </w:pPr>
      <w:r>
        <w:rPr>
          <w:color w:val="1F5A5C"/>
        </w:rPr>
        <w:t>Other recovery components</w:t>
      </w:r>
    </w:p>
    <w:p>
      <w:pPr>
        <w:spacing w:after="120"/>
      </w:pPr>
      <w:r>
        <w:rPr>
          <w:b w:val="0"/>
          <w:i w:val="0"/>
          <w:sz w:val="21"/>
        </w:rPr>
        <w:t>A recovery plan is more than infrastructure. Identify the other components this plan needs to work at 3am — the people, the access, the contacts, the communications, and anything else without which the technical steps cannot be carried out.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is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 plan fails without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Invocation authority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who decides this is a disaster and declares it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without it the team waits, and the clock is running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Access to the second region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credentials and permissions that work when the primary is gone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recovery cannot start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Contact list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on-call ICT, Sam Walker, MTS, the provider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nobody can be reached out of hours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Stakeholder communications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Marketing tells prospective students while the site is down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reputational damage compounds the outage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An off-region copy of this plan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document itself, readable when Sydney is unavailable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plan is inaccessible exactly when it is needed</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DNS control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ability to repoint the public domain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second region can be running and still unreachable</w:t>
            </w:r>
          </w:p>
        </w:tc>
      </w:tr>
    </w:tbl>
    <w:p/>
    <w:p>
      <w:pPr>
        <w:spacing w:after="40"/>
      </w:pPr>
      <w:r>
        <w:rPr>
          <w:b w:val="0"/>
          <w:i/>
          <w:color w:val="6B6660"/>
          <w:sz w:val="18"/>
        </w:rPr>
        <w:t>Evidences: [ICTCLD501 PC 3.4]</w:t>
      </w:r>
    </w:p>
    <w:p>
      <w:pPr>
        <w:spacing w:after="120"/>
      </w:pPr>
      <w:r>
        <w:rPr>
          <w:b/>
          <w:color w:val="6B6660"/>
          <w:sz w:val="18"/>
        </w:rPr>
        <w:t xml:space="preserve">Satisfactory when </w:t>
      </w:r>
      <w:r>
        <w:rPr>
          <w:i/>
          <w:color w:val="6B6660"/>
          <w:sz w:val="18"/>
        </w:rPr>
        <w:t>the student identifies non-technical components — who has authority to invoke, who holds the credentials, how stakeholders are told, and where the plan itself can be read when the environment is down. The last one is the test of whether they have thought about it: a plan stored only in the failed region is not a plan.</w:t>
      </w:r>
    </w:p>
    <w:p>
      <w:pPr>
        <w:spacing w:before="200" w:after="0"/>
      </w:pPr>
      <w:r>
        <w:rPr>
          <w:b/>
          <w:color w:val="1F5A5C"/>
          <w:sz w:val="16"/>
        </w:rPr>
        <w:t>TASK 33</w:t>
      </w:r>
    </w:p>
    <w:p>
      <w:pPr>
        <w:pStyle w:val="Heading2"/>
      </w:pPr>
      <w:r>
        <w:rPr>
          <w:color w:val="1F5A5C"/>
        </w:rPr>
        <w:t>Detection and alerting</w:t>
      </w:r>
    </w:p>
    <w:p>
      <w:pPr>
        <w:spacing w:after="120"/>
      </w:pPr>
      <w:r>
        <w:rPr>
          <w:b w:val="0"/>
          <w:i w:val="0"/>
          <w:sz w:val="21"/>
        </w:rPr>
        <w:t>A recovery plan starts when someone finds out. Say how a region-level disaster affecting this website would be detected, what would alert whom, and how long you would expect detection to take. Remember detection has to work from outside the region that has failed.</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Signal</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raises it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 is alerted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Expected detection time</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External endpoint health check</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public URL stops responding from outside the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on-call 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minutes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Edge origin errors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content delivery network cannot reach its origin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on-call 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minutes</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Provider service health notification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 declared regional service event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 and Sam Walker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variable — not relied on as the trigger</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Audit-log write failures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events stop being written to the India store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on-call 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the hour</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Detection counts against RTO</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4-hour clock starts at the event, not at the alert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budget it explicitly</w:t>
            </w:r>
          </w:p>
        </w:tc>
      </w:tr>
    </w:tbl>
    <w:p/>
    <w:p>
      <w:pPr>
        <w:spacing w:after="40"/>
      </w:pPr>
      <w:r>
        <w:rPr>
          <w:b w:val="0"/>
          <w:i/>
          <w:color w:val="6B6660"/>
          <w:sz w:val="18"/>
        </w:rPr>
        <w:t>Evidences: [ICTCLD501 KE 6] · [ICTCLD501 PC 4.2]</w:t>
      </w:r>
    </w:p>
    <w:p>
      <w:pPr>
        <w:spacing w:after="120"/>
      </w:pPr>
      <w:r>
        <w:rPr>
          <w:b/>
          <w:color w:val="6B6660"/>
          <w:sz w:val="18"/>
        </w:rPr>
        <w:t xml:space="preserve">Satisfactory when </w:t>
      </w:r>
      <w:r>
        <w:rPr>
          <w:i/>
          <w:color w:val="6B6660"/>
          <w:sz w:val="18"/>
        </w:rPr>
        <w:t>the student proposes detection that does not depend on the failed region — an external health check or a monitor in the second region — and names who is alerted. Detection time counts against the RTO, and a strong answer says so. Monitoring configured only inside the primary region has not met the item.</w:t>
      </w:r>
    </w:p>
    <w:p>
      <w:pPr>
        <w:spacing w:before="200" w:after="0"/>
      </w:pPr>
      <w:r>
        <w:rPr>
          <w:b/>
          <w:color w:val="1F5A5C"/>
          <w:sz w:val="16"/>
        </w:rPr>
        <w:t>TASK 34</w:t>
      </w:r>
    </w:p>
    <w:p>
      <w:pPr>
        <w:pStyle w:val="Heading2"/>
      </w:pPr>
      <w:r>
        <w:rPr>
          <w:color w:val="1F5A5C"/>
        </w:rPr>
        <w:t>The recovery steps</w:t>
      </w:r>
    </w:p>
    <w:p>
      <w:pPr>
        <w:spacing w:after="120"/>
      </w:pPr>
      <w:r>
        <w:rPr>
          <w:b w:val="0"/>
          <w:i w:val="0"/>
          <w:sz w:val="21"/>
        </w:rPr>
        <w:t>Write the recovery steps for your recommended strategy — what is actually done, in order, by whom, and how long each step takes. This is the section someone follows under pressure. Number the steps, give each a duration, and make the total add up to less than your RTO.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Step</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Duration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Confirm the event and declare a disaster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on-call ICT → Sam Walker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15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2</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Notify stakeholders; Marketing publishes the holding message</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Sam Walker / Marketing</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15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Deploy the infrastructure-as-code stack into the second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 with MTS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45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4</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Promote the replicated database in the second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30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5</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Restore media from the replicated bucket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30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6</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Repoint DNS and the content delivery network origin to the second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30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7</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Verify the site, the enquiry form and the audit-log path</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YAT ICT + MTS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30 min</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8</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Confirm recovery and stand down; begin the incident record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Sam Walker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15 min</w:t>
            </w:r>
          </w:p>
        </w:tc>
      </w:tr>
    </w:tbl>
    <w:p/>
    <w:p>
      <w:pPr>
        <w:spacing w:after="40"/>
      </w:pPr>
      <w:r>
        <w:rPr>
          <w:b w:val="0"/>
          <w:i/>
          <w:color w:val="6B6660"/>
          <w:sz w:val="18"/>
        </w:rPr>
        <w:t>Evidences: [ICTCLD501 PC 4.2] · [ICTCLD501 FS Planning and organising]</w:t>
      </w:r>
    </w:p>
    <w:p>
      <w:pPr>
        <w:spacing w:after="120"/>
      </w:pPr>
      <w:r>
        <w:rPr>
          <w:b/>
          <w:color w:val="6B6660"/>
          <w:sz w:val="18"/>
        </w:rPr>
        <w:t xml:space="preserve">Satisfactory when </w:t>
      </w:r>
      <w:r>
        <w:rPr>
          <w:i/>
          <w:color w:val="6B6660"/>
          <w:sz w:val="18"/>
        </w:rPr>
        <w:t>the steps are sequenced, assigned to a role, and carry timings that sum to within the RTO from task 23. PC 4.2 names timelines, key features and service providers explicitly — all three must appear. Steps with no durations cannot be checked against the objective and have not met the item.</w:t>
      </w:r>
    </w:p>
    <w:p>
      <w:pPr>
        <w:spacing w:before="200" w:after="0"/>
      </w:pPr>
      <w:r>
        <w:rPr>
          <w:b/>
          <w:color w:val="1F5A5C"/>
          <w:sz w:val="16"/>
        </w:rPr>
        <w:t>TASK 35</w:t>
      </w:r>
    </w:p>
    <w:p>
      <w:pPr>
        <w:pStyle w:val="Heading2"/>
      </w:pPr>
      <w:r>
        <w:rPr>
          <w:color w:val="1F5A5C"/>
        </w:rPr>
        <w:t>How the plan meets the recovery objectives</w:t>
      </w:r>
    </w:p>
    <w:p>
      <w:pPr>
        <w:spacing w:after="120"/>
      </w:pPr>
      <w:r>
        <w:rPr>
          <w:b w:val="0"/>
          <w:i w:val="0"/>
          <w:sz w:val="21"/>
        </w:rPr>
        <w:t>Show that your plan actually achieves the objectives you set in task 23. Add up your recovery steps against the RTO, and explain what mechanism delivers the RPO. If the numbers do not work, change the plan — do not change the objective.</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Objective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Target</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plan achieves</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The mechanism</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RTO</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3 hours 30 min of steps plus detection — inside the target with margin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infrastructure as code deploys the second region rather than rebuilding by hand</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RPO</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1 hour</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minutes, not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cross-region replication of the database, running continuously</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Media RPO</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 24 hours</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within a day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cross-region replication of the media bucket</w:t>
            </w:r>
          </w:p>
        </w:tc>
      </w:tr>
      <w:tr>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India log residency during recovery</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maintained</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logs recover into an Indian region, never into the DR region</w:t>
            </w:r>
          </w:p>
        </w:tc>
        <w:tc>
          <w:tcPr>
            <w:tcW w:type="dxa" w:w="2616"/>
            <w:tcBorders>
              <w:top w:val="single" w:sz="4" w:space="0" w:color="E4DED3"/>
              <w:left w:val="single" w:sz="4" w:space="0" w:color="E4DED3"/>
              <w:bottom w:val="single" w:sz="4" w:space="0" w:color="E4DED3"/>
              <w:right w:val="single" w:sz="4" w:space="0" w:color="E4DED3"/>
            </w:tcBorders>
          </w:tcPr>
          <w:p>
            <w:r>
              <w:rPr>
                <w:color w:val="1F5A5C"/>
                <w:sz w:val="18"/>
              </w:rPr>
              <w:t>the log store is separately deployed and region-parameterised</w:t>
            </w:r>
          </w:p>
        </w:tc>
      </w:tr>
    </w:tbl>
    <w:p/>
    <w:p>
      <w:pPr>
        <w:spacing w:after="40"/>
      </w:pPr>
      <w:r>
        <w:rPr>
          <w:b w:val="0"/>
          <w:i/>
          <w:color w:val="6B6660"/>
          <w:sz w:val="18"/>
        </w:rPr>
        <w:t>Evidences: [ICTCLD501 PE 3] · [ICTCLD501 KE 5]</w:t>
      </w:r>
    </w:p>
    <w:p>
      <w:pPr>
        <w:spacing w:after="120"/>
      </w:pPr>
      <w:r>
        <w:rPr>
          <w:b/>
          <w:color w:val="6B6660"/>
          <w:sz w:val="18"/>
        </w:rPr>
        <w:t xml:space="preserve">Satisfactory when </w:t>
      </w:r>
      <w:r>
        <w:rPr>
          <w:i/>
          <w:color w:val="6B6660"/>
          <w:sz w:val="18"/>
        </w:rPr>
        <w:t>the student demonstrates the arithmetic — the summed step durations plus a detection allowance against the RTO — and names the specific mechanism that delivers the RPO (continuous or near-continuous database replication, not nightly backups). PE 3 requires the plan to show the WAYS it reaches the targets; an assertion that it meets them has not met the item.</w:t>
      </w:r>
    </w:p>
    <w:p>
      <w:pPr>
        <w:spacing w:before="200" w:after="0"/>
      </w:pPr>
      <w:r>
        <w:rPr>
          <w:b/>
          <w:color w:val="1F5A5C"/>
          <w:sz w:val="16"/>
        </w:rPr>
        <w:t>TASK 36</w:t>
      </w:r>
    </w:p>
    <w:p>
      <w:pPr>
        <w:pStyle w:val="Heading2"/>
      </w:pPr>
      <w:r>
        <w:rPr>
          <w:color w:val="1F5A5C"/>
        </w:rPr>
        <w:t>The standards this plan reflects</w:t>
      </w:r>
    </w:p>
    <w:p>
      <w:pPr>
        <w:spacing w:after="120"/>
      </w:pPr>
      <w:r>
        <w:rPr>
          <w:b w:val="0"/>
          <w:i w:val="0"/>
          <w:sz w:val="21"/>
        </w:rPr>
        <w:t>Name the information-security and business-continuity standards that informed this plan, and for each say where it shows up in what you have written. A standard you cannot point to in your own plan is one you have listed rather than applied.</w:t>
      </w:r>
    </w:p>
    <w:p>
      <w:pPr>
        <w:spacing w:after="60"/>
      </w:pPr>
      <w:r>
        <w:rPr>
          <w:b/>
          <w:i w:val="0"/>
          <w:sz w:val="19"/>
        </w:rPr>
        <w:t>Related resources</w:t>
      </w:r>
    </w:p>
    <w:p>
      <w:pPr>
        <w:spacing w:after="60"/>
        <w:ind w:left="340"/>
      </w:pPr>
      <w:r>
        <w:rPr>
          <w:sz w:val="19"/>
        </w:rPr>
        <w:t xml:space="preserve">•  </w:t>
      </w:r>
      <w:hyperlink r:id="rId27">
        <w:r>
          <w:rPr>
            <w:sz w:val="19"/>
            <w:color w:val="0563C1"/>
            <w:u w:val="single"/>
          </w:rPr>
          <w:t>Industry Standards — the information-security and continuity standards YAT works to</w:t>
        </w:r>
      </w:hyperlink>
    </w:p>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Standard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it covers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Where it shows up in your plan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ISO/IEC 27001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information security management system — risk-based control selection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risk assessment in task 25 and the ratings method behind it</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ISO/IEC 27002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control set itself — the practices an organisation implements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backup, access control and the handling of personal information during recovery</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ISO/IEC 27031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ICT readiness for business continuity — the standard closest to this document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recovery objectives, strategy and step-by-step plan in tasks 4 to 16</w:t>
            </w:r>
          </w:p>
        </w:tc>
      </w:tr>
    </w:tbl>
    <w:p/>
    <w:p>
      <w:pPr>
        <w:spacing w:after="40"/>
      </w:pPr>
      <w:r>
        <w:rPr>
          <w:b w:val="0"/>
          <w:i/>
          <w:color w:val="6B6660"/>
          <w:sz w:val="18"/>
        </w:rPr>
        <w:t>Evidences: [ICTCLD501 KE 4]</w:t>
      </w:r>
    </w:p>
    <w:p>
      <w:pPr>
        <w:spacing w:after="120"/>
      </w:pPr>
      <w:r>
        <w:rPr>
          <w:b/>
          <w:color w:val="6B6660"/>
          <w:sz w:val="18"/>
        </w:rPr>
        <w:t xml:space="preserve">Satisfactory when </w:t>
      </w:r>
      <w:r>
        <w:rPr>
          <w:i/>
          <w:color w:val="6B6660"/>
          <w:sz w:val="18"/>
        </w:rPr>
        <w:t>ISO 27001, ISO 27002 and ISO 27031 are all named — that trio is the whole of KE 4 — and each is tied to a specific section of the student's own plan. A definition of each standard with no link to the plan has not met the contextual bar this cluster applies to knowledge evidence.</w:t>
      </w:r>
    </w:p>
    <w:p>
      <w:pPr>
        <w:spacing w:before="200" w:after="0"/>
      </w:pPr>
      <w:r>
        <w:rPr>
          <w:b/>
          <w:color w:val="1F5A5C"/>
          <w:sz w:val="16"/>
        </w:rPr>
        <w:t>TASK 37</w:t>
      </w:r>
    </w:p>
    <w:p>
      <w:pPr>
        <w:pStyle w:val="Heading2"/>
      </w:pPr>
      <w:r>
        <w:rPr>
          <w:color w:val="1F5A5C"/>
        </w:rPr>
        <w:t>Assemble the Disaster Recovery Plan</w:t>
      </w:r>
    </w:p>
    <w:p>
      <w:pPr>
        <w:spacing w:after="120"/>
      </w:pPr>
      <w:r>
        <w:rPr>
          <w:b w:val="0"/>
          <w:i w:val="0"/>
          <w:sz w:val="21"/>
        </w:rPr>
        <w:t>Now build the document. Open the YAT Disaster Recovery Plan template and copy your answers across using the map below — your work is done, this is transcription. Write the Executive Summary last, once you can see the whole plan. Submit both this worksheet and the completed plan. You will walk Sam Walker through the plan in Part C, and lodge it formally once it is approved — so this is the version you present, not yet the lodged record.</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Template section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Comes from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Done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 Executive Summary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written last, from the whole plan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Engagement Context and Scope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20, and Part A's engagement framing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3.1 Existing recovery arrangements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3.2 Vendor provisions and SLAs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4.1 Recovery objectives (RTO / RPO)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23</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4.2 Data managed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24</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4.3 Risk assessment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25</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4.4 Plan exclusions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26</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4.5 Recording the analysis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27</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5.1 Options evaluated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28</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5.2 Recommended approach</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29</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5.3 Vendor protections and risk prioritisation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30</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5.4 Insurance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31</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5.5 Other recovery components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32</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6.1 Detection and alerting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33</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6.2 Recovery steps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34</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6.3 Meeting the recovery objectives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task 35</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7. Plan Validation and Approval</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completed at your Part C presentation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[ICTCLD501 PC 4.3] · [ICTCLD501 PE 1] · [ICTCLD501 FS Self-management]</w:t>
      </w:r>
    </w:p>
    <w:p>
      <w:pPr>
        <w:spacing w:after="120"/>
      </w:pPr>
      <w:r>
        <w:rPr>
          <w:b/>
          <w:color w:val="6B6660"/>
          <w:sz w:val="18"/>
        </w:rPr>
        <w:t xml:space="preserve">Satisfactory when </w:t>
      </w:r>
      <w:r>
        <w:rPr>
          <w:i/>
          <w:color w:val="6B6660"/>
          <w:sz w:val="18"/>
        </w:rPr>
        <w:t>the completed plan is a coherent document containing at least three major risk events (PE 1) and is documented to the YAT reporting standard the template sets (PC 4.3, and the reason `[ICTCLD501 AC 3]` requires a template at all). The assessor marks the SUBMITTED PLAN for this item; the worksheet is the evidence that the thinking behind it is the student's own. A plan whose content differs materially from the worksheet is worth a conversation before it is marked.</w:t>
      </w:r>
    </w:p>
    <w:p>
      <w:pPr>
        <w:pStyle w:val="Heading1"/>
      </w:pPr>
      <w:r>
        <w:t>Knowledge questions</w:t>
      </w:r>
    </w:p>
    <w:p>
      <w:pPr>
        <w:spacing w:after="200"/>
      </w:pPr>
      <w:r>
        <w:rPr>
          <w:b w:val="0"/>
          <w:i/>
          <w:color w:val="6B6660"/>
          <w:sz w:val="19"/>
        </w:rPr>
        <w:t>Answer these about your own plan. Generic answers about disaster recovery will not pass.</w:t>
      </w:r>
    </w:p>
    <w:p>
      <w:pPr>
        <w:spacing w:before="200" w:after="0"/>
      </w:pPr>
      <w:r>
        <w:rPr>
          <w:b/>
          <w:color w:val="1F5A5C"/>
          <w:sz w:val="16"/>
        </w:rPr>
        <w:t>QUESTION 5</w:t>
      </w:r>
    </w:p>
    <w:p>
      <w:pPr>
        <w:pStyle w:val="Heading2"/>
      </w:pPr>
      <w:r>
        <w:rPr>
          <w:color w:val="1F5A5C"/>
        </w:rPr>
        <w:t>What is distinctive about the risk environment of a public, cloud-hosted website?</w:t>
      </w:r>
    </w:p>
    <w:p>
      <w:pPr>
        <w:spacing w:after="120"/>
      </w:pPr>
      <w:r>
        <w:rPr>
          <w:b w:val="0"/>
          <w:i w:val="0"/>
          <w:sz w:val="21"/>
        </w:rPr>
        <w:t>Explain what makes this system's risk environment different from an internal, authenticated system like the LMS — and say how your three major risk events in task 25 reflect that difference.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anyone on the internet can reach it; there is no login to keep anyone out</w:t>
            </w:r>
          </w:p>
          <w:p>
            <w:pPr>
              <w:jc w:val="left"/>
            </w:pPr>
            <w:r>
              <w:rPr>
                <w:b w:val="0"/>
                <w:i w:val="0"/>
                <w:color w:val="1F5A5C"/>
                <w:sz w:val="19"/>
              </w:rPr>
              <w:t>•  hostile and automated traffic is continuous rather than exceptional</w:t>
            </w:r>
          </w:p>
          <w:p>
            <w:pPr>
              <w:jc w:val="left"/>
            </w:pPr>
            <w:r>
              <w:rPr>
                <w:b w:val="0"/>
                <w:i w:val="0"/>
                <w:color w:val="1F5A5C"/>
                <w:sz w:val="19"/>
              </w:rPr>
              <w:t>•  reputational exposure is immediate and public — an outage is visible to the market YAT is trying to win</w:t>
            </w:r>
          </w:p>
          <w:p>
            <w:pPr>
              <w:jc w:val="left"/>
            </w:pPr>
            <w:r>
              <w:rPr>
                <w:b w:val="0"/>
                <w:i w:val="0"/>
                <w:color w:val="1F5A5C"/>
                <w:sz w:val="19"/>
              </w:rPr>
              <w:t>•  the shared-responsibility model puts the region and the workload's recovery on YAT, not the provider</w:t>
            </w:r>
          </w:p>
          <w:p>
            <w:pPr>
              <w:jc w:val="left"/>
            </w:pPr>
            <w:r>
              <w:rPr>
                <w:b w:val="0"/>
                <w:i w:val="0"/>
                <w:color w:val="1F5A5C"/>
                <w:sz w:val="19"/>
              </w:rPr>
              <w:t>•  the India obligations add a regulatory risk an Australian-only system does not carry</w:t>
            </w:r>
          </w:p>
        </w:tc>
      </w:tr>
    </w:tbl>
    <w:p/>
    <w:p>
      <w:pPr>
        <w:spacing w:after="40"/>
      </w:pPr>
      <w:r>
        <w:rPr>
          <w:b w:val="0"/>
          <w:i/>
          <w:color w:val="6B6660"/>
          <w:sz w:val="18"/>
        </w:rPr>
        <w:t>Evidences: [ICTCLD501 KE 1]</w:t>
      </w:r>
    </w:p>
    <w:p>
      <w:pPr>
        <w:spacing w:after="120"/>
      </w:pPr>
      <w:r>
        <w:rPr>
          <w:b/>
          <w:color w:val="6B6660"/>
          <w:sz w:val="18"/>
        </w:rPr>
        <w:t xml:space="preserve">Satisfactory when </w:t>
      </w:r>
      <w:r>
        <w:rPr>
          <w:i/>
          <w:color w:val="6B6660"/>
          <w:sz w:val="18"/>
        </w:rPr>
        <w:t>the student identifies public, unauthenticated internet exposure as the distinguishing feature — anyone can reach it, hostile traffic is constant, and the attack surface is not bounded by an identity system — and connects that to their own risk events. A generic list of cloud risks has not met the contextual bar.</w:t>
      </w:r>
    </w:p>
    <w:p>
      <w:pPr>
        <w:spacing w:before="200" w:after="0"/>
      </w:pPr>
      <w:r>
        <w:rPr>
          <w:b/>
          <w:color w:val="1F5A5C"/>
          <w:sz w:val="16"/>
        </w:rPr>
        <w:t>QUESTION 6</w:t>
      </w:r>
    </w:p>
    <w:p>
      <w:pPr>
        <w:pStyle w:val="Heading2"/>
      </w:pPr>
      <w:r>
        <w:rPr>
          <w:color w:val="1F5A5C"/>
        </w:rPr>
        <w:t>What method did you use to identify and rate the risks, and why does it suit this job?</w:t>
      </w:r>
    </w:p>
    <w:p>
      <w:pPr>
        <w:spacing w:after="120"/>
      </w:pPr>
      <w:r>
        <w:rPr>
          <w:b w:val="0"/>
          <w:i w:val="0"/>
          <w:sz w:val="21"/>
        </w:rPr>
        <w:t>Name the method behind your task 25 ratings and explain why it is appropriate here rather than something more or less formal.</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a likelihood × consequence matrix, with the scales stated</w:t>
            </w:r>
          </w:p>
          <w:p>
            <w:pPr>
              <w:jc w:val="left"/>
            </w:pPr>
            <w:r>
              <w:rPr>
                <w:b w:val="0"/>
                <w:i w:val="0"/>
                <w:color w:val="1F5A5C"/>
                <w:sz w:val="19"/>
              </w:rPr>
              <w:t>•  inputs: the infrastructure specification, the consultation notes, and the incident history YAT has</w:t>
            </w:r>
          </w:p>
          <w:p>
            <w:pPr>
              <w:jc w:val="left"/>
            </w:pPr>
            <w:r>
              <w:rPr>
                <w:b w:val="0"/>
                <w:i w:val="0"/>
                <w:color w:val="1F5A5C"/>
                <w:sz w:val="19"/>
              </w:rPr>
              <w:t>•  why it suits: proportionate, repeatable by someone else, and defensible to Sam Walker</w:t>
            </w:r>
          </w:p>
          <w:p>
            <w:pPr>
              <w:jc w:val="left"/>
            </w:pPr>
            <w:r>
              <w:rPr>
                <w:b w:val="0"/>
                <w:i w:val="0"/>
                <w:color w:val="1F5A5C"/>
                <w:sz w:val="19"/>
              </w:rPr>
              <w:t>•  its limit: likelihood for rare regional events is a judgement, not a measurement</w:t>
            </w:r>
          </w:p>
        </w:tc>
      </w:tr>
    </w:tbl>
    <w:p/>
    <w:p>
      <w:pPr>
        <w:spacing w:after="40"/>
      </w:pPr>
      <w:r>
        <w:rPr>
          <w:b w:val="0"/>
          <w:i/>
          <w:color w:val="6B6660"/>
          <w:sz w:val="18"/>
        </w:rPr>
        <w:t>Evidences: [ICTCLD501 KE 2]</w:t>
      </w:r>
    </w:p>
    <w:p>
      <w:pPr>
        <w:spacing w:after="120"/>
      </w:pPr>
      <w:r>
        <w:rPr>
          <w:b/>
          <w:color w:val="6B6660"/>
          <w:sz w:val="18"/>
        </w:rPr>
        <w:t xml:space="preserve">Satisfactory when </w:t>
      </w:r>
      <w:r>
        <w:rPr>
          <w:i/>
          <w:color w:val="6B6660"/>
          <w:sz w:val="18"/>
        </w:rPr>
        <w:t>a named method — a likelihood × consequence matrix is the expected answer — with reasoning about why that level of formality suits an engagement of this size. KE 2 is about data analysis methodologies to determine the risk environment; the student must be able to say what they did, not just what they concluded.</w:t>
      </w:r>
    </w:p>
    <w:p>
      <w:pPr>
        <w:spacing w:before="200" w:after="0"/>
      </w:pPr>
      <w:r>
        <w:rPr>
          <w:b/>
          <w:color w:val="1F5A5C"/>
          <w:sz w:val="16"/>
        </w:rPr>
        <w:t>QUESTION 7</w:t>
      </w:r>
    </w:p>
    <w:p>
      <w:pPr>
        <w:pStyle w:val="Heading2"/>
      </w:pPr>
      <w:r>
        <w:rPr>
          <w:color w:val="1F5A5C"/>
        </w:rPr>
        <w:t>Explain the cloud disaster recovery techniques available, and why yours fits this website.</w:t>
      </w:r>
    </w:p>
    <w:p>
      <w:pPr>
        <w:spacing w:after="120"/>
      </w:pPr>
      <w:r>
        <w:rPr>
          <w:b w:val="0"/>
          <w:i w:val="0"/>
          <w:sz w:val="21"/>
        </w:rPr>
        <w:t>Set out the recovery techniques cloud environments make available, and explain why the one you recommended in task 29 fits this website's objectives better than the others.</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left"/>
            </w:pPr>
            <w:r>
              <w:rPr>
                <w:b/>
                <w:i w:val="0"/>
                <w:color w:val="1F5A5C"/>
                <w:sz w:val="19"/>
              </w:rPr>
              <w:t>Key points the answer should touch on:</w:t>
            </w:r>
          </w:p>
          <w:p>
            <w:pPr>
              <w:jc w:val="left"/>
            </w:pPr>
            <w:r>
              <w:rPr>
                <w:b w:val="0"/>
                <w:i w:val="0"/>
                <w:color w:val="1F5A5C"/>
                <w:sz w:val="19"/>
              </w:rPr>
              <w:t>•  the four techniques and where each sits on the cost-versus-recovery-time curve</w:t>
            </w:r>
          </w:p>
          <w:p>
            <w:pPr>
              <w:jc w:val="left"/>
            </w:pPr>
            <w:r>
              <w:rPr>
                <w:b w:val="0"/>
                <w:i w:val="0"/>
                <w:color w:val="1F5A5C"/>
                <w:sz w:val="19"/>
              </w:rPr>
              <w:t>•  RTO and RPO are what select between them, not preference</w:t>
            </w:r>
          </w:p>
          <w:p>
            <w:pPr>
              <w:jc w:val="left"/>
            </w:pPr>
            <w:r>
              <w:rPr>
                <w:b w:val="0"/>
                <w:i w:val="0"/>
                <w:color w:val="1F5A5C"/>
                <w:sz w:val="19"/>
              </w:rPr>
              <w:t>•  why pilot light fits a 4-hour RTO on a read-heavy public site</w:t>
            </w:r>
          </w:p>
          <w:p>
            <w:pPr>
              <w:jc w:val="left"/>
            </w:pPr>
            <w:r>
              <w:rPr>
                <w:b w:val="0"/>
                <w:i w:val="0"/>
                <w:color w:val="1F5A5C"/>
                <w:sz w:val="19"/>
              </w:rPr>
              <w:t>•  what would move the answer: a tighter RTO, or the site becoming transactional</w:t>
            </w:r>
          </w:p>
        </w:tc>
      </w:tr>
    </w:tbl>
    <w:p/>
    <w:p>
      <w:pPr>
        <w:spacing w:after="40"/>
      </w:pPr>
      <w:r>
        <w:rPr>
          <w:b w:val="0"/>
          <w:i/>
          <w:color w:val="6B6660"/>
          <w:sz w:val="18"/>
        </w:rPr>
        <w:t>Evidences: [ICTCLD501 KE 3] · [ICTCLD501 KE 5]</w:t>
      </w:r>
    </w:p>
    <w:p>
      <w:pPr>
        <w:spacing w:after="120"/>
      </w:pPr>
      <w:r>
        <w:rPr>
          <w:b/>
          <w:color w:val="6B6660"/>
          <w:sz w:val="18"/>
        </w:rPr>
        <w:t xml:space="preserve">Satisfactory when </w:t>
      </w:r>
      <w:r>
        <w:rPr>
          <w:i/>
          <w:color w:val="6B6660"/>
          <w:sz w:val="18"/>
        </w:rPr>
        <w:t>the recognised set is described — backup and restore, pilot light, warm standby, multi-site — with the RTO/RPO trade-off understood, and the student's own choice argued against their objectives. This is KE 3 and KE 5 together: the techniques, and the objectives they are selected against.</w:t>
      </w:r>
    </w:p>
    <w:p>
      <w:pPr>
        <w:pStyle w:val="Heading1"/>
      </w:pPr>
      <w:r>
        <w:t>Part C — Presentation and approval</w:t>
      </w:r>
    </w:p>
    <w:p>
      <w:pPr>
        <w:spacing w:after="160"/>
      </w:pPr>
      <w:r>
        <w:rPr>
          <w:b w:val="0"/>
          <w:i w:val="0"/>
          <w:sz w:val="21"/>
        </w:rPr>
        <w:t>This is the approval gate. You walk Sam Walker (YAT ICT Manager, role-played by your assessor) through the design you produced in Part A and the disaster recovery plan you produced in Part B, answer questions on both, respond to the feedback you are given, lodge the plan and obtain sign-off.</w:t>
      </w:r>
    </w:p>
    <w:p>
      <w:pPr>
        <w:spacing w:after="160"/>
      </w:pPr>
      <w:r>
        <w:rPr>
          <w:b w:val="0"/>
          <w:i w:val="0"/>
          <w:sz w:val="21"/>
        </w:rPr>
        <w:t>Completing this worksheet is not the assessment. Presenting is. The first two tasks are your preparation and nothing in them is marked — they exist so you walk in ready. Everything from task 3 onward is a record of what actually happened in the room.</w:t>
      </w:r>
    </w:p>
    <w:p>
      <w:pPr>
        <w:spacing w:after="160"/>
      </w:pPr>
      <w:r>
        <w:rPr>
          <w:b w:val="0"/>
          <w:i w:val="0"/>
          <w:sz w:val="21"/>
        </w:rPr>
        <w:t>There is no slide deck to build. You are walking your reader through two documents you have already written, which is what a consultant does. Bring them, printed or on screen, and know your way around them.</w:t>
      </w:r>
    </w:p>
    <w:p>
      <w:pPr>
        <w:spacing w:after="60"/>
      </w:pPr>
      <w:r>
        <w:rPr>
          <w:b/>
          <w:i w:val="0"/>
          <w:sz w:val="19"/>
        </w:rPr>
        <w:t>The session</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Format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in person on campus, or by video conference — confirm which with your assessor</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Duration</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10–15 minutes walking through, then about 5 minutes of questions, feedback and sign-off</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Bring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completed Part A worksheet and your completed Disaster Recovery Plan</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Submit beforehand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both documents, at least 48 hours before the session, so Sam Walker has read them</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Who is in the room</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 and Sam Walker (your assessor). Sam has read the documents but will ask you to explain the reasoning behind them</w:t>
            </w:r>
          </w:p>
        </w:tc>
      </w:tr>
    </w:tbl>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the lodgement protocol a completed engagement document follows</w:t>
        </w:r>
      </w:hyperlink>
    </w:p>
    <w:p>
      <w:pPr>
        <w:spacing w:after="60"/>
        <w:ind w:left="340"/>
      </w:pPr>
      <w:r>
        <w:rPr>
          <w:sz w:val="19"/>
        </w:rPr>
        <w:t xml:space="preserve">•  </w:t>
      </w:r>
      <w:hyperlink r:id="rId21">
        <w:r>
          <w:rPr>
            <w:sz w:val="19"/>
            <w:color w:val="0563C1"/>
            <w:u w:val="single"/>
          </w:rPr>
          <w:t>Engagement Role Brief — who signs off what on this engagement</w:t>
        </w:r>
      </w:hyperlink>
    </w:p>
    <w:p/>
    <w:p>
      <w:pPr>
        <w:spacing w:before="200" w:after="0"/>
      </w:pPr>
      <w:r>
        <w:rPr>
          <w:b/>
          <w:color w:val="1F5A5C"/>
          <w:sz w:val="16"/>
        </w:rPr>
        <w:t>TASK 38</w:t>
      </w:r>
    </w:p>
    <w:p>
      <w:pPr>
        <w:pStyle w:val="Heading2"/>
      </w:pPr>
      <w:r>
        <w:rPr>
          <w:color w:val="1F5A5C"/>
        </w:rPr>
        <w:t>Plan your walkthrough</w:t>
      </w:r>
    </w:p>
    <w:p>
      <w:pPr>
        <w:spacing w:after="120"/>
      </w:pPr>
      <w:r>
        <w:rPr>
          <w:b w:val="0"/>
          <w:i w:val="0"/>
          <w:sz w:val="21"/>
        </w:rPr>
        <w:t>Preparation — not assessed. Nobody marks this table; it exists so you are not improvising in front of your client. Plan the order you will take Sam through the two documents, and for each part write down the ONE point you want Sam to understand. You have 10 to 15 minutes, which is not long enough to read your work out — so decide what matters.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cover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The one point Sam should take away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Roughly how long</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Why the engagement exists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India campus makes the website the enrolment front door — that is why any of this is worth doing</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web-scale design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edge layer answers the latency requirement; the existing platform is kept</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microservice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log obligation is met by a separate service so it cannot affect the website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risks you assessed</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these are the three events worth planning for, and why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2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recovery strategy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pilot light meets the 4-hour target without paying for idle capacity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3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are asking for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approval to proceed to implementation</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 min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What you deliberately did not do</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the exclusions, so Sam is not surprised later</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1 min</w:t>
            </w:r>
          </w:p>
        </w:tc>
      </w:tr>
    </w:tbl>
    <w:p/>
    <w:p>
      <w:pPr>
        <w:spacing w:after="40"/>
      </w:pPr>
      <w:r>
        <w:rPr>
          <w:b w:val="0"/>
          <w:i/>
          <w:color w:val="6B6660"/>
          <w:sz w:val="18"/>
        </w:rPr>
        <w:t xml:space="preserve">Evidences: </w:t>
      </w:r>
    </w:p>
    <w:p>
      <w:pPr>
        <w:spacing w:before="200" w:after="0"/>
      </w:pPr>
      <w:r>
        <w:rPr>
          <w:b/>
          <w:color w:val="1F5A5C"/>
          <w:sz w:val="16"/>
        </w:rPr>
        <w:t>TASK 39</w:t>
      </w:r>
    </w:p>
    <w:p>
      <w:pPr>
        <w:pStyle w:val="Heading2"/>
      </w:pPr>
      <w:r>
        <w:rPr>
          <w:color w:val="1F5A5C"/>
        </w:rPr>
        <w:t>Anticipate the questions</w:t>
      </w:r>
    </w:p>
    <w:p>
      <w:pPr>
        <w:spacing w:after="120"/>
      </w:pPr>
      <w:r>
        <w:rPr>
          <w:b w:val="0"/>
          <w:i w:val="0"/>
          <w:sz w:val="21"/>
        </w:rPr>
        <w:t>Preparation — not assessed. Write down the questions you would ask if you were Sam, and your answer to each. The ones worth preparing are the ones where you made a choice someone could reasonably disagree with — that is exactly where you will be asked.</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Question you expect</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answer</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Why not just back up to another region — it is cheaper?</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backup and restore cannot make a 4-hour recovery time; the requirement decides it</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Why not run two regions all the time?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it doubles the cost to beat a target we already meet; the requirements ask for the simplest arrangement that works</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Do we have to move the whole website to India?</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no — the obligation is on logs; the residency document is explicit that the main data store may stay in Australia</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does this cost us to run?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edge layer and the replication; the second region costs almost nothing until it is invoked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happens if the log service goes down?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events queue and are written when it recovers; the website is unaffected, which is why it is a separate service</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How do we know the plan works?</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it is not proven until it is tested — and that is a recommendation, not something this engagement delivered</w:t>
            </w:r>
          </w:p>
        </w:tc>
      </w:tr>
    </w:tbl>
    <w:p/>
    <w:p>
      <w:pPr>
        <w:spacing w:after="40"/>
      </w:pPr>
      <w:r>
        <w:rPr>
          <w:b w:val="0"/>
          <w:i/>
          <w:color w:val="6B6660"/>
          <w:sz w:val="18"/>
        </w:rPr>
        <w:t xml:space="preserve">Evidences: </w:t>
      </w:r>
    </w:p>
    <w:p>
      <w:pPr>
        <w:spacing w:before="200" w:after="0"/>
      </w:pPr>
      <w:r>
        <w:rPr>
          <w:b/>
          <w:color w:val="1F5A5C"/>
          <w:sz w:val="16"/>
        </w:rPr>
        <w:t>TASK 40</w:t>
      </w:r>
    </w:p>
    <w:p>
      <w:pPr>
        <w:pStyle w:val="Heading2"/>
      </w:pPr>
      <w:r>
        <w:rPr>
          <w:color w:val="1F5A5C"/>
        </w:rPr>
        <w:t>The walkthrough</w:t>
      </w:r>
    </w:p>
    <w:p>
      <w:pPr>
        <w:spacing w:after="120"/>
      </w:pPr>
      <w:r>
        <w:rPr>
          <w:b w:val="0"/>
          <w:i w:val="0"/>
          <w:sz w:val="21"/>
        </w:rPr>
        <w:t>Record the session: when it happened, who was there, and what you actually covered. Fill this in immediately afterwards, while you remember it.</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Date and time of the session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Attendees and their roles</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 the student (MTS)</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Documents walked through</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Part A design worksheet and the Disaster Recovery Plan</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What you covered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per your task 38 plan, noting anything you changed on the day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Questions you were asked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the substance of them, and how you answered</w:t>
            </w:r>
          </w:p>
        </w:tc>
      </w:tr>
    </w:tbl>
    <w:p/>
    <w:p>
      <w:pPr>
        <w:spacing w:after="40"/>
      </w:pPr>
      <w:r>
        <w:rPr>
          <w:b w:val="0"/>
          <w:i/>
          <w:color w:val="6B6660"/>
          <w:sz w:val="18"/>
        </w:rPr>
        <w:t>Evidences: [ICTCLD501 PC 5.1] · [ICTCLD501 FS Oral communication]</w:t>
      </w:r>
    </w:p>
    <w:p>
      <w:pPr>
        <w:spacing w:after="120"/>
      </w:pPr>
      <w:r>
        <w:rPr>
          <w:b/>
          <w:color w:val="6B6660"/>
          <w:sz w:val="18"/>
        </w:rPr>
        <w:t xml:space="preserve">Satisfactory when </w:t>
      </w:r>
      <w:r>
        <w:rPr>
          <w:i/>
          <w:color w:val="6B6660"/>
          <w:sz w:val="18"/>
        </w:rPr>
        <w:t>the student conducted a verbal walkthrough of the DR plan with the required person — this is observed live by the assessor, and the table is the record, not the evidence. PC 5.1 is met by the student explaining their own plan in their own words and answering questions on it using appropriate industry language. Reading the document aloud, or being unable to explain a decision recorded in their own plan, has not met it.</w:t>
      </w:r>
    </w:p>
    <w:p>
      <w:pPr>
        <w:spacing w:before="200" w:after="0"/>
      </w:pPr>
      <w:r>
        <w:rPr>
          <w:b/>
          <w:color w:val="1F5A5C"/>
          <w:sz w:val="16"/>
        </w:rPr>
        <w:t>TASK 41</w:t>
      </w:r>
    </w:p>
    <w:p>
      <w:pPr>
        <w:pStyle w:val="Heading2"/>
      </w:pPr>
      <w:r>
        <w:rPr>
          <w:color w:val="1F5A5C"/>
        </w:rPr>
        <w:t>Feedback sought, and your response</w:t>
      </w:r>
    </w:p>
    <w:p>
      <w:pPr>
        <w:spacing w:after="120"/>
      </w:pPr>
      <w:r>
        <w:rPr>
          <w:b w:val="0"/>
          <w:i w:val="0"/>
          <w:sz w:val="21"/>
        </w:rPr>
        <w:t>Record the feedback Sam gave you and what you did about it. Sam will give you at least one thing to change — that is the point of an approval gate. For each item, say what you were told, what you decided to do, and if you disagreed, say that and why. Agreeing with everything is not the same as responding to feedback.</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Feedback from Sam Walker</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Your response</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Change made?</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e.g. the recovery steps do not say who repoints DNS</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accepted — assigned to YAT ICT in step 6</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Yes</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e.g. consider whether 24 hours is acceptable for media recovery</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considered and retained — media changes rarely and a day-old copy is materially the same site</w:t>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t>No, with reason</w:t>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c>
          <w:tcPr>
            <w:tcW w:type="dxa" w:w="3489"/>
            <w:tcBorders>
              <w:top w:val="single" w:sz="4" w:space="0" w:color="E4DED3"/>
              <w:left w:val="single" w:sz="4" w:space="0" w:color="E4DED3"/>
              <w:bottom w:val="single" w:sz="4" w:space="0" w:color="E4DED3"/>
              <w:right w:val="single" w:sz="4" w:space="0" w:color="E4DED3"/>
            </w:tcBorders>
          </w:tcPr>
          <w:p>
            <w:r>
              <w:rPr>
                <w:color w:val="1F5A5C"/>
                <w:sz w:val="18"/>
              </w:rPr>
            </w:r>
          </w:p>
        </w:tc>
      </w:tr>
    </w:tbl>
    <w:p/>
    <w:p>
      <w:pPr>
        <w:spacing w:after="40"/>
      </w:pPr>
      <w:r>
        <w:rPr>
          <w:b w:val="0"/>
          <w:i/>
          <w:color w:val="6B6660"/>
          <w:sz w:val="18"/>
        </w:rPr>
        <w:t>Evidences: [ICTCLD501 PC 5.2]</w:t>
      </w:r>
    </w:p>
    <w:p>
      <w:pPr>
        <w:spacing w:after="120"/>
      </w:pPr>
      <w:r>
        <w:rPr>
          <w:b/>
          <w:color w:val="6B6660"/>
          <w:sz w:val="18"/>
        </w:rPr>
        <w:t xml:space="preserve">Satisfactory when </w:t>
      </w:r>
      <w:r>
        <w:rPr>
          <w:i/>
          <w:color w:val="6B6660"/>
          <w:sz w:val="18"/>
        </w:rPr>
        <w:t>the student both SOUGHT feedback (asked for it, rather than waiting to be corrected) and RESPONDED to it with a decision and a reason. A record showing feedback received and no response, or 'agreed' against every item with no change made, has not met PC 5.2. A reasoned disagreement, recorded, is a satisfactory response.</w:t>
      </w:r>
    </w:p>
    <w:p>
      <w:pPr>
        <w:spacing w:before="200" w:after="0"/>
      </w:pPr>
      <w:r>
        <w:rPr>
          <w:b/>
          <w:color w:val="1F5A5C"/>
          <w:sz w:val="16"/>
        </w:rPr>
        <w:t>TASK 42</w:t>
      </w:r>
    </w:p>
    <w:p>
      <w:pPr>
        <w:pStyle w:val="Heading2"/>
      </w:pPr>
      <w:r>
        <w:rPr>
          <w:color w:val="1F5A5C"/>
        </w:rPr>
        <w:t>Lodge the plan</w:t>
      </w:r>
    </w:p>
    <w:p>
      <w:pPr>
        <w:spacing w:after="120"/>
      </w:pPr>
      <w:r>
        <w:rPr>
          <w:b w:val="0"/>
          <w:i w:val="0"/>
          <w:sz w:val="21"/>
        </w:rPr>
        <w:t>Lodge the approved Disaster Recovery Plan the way YAT requires. Read the Records Management Policy and follow it — record where you lodged it, under what classification, and who can retrieve it. Remember what you wrote in Part B task 32: a plan nobody can reach during an outage is not a plan.</w:t>
      </w:r>
    </w:p>
    <w:p>
      <w:pPr>
        <w:spacing w:after="60"/>
      </w:pPr>
      <w:r>
        <w:rPr>
          <w:b/>
          <w:i w:val="0"/>
          <w:sz w:val="19"/>
        </w:rPr>
        <w:t>Related resources</w:t>
      </w:r>
    </w:p>
    <w:p>
      <w:pPr>
        <w:spacing w:after="60"/>
        <w:ind w:left="340"/>
      </w:pPr>
      <w:r>
        <w:rPr>
          <w:sz w:val="19"/>
        </w:rPr>
        <w:t xml:space="preserve">•  </w:t>
      </w:r>
      <w:hyperlink r:id="rId28">
        <w:r>
          <w:rPr>
            <w:sz w:val="19"/>
            <w:color w:val="0563C1"/>
            <w:u w:val="single"/>
          </w:rPr>
          <w:t>Records Management Policy — where a completed engagement document is lodged, and how it is retained</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Lodgement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Where it is lodged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per the Records Management Policy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Classification applied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Internal — ICT, and engaged consultants under the MSA</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Retention period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per the policy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Who can retrieve it, and how, during an outage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named roles, and a copy held outside the primary region</w:t>
            </w:r>
          </w:p>
        </w:tc>
      </w:tr>
    </w:tbl>
    <w:p/>
    <w:p>
      <w:pPr>
        <w:spacing w:after="40"/>
      </w:pPr>
      <w:r>
        <w:rPr>
          <w:b w:val="0"/>
          <w:i/>
          <w:color w:val="6B6660"/>
          <w:sz w:val="18"/>
        </w:rPr>
        <w:t>Evidences: [ICTCLD501 PC 5.3]</w:t>
      </w:r>
    </w:p>
    <w:p>
      <w:pPr>
        <w:spacing w:after="120"/>
      </w:pPr>
      <w:r>
        <w:rPr>
          <w:b/>
          <w:color w:val="6B6660"/>
          <w:sz w:val="18"/>
        </w:rPr>
        <w:t xml:space="preserve">Satisfactory when </w:t>
      </w:r>
      <w:r>
        <w:rPr>
          <w:i/>
          <w:color w:val="6B6660"/>
          <w:sz w:val="18"/>
        </w:rPr>
        <w:t>the plan is lodged according to YAT's Records Management Policy rather than wherever the student found convenient, and the record names the location, the classification and the retention. PC 5.3 says 'according to organisation and legislative protocol' — a student who attaches the file to an email has not met it. A strong answer also notes that a copy must be reachable when the primary region is not.</w:t>
      </w:r>
    </w:p>
    <w:p>
      <w:pPr>
        <w:spacing w:before="200" w:after="0"/>
      </w:pPr>
      <w:r>
        <w:rPr>
          <w:b/>
          <w:color w:val="1F5A5C"/>
          <w:sz w:val="16"/>
        </w:rPr>
        <w:t>TASK 43</w:t>
      </w:r>
    </w:p>
    <w:p>
      <w:pPr>
        <w:pStyle w:val="Heading2"/>
      </w:pPr>
      <w:r>
        <w:rPr>
          <w:color w:val="1F5A5C"/>
        </w:rPr>
        <w:t>Obtain sign-off</w:t>
      </w:r>
    </w:p>
    <w:p>
      <w:pPr>
        <w:spacing w:after="120"/>
      </w:pPr>
      <w:r>
        <w:rPr>
          <w:b w:val="0"/>
          <w:i w:val="0"/>
          <w:sz w:val="21"/>
        </w:rPr>
        <w:t>Obtain Sam Walker's sign-off. This is the gate: without it the engagement does not proceed to implementation. Record the decision — including if it is approval with conditions, which is a real outcome and not a failure.</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Sign-off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Decision</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Approved / Approved with conditions / Not approved</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Any conditions attached</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Signed by</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Sam Walker, YAT ICT Manager</w:t>
            </w:r>
          </w:p>
        </w:tc>
      </w:tr>
      <w:tr>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Date</w:t>
            </w:r>
          </w:p>
        </w:tc>
        <w:tc>
          <w:tcPr>
            <w:tcW w:type="dxa" w:w="5233"/>
            <w:tcBorders>
              <w:top w:val="single" w:sz="4" w:space="0" w:color="E4DED3"/>
              <w:left w:val="single" w:sz="4" w:space="0" w:color="E4DED3"/>
              <w:bottom w:val="single" w:sz="4" w:space="0" w:color="E4DED3"/>
              <w:right w:val="single" w:sz="4" w:space="0" w:color="E4DED3"/>
            </w:tcBorders>
          </w:tcPr>
          <w:p>
            <w:r>
              <w:rPr>
                <w:color w:val="1F5A5C"/>
                <w:sz w:val="18"/>
              </w:rPr>
              <w:t>—</w:t>
            </w:r>
          </w:p>
        </w:tc>
      </w:tr>
    </w:tbl>
    <w:p/>
    <w:p>
      <w:pPr>
        <w:spacing w:after="40"/>
      </w:pPr>
      <w:r>
        <w:rPr>
          <w:b w:val="0"/>
          <w:i/>
          <w:color w:val="6B6660"/>
          <w:sz w:val="18"/>
        </w:rPr>
        <w:t>Evidences: [ICTCLD501 PC 5.4]</w:t>
      </w:r>
    </w:p>
    <w:p>
      <w:pPr>
        <w:spacing w:after="120"/>
      </w:pPr>
      <w:r>
        <w:rPr>
          <w:b/>
          <w:color w:val="6B6660"/>
          <w:sz w:val="18"/>
        </w:rPr>
        <w:t xml:space="preserve">Satisfactory when </w:t>
      </w:r>
      <w:r>
        <w:rPr>
          <w:i/>
          <w:color w:val="6B6660"/>
          <w:sz w:val="18"/>
        </w:rPr>
        <w:t>sign-off is obtained from the required person and recorded with a decision, a name and a date. PC 5.4 is met by the student ASKING for and OBTAINING it — a student who presents well but never closes the loop has not met the item. 'Approved with conditions' is a satisfactory outcome where the conditions are recorded.</w:t>
      </w:r>
    </w:p>
    <w:p>
      <w:pPr>
        <w:pStyle w:val="Heading1"/>
        <w:spacing w:before="280" w:after="120"/>
      </w:pPr>
      <w:r>
        <w:t>Marking Benchmark — UoC traceability (reverse map)</w:t>
      </w:r>
    </w:p>
    <w:p>
      <w:pPr>
        <w:pStyle w:val="Assessortext"/>
        <w:spacing w:after="160"/>
      </w:pPr>
      <w:r>
        <w:t>This table closes the loop on bidirectional traceability: every UoC requirement AT1 claims to evidence is named below with the marking criterion that evidences it. Each workbook element also carries its own 'Evidences' line, where the work is actually done. Both this table and the criteria lines are generated from those element tags, so they cannot drift from the workbook.</w:t>
      </w:r>
    </w:p>
    <w:p>
      <w:pPr>
        <w:pStyle w:val="Assessortext"/>
        <w:spacing w:after="160"/>
      </w:pPr>
      <w:r>
        <w:t>ICTCLD501 — Develop cloud disaster recovery plans</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[ICTCLD501 PC 1.1] 1.1 Identify disaster recovery plan requirements according to business needs and requirements</w:t>
            </w:r>
          </w:p>
        </w:tc>
        <w:tc>
          <w:tcPr>
            <w:tcW w:type="dxa" w:w="5233"/>
          </w:tcPr>
          <w:p>
            <w:r>
              <w:t>A12</w:t>
            </w:r>
          </w:p>
        </w:tc>
      </w:tr>
      <w:tr>
        <w:tc>
          <w:tcPr>
            <w:tcW w:type="dxa" w:w="5233"/>
          </w:tcPr>
          <w:p>
            <w:r>
              <w:t>[ICTCLD501 PC 1.2] 1.2 Determine existing organisational recovery plans</w:t>
            </w:r>
          </w:p>
        </w:tc>
        <w:tc>
          <w:tcPr>
            <w:tcW w:type="dxa" w:w="5233"/>
          </w:tcPr>
          <w:p>
            <w:r>
              <w:t>A12</w:t>
            </w:r>
          </w:p>
        </w:tc>
      </w:tr>
      <w:tr>
        <w:tc>
          <w:tcPr>
            <w:tcW w:type="dxa" w:w="5233"/>
          </w:tcPr>
          <w:p>
            <w:r>
              <w:t>[ICTCLD501 PC 1.3] 1.3 Identify vendor disaster recovery plan and service level agreements</w:t>
            </w:r>
          </w:p>
        </w:tc>
        <w:tc>
          <w:tcPr>
            <w:tcW w:type="dxa" w:w="5233"/>
          </w:tcPr>
          <w:p>
            <w:r>
              <w:t>A12</w:t>
            </w:r>
          </w:p>
        </w:tc>
      </w:tr>
      <w:tr>
        <w:tc>
          <w:tcPr>
            <w:tcW w:type="dxa" w:w="5233"/>
          </w:tcPr>
          <w:p>
            <w:r>
              <w:t>[ICTCLD501 PC 2.1] 2.1 Determine time and recovery point objectives according to business needs</w:t>
            </w:r>
          </w:p>
        </w:tc>
        <w:tc>
          <w:tcPr>
            <w:tcW w:type="dxa" w:w="5233"/>
          </w:tcPr>
          <w:p>
            <w:r>
              <w:t>A13</w:t>
            </w:r>
          </w:p>
        </w:tc>
      </w:tr>
      <w:tr>
        <w:tc>
          <w:tcPr>
            <w:tcW w:type="dxa" w:w="5233"/>
          </w:tcPr>
          <w:p>
            <w:r>
              <w:t>[ICTCLD501 PC 2.2] 2.2 Assess potential risks plan exclusions according to business requirements</w:t>
            </w:r>
          </w:p>
        </w:tc>
        <w:tc>
          <w:tcPr>
            <w:tcW w:type="dxa" w:w="5233"/>
          </w:tcPr>
          <w:p>
            <w:r>
              <w:t>A13</w:t>
            </w:r>
          </w:p>
        </w:tc>
      </w:tr>
      <w:tr>
        <w:tc>
          <w:tcPr>
            <w:tcW w:type="dxa" w:w="5233"/>
          </w:tcPr>
          <w:p>
            <w:r>
              <w:t>[ICTCLD501 PC 2.3] 2.3 Estimate amount of data and security level of data managed</w:t>
            </w:r>
          </w:p>
        </w:tc>
        <w:tc>
          <w:tcPr>
            <w:tcW w:type="dxa" w:w="5233"/>
          </w:tcPr>
          <w:p>
            <w:r>
              <w:t>A13</w:t>
            </w:r>
          </w:p>
        </w:tc>
      </w:tr>
      <w:tr>
        <w:tc>
          <w:tcPr>
            <w:tcW w:type="dxa" w:w="5233"/>
          </w:tcPr>
          <w:p>
            <w:r>
              <w:t>[ICTCLD501 PC 2.4] 2.4 Evaluate severity of impact and disruption of risk events</w:t>
            </w:r>
          </w:p>
        </w:tc>
        <w:tc>
          <w:tcPr>
            <w:tcW w:type="dxa" w:w="5233"/>
          </w:tcPr>
          <w:p>
            <w:r>
              <w:t>A13</w:t>
            </w:r>
          </w:p>
        </w:tc>
      </w:tr>
      <w:tr>
        <w:tc>
          <w:tcPr>
            <w:tcW w:type="dxa" w:w="5233"/>
          </w:tcPr>
          <w:p>
            <w:r>
              <w:t>[ICTCLD501 PC 2.5] 2.5 Document outcomes of impact analysis according to organisational policies and procedures</w:t>
            </w:r>
          </w:p>
        </w:tc>
        <w:tc>
          <w:tcPr>
            <w:tcW w:type="dxa" w:w="5233"/>
          </w:tcPr>
          <w:p>
            <w:r>
              <w:t>A13</w:t>
            </w:r>
          </w:p>
        </w:tc>
      </w:tr>
      <w:tr>
        <w:tc>
          <w:tcPr>
            <w:tcW w:type="dxa" w:w="5233"/>
          </w:tcPr>
          <w:p>
            <w:r>
              <w:t>[ICTCLD501 PC 3.1] 3.1 Develop range of disaster recovery solutions according to business requirements</w:t>
            </w:r>
          </w:p>
        </w:tc>
        <w:tc>
          <w:tcPr>
            <w:tcW w:type="dxa" w:w="5233"/>
          </w:tcPr>
          <w:p>
            <w:r>
              <w:t>A14</w:t>
            </w:r>
          </w:p>
        </w:tc>
      </w:tr>
      <w:tr>
        <w:tc>
          <w:tcPr>
            <w:tcW w:type="dxa" w:w="5233"/>
          </w:tcPr>
          <w:p>
            <w:r>
              <w:t>[ICTCLD501 PC 3.2] 3.2 Determine vendor protections and prioritise risks</w:t>
            </w:r>
          </w:p>
        </w:tc>
        <w:tc>
          <w:tcPr>
            <w:tcW w:type="dxa" w:w="5233"/>
          </w:tcPr>
          <w:p>
            <w:r>
              <w:t>A14</w:t>
            </w:r>
          </w:p>
        </w:tc>
      </w:tr>
      <w:tr>
        <w:tc>
          <w:tcPr>
            <w:tcW w:type="dxa" w:w="5233"/>
          </w:tcPr>
          <w:p>
            <w:r>
              <w:t>[ICTCLD501 PC 3.3] 3.3 Assess external insurance protection levels and their suitability requirements</w:t>
            </w:r>
          </w:p>
        </w:tc>
        <w:tc>
          <w:tcPr>
            <w:tcW w:type="dxa" w:w="5233"/>
          </w:tcPr>
          <w:p>
            <w:r>
              <w:t>A14</w:t>
            </w:r>
          </w:p>
        </w:tc>
      </w:tr>
      <w:tr>
        <w:tc>
          <w:tcPr>
            <w:tcW w:type="dxa" w:w="5233"/>
          </w:tcPr>
          <w:p>
            <w:r>
              <w:t>[ICTCLD501 PC 3.4] 3.4 Identify other disaster recovery solution components</w:t>
            </w:r>
          </w:p>
        </w:tc>
        <w:tc>
          <w:tcPr>
            <w:tcW w:type="dxa" w:w="5233"/>
          </w:tcPr>
          <w:p>
            <w:r>
              <w:t>A14</w:t>
            </w:r>
          </w:p>
        </w:tc>
      </w:tr>
      <w:tr>
        <w:tc>
          <w:tcPr>
            <w:tcW w:type="dxa" w:w="5233"/>
          </w:tcPr>
          <w:p>
            <w:r>
              <w:t>[ICTCLD501 PC 4.1] 4.1 Align disaster recovery risk potential according to business requirements</w:t>
            </w:r>
          </w:p>
        </w:tc>
        <w:tc>
          <w:tcPr>
            <w:tcW w:type="dxa" w:w="5233"/>
          </w:tcPr>
          <w:p>
            <w:r>
              <w:t>A14</w:t>
            </w:r>
          </w:p>
        </w:tc>
      </w:tr>
      <w:tr>
        <w:tc>
          <w:tcPr>
            <w:tcW w:type="dxa" w:w="5233"/>
          </w:tcPr>
          <w:p>
            <w:r>
              <w:t>[ICTCLD501 PC 4.2] 4.2 Outline steps of disaster recovery plan including timelines, key features, service providers and any other aspect</w:t>
            </w:r>
          </w:p>
        </w:tc>
        <w:tc>
          <w:tcPr>
            <w:tcW w:type="dxa" w:w="5233"/>
          </w:tcPr>
          <w:p>
            <w:r>
              <w:t>A15</w:t>
            </w:r>
          </w:p>
        </w:tc>
      </w:tr>
      <w:tr>
        <w:tc>
          <w:tcPr>
            <w:tcW w:type="dxa" w:w="5233"/>
          </w:tcPr>
          <w:p>
            <w:r>
              <w:t>[ICTCLD501 PC 4.3] 4.3 Document disaster recovery plan according to business needs and requirements</w:t>
            </w:r>
          </w:p>
        </w:tc>
        <w:tc>
          <w:tcPr>
            <w:tcW w:type="dxa" w:w="5233"/>
          </w:tcPr>
          <w:p>
            <w:r>
              <w:t>A17</w:t>
            </w:r>
          </w:p>
        </w:tc>
      </w:tr>
      <w:tr>
        <w:tc>
          <w:tcPr>
            <w:tcW w:type="dxa" w:w="5233"/>
          </w:tcPr>
          <w:p>
            <w:r>
              <w:t>[ICTCLD501 PC 5.1] 5.1 Conduct verbal walkthrough of cloud disaster recovery plan with required personnel</w:t>
            </w:r>
          </w:p>
        </w:tc>
        <w:tc>
          <w:tcPr>
            <w:tcW w:type="dxa" w:w="5233"/>
          </w:tcPr>
          <w:p>
            <w:r>
              <w:t>A19</w:t>
            </w:r>
          </w:p>
        </w:tc>
      </w:tr>
      <w:tr>
        <w:tc>
          <w:tcPr>
            <w:tcW w:type="dxa" w:w="5233"/>
          </w:tcPr>
          <w:p>
            <w:r>
              <w:t>[ICTCLD501 PC 5.2] 5.2 Seek and respond to feedback as required</w:t>
            </w:r>
          </w:p>
        </w:tc>
        <w:tc>
          <w:tcPr>
            <w:tcW w:type="dxa" w:w="5233"/>
          </w:tcPr>
          <w:p>
            <w:r>
              <w:t>A20</w:t>
            </w:r>
          </w:p>
        </w:tc>
      </w:tr>
      <w:tr>
        <w:tc>
          <w:tcPr>
            <w:tcW w:type="dxa" w:w="5233"/>
          </w:tcPr>
          <w:p>
            <w:r>
              <w:t>[ICTCLD501 PC 5.3] 5.3 Lodge cloud disaster recovery plan according to organisation and legislative protocol</w:t>
            </w:r>
          </w:p>
        </w:tc>
        <w:tc>
          <w:tcPr>
            <w:tcW w:type="dxa" w:w="5233"/>
          </w:tcPr>
          <w:p>
            <w:r>
              <w:t>A21</w:t>
            </w:r>
          </w:p>
        </w:tc>
      </w:tr>
      <w:tr>
        <w:tc>
          <w:tcPr>
            <w:tcW w:type="dxa" w:w="5233"/>
          </w:tcPr>
          <w:p>
            <w:r>
              <w:t>[ICTCLD501 PC 5.4] 5.4 Obtain final sign off from required personnel</w:t>
            </w:r>
          </w:p>
        </w:tc>
        <w:tc>
          <w:tcPr>
            <w:tcW w:type="dxa" w:w="5233"/>
          </w:tcPr>
          <w:p>
            <w:r>
              <w:t>A22</w:t>
            </w:r>
          </w:p>
        </w:tc>
      </w:tr>
      <w:tr>
        <w:tc>
          <w:tcPr>
            <w:tcW w:type="dxa" w:w="5233"/>
          </w:tcPr>
          <w:p>
            <w:r>
              <w:t>[ICTCLD501 PE 1] develop and evaluate a cloud disaster recovery plan that includes at least three major risk events.</w:t>
            </w:r>
          </w:p>
        </w:tc>
        <w:tc>
          <w:tcPr>
            <w:tcW w:type="dxa" w:w="5233"/>
          </w:tcPr>
          <w:p>
            <w:r>
              <w:t>A17</w:t>
            </w:r>
          </w:p>
        </w:tc>
      </w:tr>
      <w:tr>
        <w:tc>
          <w:tcPr>
            <w:tcW w:type="dxa" w:w="5233"/>
          </w:tcPr>
          <w:p>
            <w:r>
              <w:t>[ICTCLD501 PE 2] determine likelihood and impact of risk event to assist in the development of one cloud disaster recovery plan</w:t>
            </w:r>
          </w:p>
        </w:tc>
        <w:tc>
          <w:tcPr>
            <w:tcW w:type="dxa" w:w="5233"/>
          </w:tcPr>
          <w:p>
            <w:r>
              <w:t>A13</w:t>
            </w:r>
          </w:p>
        </w:tc>
      </w:tr>
      <w:tr>
        <w:tc>
          <w:tcPr>
            <w:tcW w:type="dxa" w:w="5233"/>
          </w:tcPr>
          <w:p>
            <w:r>
              <w:t>[ICTCLD501 PE 3] document disaster recovery plan and ways the plan reaches Recovery Time Objective (RTO) and Recovery Point Objective (RPO) targets.</w:t>
            </w:r>
          </w:p>
        </w:tc>
        <w:tc>
          <w:tcPr>
            <w:tcW w:type="dxa" w:w="5233"/>
          </w:tcPr>
          <w:p>
            <w:r>
              <w:t>A15</w:t>
            </w:r>
          </w:p>
        </w:tc>
      </w:tr>
      <w:tr>
        <w:tc>
          <w:tcPr>
            <w:tcW w:type="dxa" w:w="5233"/>
          </w:tcPr>
          <w:p>
            <w:r>
              <w:t>[ICTCLD501 KE 1] risk environments in cloud/ICT environment</w:t>
            </w:r>
          </w:p>
        </w:tc>
        <w:tc>
          <w:tcPr>
            <w:tcW w:type="dxa" w:w="5233"/>
          </w:tcPr>
          <w:p>
            <w:r>
              <w:t>A13 · A18</w:t>
            </w:r>
          </w:p>
        </w:tc>
      </w:tr>
      <w:tr>
        <w:tc>
          <w:tcPr>
            <w:tcW w:type="dxa" w:w="5233"/>
          </w:tcPr>
          <w:p>
            <w:r>
              <w:t>[ICTCLD501 KE 2] data analysis methodologies to determine risk environment</w:t>
            </w:r>
          </w:p>
        </w:tc>
        <w:tc>
          <w:tcPr>
            <w:tcW w:type="dxa" w:w="5233"/>
          </w:tcPr>
          <w:p>
            <w:r>
              <w:t>A13 · A18</w:t>
            </w:r>
          </w:p>
        </w:tc>
      </w:tr>
      <w:tr>
        <w:tc>
          <w:tcPr>
            <w:tcW w:type="dxa" w:w="5233"/>
          </w:tcPr>
          <w:p>
            <w:r>
              <w:t>[ICTCLD501 KE 3] disaster recovery techniques applicable to cloud environments</w:t>
            </w:r>
          </w:p>
        </w:tc>
        <w:tc>
          <w:tcPr>
            <w:tcW w:type="dxa" w:w="5233"/>
          </w:tcPr>
          <w:p>
            <w:r>
              <w:t>A14 · A18</w:t>
            </w:r>
          </w:p>
        </w:tc>
      </w:tr>
      <w:tr>
        <w:tc>
          <w:tcPr>
            <w:tcW w:type="dxa" w:w="5233"/>
          </w:tcPr>
          <w:p>
            <w:r>
              <w:t>[ICTCLD501 KE 4] ISO270001, ISO27002 and ISO 27031 standards</w:t>
            </w:r>
          </w:p>
        </w:tc>
        <w:tc>
          <w:tcPr>
            <w:tcW w:type="dxa" w:w="5233"/>
          </w:tcPr>
          <w:p>
            <w:r>
              <w:t>A16</w:t>
            </w:r>
          </w:p>
        </w:tc>
      </w:tr>
      <w:tr>
        <w:tc>
          <w:tcPr>
            <w:tcW w:type="dxa" w:w="5233"/>
          </w:tcPr>
          <w:p>
            <w:r>
              <w:t>[ICTCLD501 KE 5] Recovery Time Objective (RTO) and Recovery Point Objective (RPO) standards and techniques</w:t>
            </w:r>
          </w:p>
        </w:tc>
        <w:tc>
          <w:tcPr>
            <w:tcW w:type="dxa" w:w="5233"/>
          </w:tcPr>
          <w:p>
            <w:r>
              <w:t>A13 · A15 · A18</w:t>
            </w:r>
          </w:p>
        </w:tc>
      </w:tr>
      <w:tr>
        <w:tc>
          <w:tcPr>
            <w:tcW w:type="dxa" w:w="5233"/>
          </w:tcPr>
          <w:p>
            <w:r>
              <w:t>[ICTCLD501 KE 6] techniques and methods to monitor and create alerts in cloud environments.</w:t>
            </w:r>
          </w:p>
        </w:tc>
        <w:tc>
          <w:tcPr>
            <w:tcW w:type="dxa" w:w="5233"/>
          </w:tcPr>
          <w:p>
            <w:r>
              <w:t>A15</w:t>
            </w:r>
          </w:p>
        </w:tc>
      </w:tr>
      <w:tr>
        <w:tc>
          <w:tcPr>
            <w:tcW w:type="dxa" w:w="5233"/>
          </w:tcPr>
          <w:p>
            <w:r>
              <w:t>[ICTCLD501 FS Oral communication] Oral communication — Uses listening and questioning techniques to articulate complex concepts and requirements using industry language in cloud computing and risk environment</w:t>
            </w:r>
          </w:p>
        </w:tc>
        <w:tc>
          <w:tcPr>
            <w:tcW w:type="dxa" w:w="5233"/>
          </w:tcPr>
          <w:p>
            <w:r>
              <w:t>A19</w:t>
            </w:r>
          </w:p>
        </w:tc>
      </w:tr>
      <w:tr>
        <w:tc>
          <w:tcPr>
            <w:tcW w:type="dxa" w:w="5233"/>
          </w:tcPr>
          <w:p>
            <w:r>
              <w:t>[ICTCLD501 FS Planning and organising] Planning and organising — Uses a broad range of strategies to evaluate and resolve risk events in cloud and technical environment and demonstrates the knowledge that design choices will influence the security of virtually stored information</w:t>
            </w:r>
          </w:p>
        </w:tc>
        <w:tc>
          <w:tcPr>
            <w:tcW w:type="dxa" w:w="5233"/>
          </w:tcPr>
          <w:p>
            <w:r>
              <w:t>A13 · A15</w:t>
            </w:r>
          </w:p>
        </w:tc>
      </w:tr>
      <w:tr>
        <w:tc>
          <w:tcPr>
            <w:tcW w:type="dxa" w:w="5233"/>
          </w:tcPr>
          <w:p>
            <w:r>
              <w:t>[ICTCLD501 FS Problem solving] Problem solving — Uses a mix of intuitive and formal processes to identify key information and issues, evaluate alternative strategies, anticipate consequences and consider implementation issues and contingencies Uses knowledge of context to address common threats in the cloud and technical environment</w:t>
            </w:r>
          </w:p>
        </w:tc>
        <w:tc>
          <w:tcPr>
            <w:tcW w:type="dxa" w:w="5233"/>
          </w:tcPr>
          <w:p>
            <w:r>
              <w:t>A14</w:t>
            </w:r>
          </w:p>
        </w:tc>
      </w:tr>
      <w:tr>
        <w:tc>
          <w:tcPr>
            <w:tcW w:type="dxa" w:w="5233"/>
          </w:tcPr>
          <w:p>
            <w:r>
              <w:t>[ICTCLD501 FS Reading] Reading — Interprets complex technical and operational documentation to determine and confirm job requirements</w:t>
            </w:r>
          </w:p>
        </w:tc>
        <w:tc>
          <w:tcPr>
            <w:tcW w:type="dxa" w:w="5233"/>
          </w:tcPr>
          <w:p>
            <w:r>
              <w:t>A12</w:t>
            </w:r>
          </w:p>
        </w:tc>
      </w:tr>
      <w:tr>
        <w:tc>
          <w:tcPr>
            <w:tcW w:type="dxa" w:w="5233"/>
          </w:tcPr>
          <w:p>
            <w:r>
              <w:t>[ICTCLD501 FS Self-management] Self-management — Demonstrates a sophisticated knowledge of principles, concepts, language and practices associated with the cloud and digital world and uses them to troubleshoot and understand the uses and potential of new technology</w:t>
            </w:r>
          </w:p>
        </w:tc>
        <w:tc>
          <w:tcPr>
            <w:tcW w:type="dxa" w:w="5233"/>
          </w:tcPr>
          <w:p>
            <w:r>
              <w:t>A17</w:t>
            </w:r>
          </w:p>
        </w:tc>
      </w:tr>
      <w:tr>
        <w:tc>
          <w:tcPr>
            <w:tcW w:type="dxa" w:w="5233"/>
          </w:tcPr>
          <w:p>
            <w:r>
              <w:t>[ICTCLD501 AC 1] data required to assess current and future risk events in specified environment</w:t>
            </w:r>
          </w:p>
        </w:tc>
        <w:tc>
          <w:tcPr>
            <w:tcW w:type="dxa" w:w="5233"/>
          </w:tcPr>
          <w:p>
            <w:r>
              <w:t>C1 (pre-condition)</w:t>
            </w:r>
          </w:p>
        </w:tc>
      </w:tr>
      <w:tr>
        <w:tc>
          <w:tcPr>
            <w:tcW w:type="dxa" w:w="5233"/>
          </w:tcPr>
          <w:p>
            <w:r>
              <w:t>[ICTCLD501 AC 2] legislation applicable to risk type</w:t>
            </w:r>
          </w:p>
        </w:tc>
        <w:tc>
          <w:tcPr>
            <w:tcW w:type="dxa" w:w="5233"/>
          </w:tcPr>
          <w:p>
            <w:r>
              <w:t>C1 (pre-condition)</w:t>
            </w:r>
          </w:p>
        </w:tc>
      </w:tr>
      <w:tr>
        <w:tc>
          <w:tcPr>
            <w:tcW w:type="dxa" w:w="5233"/>
          </w:tcPr>
          <w:p>
            <w:r>
              <w:t>[ICTCLD501 AC 3] reporting standards for documenting and communicating disaster recovery plan.</w:t>
            </w:r>
          </w:p>
        </w:tc>
        <w:tc>
          <w:tcPr>
            <w:tcW w:type="dxa" w:w="5233"/>
          </w:tcPr>
          <w:p>
            <w:r>
              <w:t>C3 (pre-condition)</w:t>
            </w:r>
          </w:p>
        </w:tc>
      </w:tr>
    </w:tbl>
    <w:p/>
    <w:p>
      <w:pPr>
        <w:pStyle w:val="Assessortext"/>
        <w:spacing w:after="160"/>
      </w:pPr>
      <w:r>
        <w:t>ICTCLD503 — Implement web-scale cloud infrastructure (AT1-evidenced items; elements 3–4 are evidenced in AT2)</w:t>
      </w:r>
    </w:p>
    <w:tbl>
      <w:tblPr>
        <w:tblStyle w:val="TableGrid"/>
        <w:tblW w:type="auto" w:w="0"/>
        <w:tblLook w:firstColumn="1" w:firstRow="1" w:lastColumn="0" w:lastRow="0" w:noHBand="0" w:noVBand="1" w:val="04A0"/>
      </w:tblPr>
      <w:tblGrid>
        <w:gridCol w:w="5233"/>
        <w:gridCol w:w="5233"/>
      </w:tblGrid>
      <w:tr>
        <w:tc>
          <w:tcPr>
            <w:tcW w:type="dxa" w:w="5233"/>
          </w:tcPr>
          <w:p>
            <w:r>
              <w:t>UoC item</w:t>
            </w:r>
          </w:p>
        </w:tc>
        <w:tc>
          <w:tcPr>
            <w:tcW w:type="dxa" w:w="5233"/>
          </w:tcPr>
          <w:p>
            <w:r>
              <w:t>Evidenced by criterion(ia)</w:t>
            </w:r>
          </w:p>
        </w:tc>
      </w:tr>
      <w:tr>
        <w:tc>
          <w:tcPr>
            <w:tcW w:type="dxa" w:w="5233"/>
          </w:tcPr>
          <w:p>
            <w:r>
              <w:t>[ICTCLD503 PC 1.1] 1.1 Determine and confirm cloud web-scaling needs</w:t>
            </w:r>
          </w:p>
        </w:tc>
        <w:tc>
          <w:tcPr>
            <w:tcW w:type="dxa" w:w="5233"/>
          </w:tcPr>
          <w:p>
            <w:r>
              <w:t>A1</w:t>
            </w:r>
          </w:p>
        </w:tc>
      </w:tr>
      <w:tr>
        <w:tc>
          <w:tcPr>
            <w:tcW w:type="dxa" w:w="5233"/>
          </w:tcPr>
          <w:p>
            <w:r>
              <w:t>[ICTCLD503 PC 1.2] 1.2 Review architecture for web application according to business needs</w:t>
            </w:r>
          </w:p>
        </w:tc>
        <w:tc>
          <w:tcPr>
            <w:tcW w:type="dxa" w:w="5233"/>
          </w:tcPr>
          <w:p>
            <w:r>
              <w:t>A1</w:t>
            </w:r>
          </w:p>
        </w:tc>
      </w:tr>
      <w:tr>
        <w:tc>
          <w:tcPr>
            <w:tcW w:type="dxa" w:w="5233"/>
          </w:tcPr>
          <w:p>
            <w:r>
              <w:t>[ICTCLD503 PC 1.3] 1.3 Identify cloud services required to scale web application</w:t>
            </w:r>
          </w:p>
        </w:tc>
        <w:tc>
          <w:tcPr>
            <w:tcW w:type="dxa" w:w="5233"/>
          </w:tcPr>
          <w:p>
            <w:r>
              <w:t>A2</w:t>
            </w:r>
          </w:p>
        </w:tc>
      </w:tr>
      <w:tr>
        <w:tc>
          <w:tcPr>
            <w:tcW w:type="dxa" w:w="5233"/>
          </w:tcPr>
          <w:p>
            <w:r>
              <w:t>[ICTCLD503 PC 1.4] 1.4 Design architecture changes using cloud services and check design scales network, compute and storage as utilisation increases</w:t>
            </w:r>
          </w:p>
        </w:tc>
        <w:tc>
          <w:tcPr>
            <w:tcW w:type="dxa" w:w="5233"/>
          </w:tcPr>
          <w:p>
            <w:r>
              <w:t>A3 · A5</w:t>
            </w:r>
          </w:p>
        </w:tc>
      </w:tr>
      <w:tr>
        <w:tc>
          <w:tcPr>
            <w:tcW w:type="dxa" w:w="5233"/>
          </w:tcPr>
          <w:p>
            <w:r>
              <w:t>[ICTCLD503 PC 1.5] 1.5 Determine architecture changes to scale for a global user base</w:t>
            </w:r>
          </w:p>
        </w:tc>
        <w:tc>
          <w:tcPr>
            <w:tcW w:type="dxa" w:w="5233"/>
          </w:tcPr>
          <w:p>
            <w:r>
              <w:t>A1 · A4</w:t>
            </w:r>
          </w:p>
        </w:tc>
      </w:tr>
      <w:tr>
        <w:tc>
          <w:tcPr>
            <w:tcW w:type="dxa" w:w="5233"/>
          </w:tcPr>
          <w:p>
            <w:r>
              <w:t>[ICTCLD503 PC 1.6] 1.6 Check availability and security of application is maintained with design changes and review design as required</w:t>
            </w:r>
          </w:p>
        </w:tc>
        <w:tc>
          <w:tcPr>
            <w:tcW w:type="dxa" w:w="5233"/>
          </w:tcPr>
          <w:p>
            <w:r>
              <w:t>A5</w:t>
            </w:r>
          </w:p>
        </w:tc>
      </w:tr>
      <w:tr>
        <w:tc>
          <w:tcPr>
            <w:tcW w:type="dxa" w:w="5233"/>
          </w:tcPr>
          <w:p>
            <w:r>
              <w:t>[ICTCLD503 PC 1.7] 1.7 Document and justify architecture changes</w:t>
            </w:r>
          </w:p>
        </w:tc>
        <w:tc>
          <w:tcPr>
            <w:tcW w:type="dxa" w:w="5233"/>
          </w:tcPr>
          <w:p>
            <w:r>
              <w:t>A7</w:t>
            </w:r>
          </w:p>
        </w:tc>
      </w:tr>
      <w:tr>
        <w:tc>
          <w:tcPr>
            <w:tcW w:type="dxa" w:w="5233"/>
          </w:tcPr>
          <w:p>
            <w:r>
              <w:t>[ICTCLD503 PC 2.1] 2.1 Identify microservices and data transactions required to meet business needs</w:t>
            </w:r>
          </w:p>
        </w:tc>
        <w:tc>
          <w:tcPr>
            <w:tcW w:type="dxa" w:w="5233"/>
          </w:tcPr>
          <w:p>
            <w:r>
              <w:t>A8</w:t>
            </w:r>
          </w:p>
        </w:tc>
      </w:tr>
      <w:tr>
        <w:tc>
          <w:tcPr>
            <w:tcW w:type="dxa" w:w="5233"/>
          </w:tcPr>
          <w:p>
            <w:r>
              <w:t>[ICTCLD503 PC 2.2] 2.2 Determine cloud services to support microservice architecture</w:t>
            </w:r>
          </w:p>
        </w:tc>
        <w:tc>
          <w:tcPr>
            <w:tcW w:type="dxa" w:w="5233"/>
          </w:tcPr>
          <w:p>
            <w:r>
              <w:t>A8</w:t>
            </w:r>
          </w:p>
        </w:tc>
      </w:tr>
      <w:tr>
        <w:tc>
          <w:tcPr>
            <w:tcW w:type="dxa" w:w="5233"/>
          </w:tcPr>
          <w:p>
            <w:r>
              <w:t>[ICTCLD503 PC 2.3] 2.3 Design microservice architecture using cloud services</w:t>
            </w:r>
          </w:p>
        </w:tc>
        <w:tc>
          <w:tcPr>
            <w:tcW w:type="dxa" w:w="5233"/>
          </w:tcPr>
          <w:p>
            <w:r>
              <w:t>A9</w:t>
            </w:r>
          </w:p>
        </w:tc>
      </w:tr>
      <w:tr>
        <w:tc>
          <w:tcPr>
            <w:tcW w:type="dxa" w:w="5233"/>
          </w:tcPr>
          <w:p>
            <w:r>
              <w:t>[ICTCLD503 PC 2.4] 2.4 Document and justify architecture design</w:t>
            </w:r>
          </w:p>
        </w:tc>
        <w:tc>
          <w:tcPr>
            <w:tcW w:type="dxa" w:w="5233"/>
          </w:tcPr>
          <w:p>
            <w:r>
              <w:t>A10</w:t>
            </w:r>
          </w:p>
        </w:tc>
      </w:tr>
      <w:tr>
        <w:tc>
          <w:tcPr>
            <w:tcW w:type="dxa" w:w="5233"/>
          </w:tcPr>
          <w:p>
            <w:r>
              <w:t>[ICTCLD503 PE 1] design at least one architecture that will scale networking, compute and storage for a multi-tier web application</w:t>
            </w:r>
          </w:p>
        </w:tc>
        <w:tc>
          <w:tcPr>
            <w:tcW w:type="dxa" w:w="5233"/>
          </w:tcPr>
          <w:p>
            <w:r>
              <w:t>A6</w:t>
            </w:r>
          </w:p>
        </w:tc>
      </w:tr>
      <w:tr>
        <w:tc>
          <w:tcPr>
            <w:tcW w:type="dxa" w:w="5233"/>
          </w:tcPr>
          <w:p>
            <w:r>
              <w:t>[ICTCLD503 PE 2] design at least one microservice architecture for implementing a simple web application</w:t>
            </w:r>
          </w:p>
        </w:tc>
        <w:tc>
          <w:tcPr>
            <w:tcW w:type="dxa" w:w="5233"/>
          </w:tcPr>
          <w:p>
            <w:r>
              <w:t>A9</w:t>
            </w:r>
          </w:p>
        </w:tc>
      </w:tr>
      <w:tr>
        <w:tc>
          <w:tcPr>
            <w:tcW w:type="dxa" w:w="5233"/>
          </w:tcPr>
          <w:p>
            <w:r>
              <w:t>[ICTCLD503 PE 5] apply web-scaling principles and technologies.</w:t>
            </w:r>
          </w:p>
        </w:tc>
        <w:tc>
          <w:tcPr>
            <w:tcW w:type="dxa" w:w="5233"/>
          </w:tcPr>
          <w:p>
            <w:r>
              <w:t>A4 · A11</w:t>
            </w:r>
          </w:p>
        </w:tc>
      </w:tr>
      <w:tr>
        <w:tc>
          <w:tcPr>
            <w:tcW w:type="dxa" w:w="5233"/>
          </w:tcPr>
          <w:p>
            <w:r>
              <w:t>[ICTCLD503 KE 3] functions, benefits and differences of web-scale cloud components, including:</w:t>
            </w:r>
          </w:p>
        </w:tc>
        <w:tc>
          <w:tcPr>
            <w:tcW w:type="dxa" w:w="5233"/>
          </w:tcPr>
          <w:p>
            <w:r>
              <w:t>A4 · A11</w:t>
            </w:r>
          </w:p>
        </w:tc>
      </w:tr>
      <w:tr>
        <w:tc>
          <w:tcPr>
            <w:tcW w:type="dxa" w:w="5233"/>
          </w:tcPr>
          <w:p>
            <w:r>
              <w:t>[ICTCLD503 KE 4] definitions, functions, features and uses of web-scale cloud infrastructure, including:</w:t>
            </w:r>
          </w:p>
        </w:tc>
        <w:tc>
          <w:tcPr>
            <w:tcW w:type="dxa" w:w="5233"/>
          </w:tcPr>
          <w:p>
            <w:r>
              <w:t>A8 · A9 · A11</w:t>
            </w:r>
          </w:p>
        </w:tc>
      </w:tr>
      <w:tr>
        <w:tc>
          <w:tcPr>
            <w:tcW w:type="dxa" w:w="5233"/>
          </w:tcPr>
          <w:p>
            <w:r>
              <w:t>[ICTCLD503 KE 6] web-scaling principles and technologies.</w:t>
            </w:r>
          </w:p>
        </w:tc>
        <w:tc>
          <w:tcPr>
            <w:tcW w:type="dxa" w:w="5233"/>
          </w:tcPr>
          <w:p>
            <w:r>
              <w:t>A11</w:t>
            </w:r>
          </w:p>
        </w:tc>
      </w:tr>
      <w:tr>
        <w:tc>
          <w:tcPr>
            <w:tcW w:type="dxa" w:w="5233"/>
          </w:tcPr>
          <w:p>
            <w:r>
              <w:t>[ICTCLD503 FS Problem solving] Problem solving — Uses a mix of intuitive and formal processes to identify key information and issues, evaluates alternative strategies, anticipates consequences and considers implementation issues and contingencies Uses knowledge of context to address common problems in cloud computing applications and cloud-based environments</w:t>
            </w:r>
          </w:p>
        </w:tc>
        <w:tc>
          <w:tcPr>
            <w:tcW w:type="dxa" w:w="5233"/>
          </w:tcPr>
          <w:p>
            <w:r>
              <w:t>A4 · A5</w:t>
            </w:r>
          </w:p>
        </w:tc>
      </w:tr>
      <w:tr>
        <w:tc>
          <w:tcPr>
            <w:tcW w:type="dxa" w:w="5233"/>
          </w:tcPr>
          <w:p>
            <w:r>
              <w:t>[ICTCLD503 FS Reading] Reading — Interprets complex technical and operational documentation to determine and confirm job requirements</w:t>
            </w:r>
          </w:p>
        </w:tc>
        <w:tc>
          <w:tcPr>
            <w:tcW w:type="dxa" w:w="5233"/>
          </w:tcPr>
          <w:p>
            <w:r>
              <w:t>A1</w:t>
            </w:r>
          </w:p>
        </w:tc>
      </w:tr>
      <w:tr>
        <w:tc>
          <w:tcPr>
            <w:tcW w:type="dxa" w:w="5233"/>
          </w:tcPr>
          <w:p>
            <w:r>
              <w:t>[ICTCLD503 FS Self-management] Self-management — Demonstrates a sophisticated knowledge of principles, concepts, language and practices associated with cloud computing and the digital world and uses them to troubleshoot and understand the uses and potential of new technology</w:t>
            </w:r>
          </w:p>
        </w:tc>
        <w:tc>
          <w:tcPr>
            <w:tcW w:type="dxa" w:w="5233"/>
          </w:tcPr>
          <w:p>
            <w:r>
              <w:t>A5 · A11</w:t>
            </w:r>
          </w:p>
        </w:tc>
      </w:tr>
      <w:tr>
        <w:tc>
          <w:tcPr>
            <w:tcW w:type="dxa" w:w="5233"/>
          </w:tcPr>
          <w:p>
            <w:r>
              <w:t>[ICTCLD503 FS Writing] Writing — Develops complex documentation in required formats using clear and detailed language to convey explicit information, requirements and recommendations Writes and edits code, and technical data in a logical manner using required syntax and ensuring flow</w:t>
            </w:r>
          </w:p>
        </w:tc>
        <w:tc>
          <w:tcPr>
            <w:tcW w:type="dxa" w:w="5233"/>
          </w:tcPr>
          <w:p>
            <w:r>
              <w:t>A7 · A10</w:t>
            </w:r>
          </w:p>
        </w:tc>
      </w:tr>
      <w:tr>
        <w:tc>
          <w:tcPr>
            <w:tcW w:type="dxa" w:w="5233"/>
          </w:tcPr>
          <w:p>
            <w:r>
              <w:t>[ICTCLD503 AC 1] cloud vendor service provider</w:t>
            </w:r>
          </w:p>
        </w:tc>
        <w:tc>
          <w:tcPr>
            <w:tcW w:type="dxa" w:w="5233"/>
          </w:tcPr>
          <w:p>
            <w:r>
              <w:t>C2 (pre-condition)</w:t>
            </w:r>
          </w:p>
        </w:tc>
      </w:tr>
      <w:tr>
        <w:tc>
          <w:tcPr>
            <w:tcW w:type="dxa" w:w="5233"/>
          </w:tcPr>
          <w:p>
            <w:r>
              <w:t>[ICTCLD503 AC 2] cloud managed database service</w:t>
            </w:r>
          </w:p>
        </w:tc>
        <w:tc>
          <w:tcPr>
            <w:tcW w:type="dxa" w:w="5233"/>
          </w:tcPr>
          <w:p>
            <w:r>
              <w:t>C2 (pre-condition)</w:t>
            </w:r>
          </w:p>
        </w:tc>
      </w:tr>
      <w:tr>
        <w:tc>
          <w:tcPr>
            <w:tcW w:type="dxa" w:w="5233"/>
          </w:tcPr>
          <w:p>
            <w:r>
              <w:t>[ICTCLD503 AC 3] cloud serverless environment</w:t>
            </w:r>
          </w:p>
        </w:tc>
        <w:tc>
          <w:tcPr>
            <w:tcW w:type="dxa" w:w="5233"/>
          </w:tcPr>
          <w:p>
            <w:r>
              <w:t>C2 (pre-condition)</w:t>
            </w:r>
          </w:p>
        </w:tc>
      </w:tr>
      <w:tr>
        <w:tc>
          <w:tcPr>
            <w:tcW w:type="dxa" w:w="5233"/>
          </w:tcPr>
          <w:p>
            <w:r>
              <w:t>[ICTCLD503 AC 5] information and data sources required to design and implement cloud infrastructure</w:t>
            </w:r>
          </w:p>
        </w:tc>
        <w:tc>
          <w:tcPr>
            <w:tcW w:type="dxa" w:w="5233"/>
          </w:tcPr>
          <w:p>
            <w:r>
              <w:t>C1 (pre-condition)</w:t>
            </w:r>
          </w:p>
        </w:tc>
      </w:tr>
      <w:tr>
        <w:tc>
          <w:tcPr>
            <w:tcW w:type="dxa" w:w="5233"/>
          </w:tcPr>
          <w:p>
            <w:r>
              <w:t>[ICTCLD503 AC 6] integrated development environment (IDE)</w:t>
            </w:r>
          </w:p>
        </w:tc>
        <w:tc>
          <w:tcPr>
            <w:tcW w:type="dxa" w:w="5233"/>
          </w:tcPr>
          <w:p>
            <w:r>
              <w:t>C2 (pre-condition)</w:t>
            </w:r>
          </w:p>
        </w:tc>
      </w:tr>
      <w:tr>
        <w:tc>
          <w:tcPr>
            <w:tcW w:type="dxa" w:w="5233"/>
          </w:tcPr>
          <w:p>
            <w:r>
              <w:t>[ICTCLD503 AC 7] specific requirements and industry standards, organisational procedures and legislative requirements, including business and functionality requirements, as required</w:t>
            </w:r>
          </w:p>
        </w:tc>
        <w:tc>
          <w:tcPr>
            <w:tcW w:type="dxa" w:w="5233"/>
          </w:tcPr>
          <w:p>
            <w:r>
              <w:t>C1 (pre-condition)</w:t>
            </w:r>
          </w:p>
        </w:tc>
      </w:tr>
      <w:tr>
        <w:tc>
          <w:tcPr>
            <w:tcW w:type="dxa" w:w="5233"/>
          </w:tcPr>
          <w:p>
            <w:r>
              <w:t>[ICTCLD503 AC 8] internet and web browser</w:t>
            </w:r>
          </w:p>
        </w:tc>
        <w:tc>
          <w:tcPr>
            <w:tcW w:type="dxa" w:w="5233"/>
          </w:tcPr>
          <w:p>
            <w:r>
              <w:t>C2 (pre-condition)</w:t>
            </w:r>
          </w:p>
        </w:tc>
      </w:tr>
      <w:tr>
        <w:tc>
          <w:tcPr>
            <w:tcW w:type="dxa" w:w="5233"/>
          </w:tcPr>
          <w:p>
            <w:r>
              <w:t>[ICTCLD503 AC 9] data to gather information from to determine output and user requirements, including user access and business protocols.</w:t>
            </w:r>
          </w:p>
        </w:tc>
        <w:tc>
          <w:tcPr>
            <w:tcW w:type="dxa" w:w="5233"/>
          </w:tcPr>
          <w:p>
            <w:r>
              <w:t>C1 (pre-condition)</w:t>
            </w:r>
          </w:p>
        </w:tc>
      </w:tr>
    </w:tbl>
    <w:p/>
    <w:sectPr w:rsidR="00FA41B0" w:rsidRPr="00FA41B0" w:rsidSect="005454B3">
      <w:headerReference w:type="even" r:id="rId11"/>
      <w:headerReference w:type="default" r:id="rId12"/>
      <w:footerReference w:type="default" r:id="rId13"/>
      <w:headerReference w:type="first" r:id="rId14"/>
      <w:pgSz w:w="11906" w:h="16838"/>
      <w:pgMar w:top="720" w:right="720" w:bottom="720" w:left="720"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6F27C1" w14:textId="77777777" w:rsidR="005454B3" w:rsidRDefault="005454B3" w:rsidP="001F4363">
      <w:r>
        <w:separator/>
      </w:r>
    </w:p>
  </w:endnote>
  <w:endnote w:type="continuationSeparator" w:id="0">
    <w:p w14:paraId="284B84C1" w14:textId="77777777" w:rsidR="005454B3" w:rsidRDefault="005454B3" w:rsidP="001F4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E7956" w14:textId="77777777" w:rsidR="005E2781" w:rsidRPr="002439FC" w:rsidRDefault="005E2781" w:rsidP="002439FC">
    <w:pPr>
      <w:pStyle w:val="Footer"/>
      <w:jc w:val="center"/>
    </w:pPr>
    <w:r w:rsidRPr="002439FC">
      <w:t>Bendigo Kangan Institute trading as Bendigo TAFE and Kangan Institute.</w:t>
    </w:r>
  </w:p>
  <w:p w14:paraId="02B19576" w14:textId="77777777" w:rsidR="005E2781" w:rsidRPr="002439FC" w:rsidRDefault="005E2781" w:rsidP="002439FC">
    <w:pPr>
      <w:pStyle w:val="Footer"/>
      <w:jc w:val="center"/>
    </w:pPr>
    <w:r w:rsidRPr="002439FC">
      <w:t>RTO 3077 | CRICOS provider number 01218G</w:t>
    </w:r>
  </w:p>
  <w:p w14:paraId="618059EA" w14:textId="050D6251" w:rsidR="00F6546A" w:rsidRPr="002439FC" w:rsidRDefault="005E2781" w:rsidP="00C455D6">
    <w:pPr>
      <w:pStyle w:val="Footer"/>
      <w:tabs>
        <w:tab w:val="center" w:pos="5245"/>
        <w:tab w:val="right" w:pos="10490"/>
      </w:tabs>
    </w:pPr>
    <w:r w:rsidRPr="002439FC">
      <w:t>Version 1.</w:t>
    </w:r>
    <w:r w:rsidR="00ED067C">
      <w:t>0</w:t>
    </w:r>
    <w:r w:rsidR="00ED067C">
      <w:rPr>
        <w:rStyle w:val="FooterChar"/>
      </w:rPr>
      <w:t xml:space="preserve">   (Template Version 1.3)</w:t>
    </w:r>
    <w:r w:rsidRPr="002439FC">
      <w:tab/>
      <w:t xml:space="preserve">Last saved </w:t>
    </w:r>
    <w:r w:rsidRPr="002439FC">
      <w:fldChar w:fldCharType="begin"/>
    </w:r>
    <w:r w:rsidRPr="002439FC">
      <w:instrText xml:space="preserve"> SAVEDATE  \@ "d MMMM yyyy"  \* MERGEFORMAT </w:instrText>
    </w:r>
    <w:r w:rsidRPr="002439FC">
      <w:fldChar w:fldCharType="separate"/>
    </w:r>
    <w:r w:rsidR="00ED067C">
      <w:rPr>
        <w:noProof/>
      </w:rPr>
      <w:t>13 April 2022</w:t>
    </w:r>
    <w:r w:rsidRPr="002439FC">
      <w:fldChar w:fldCharType="end"/>
    </w:r>
    <w:r w:rsidRPr="002439FC">
      <w:tab/>
      <w:t xml:space="preserve">Page </w:t>
    </w:r>
    <w:r w:rsidR="00632C3B" w:rsidRPr="002439FC">
      <w:fldChar w:fldCharType="begin"/>
    </w:r>
    <w:r w:rsidR="00632C3B" w:rsidRPr="002439FC">
      <w:instrText xml:space="preserve"> PAGE   \* MERGEFORMAT </w:instrText>
    </w:r>
    <w:r w:rsidR="00632C3B" w:rsidRPr="002439FC">
      <w:fldChar w:fldCharType="separate"/>
    </w:r>
    <w:r w:rsidR="00382912">
      <w:rPr>
        <w:noProof/>
      </w:rPr>
      <w:t>1</w:t>
    </w:r>
    <w:r w:rsidR="00632C3B" w:rsidRPr="002439FC">
      <w:fldChar w:fldCharType="end"/>
    </w:r>
    <w:r w:rsidRPr="002439FC">
      <w:t xml:space="preserve"> of </w:t>
    </w:r>
    <w:fldSimple w:instr=" NUMPAGES   \* MERGEFORMAT ">
      <w:r w:rsidR="00382912">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1325AC" w14:textId="77777777" w:rsidR="005454B3" w:rsidRDefault="005454B3" w:rsidP="001F4363">
      <w:r>
        <w:separator/>
      </w:r>
    </w:p>
  </w:footnote>
  <w:footnote w:type="continuationSeparator" w:id="0">
    <w:p w14:paraId="6851C4CF" w14:textId="77777777" w:rsidR="005454B3" w:rsidRDefault="005454B3" w:rsidP="001F4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D763D" w14:textId="65C05917" w:rsidR="00ED067C" w:rsidRDefault="00ED067C">
    <w:pPr>
      <w:pStyle w:val="Header"/>
    </w:pPr>
    <w:r>
      <w:rPr>
        <w:noProof/>
      </w:rPr>
      <mc:AlternateContent>
        <mc:Choice Requires="wps">
          <w:drawing>
            <wp:anchor distT="0" distB="0" distL="0" distR="0" simplePos="0" relativeHeight="251659264" behindDoc="0" locked="0" layoutInCell="1" allowOverlap="1" wp14:anchorId="1F26C2EA" wp14:editId="2A70531C">
              <wp:simplePos x="635" y="635"/>
              <wp:positionH relativeFrom="page">
                <wp:align>center</wp:align>
              </wp:positionH>
              <wp:positionV relativeFrom="page">
                <wp:align>top</wp:align>
              </wp:positionV>
              <wp:extent cx="443865" cy="443865"/>
              <wp:effectExtent l="0" t="0" r="635" b="4445"/>
              <wp:wrapNone/>
              <wp:docPr id="85602454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26C2EA"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20386CD3" w14:textId="2FB39A91"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486BA" w14:textId="2299019F" w:rsidR="00ED067C" w:rsidRDefault="00ED067C">
    <w:pPr>
      <w:pStyle w:val="Header"/>
    </w:pPr>
    <w:r>
      <w:rPr>
        <w:noProof/>
      </w:rPr>
      <mc:AlternateContent>
        <mc:Choice Requires="wps">
          <w:drawing>
            <wp:anchor distT="0" distB="0" distL="0" distR="0" simplePos="0" relativeHeight="251660288" behindDoc="0" locked="0" layoutInCell="1" allowOverlap="1" wp14:anchorId="62DFE9B5" wp14:editId="3CFA304E">
              <wp:simplePos x="457200" y="361950"/>
              <wp:positionH relativeFrom="page">
                <wp:align>center</wp:align>
              </wp:positionH>
              <wp:positionV relativeFrom="page">
                <wp:align>top</wp:align>
              </wp:positionV>
              <wp:extent cx="443865" cy="443865"/>
              <wp:effectExtent l="0" t="0" r="635" b="4445"/>
              <wp:wrapNone/>
              <wp:docPr id="80652368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DFE9B5"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19E63799" w14:textId="2FEF9970"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0137" w14:textId="415E06DE" w:rsidR="00ED067C" w:rsidRDefault="00ED067C">
    <w:pPr>
      <w:pStyle w:val="Header"/>
    </w:pPr>
    <w:r>
      <w:rPr>
        <w:noProof/>
      </w:rPr>
      <mc:AlternateContent>
        <mc:Choice Requires="wps">
          <w:drawing>
            <wp:anchor distT="0" distB="0" distL="0" distR="0" simplePos="0" relativeHeight="251658240" behindDoc="0" locked="0" layoutInCell="1" allowOverlap="1" wp14:anchorId="4F3A558E" wp14:editId="08918A6D">
              <wp:simplePos x="635" y="635"/>
              <wp:positionH relativeFrom="page">
                <wp:align>center</wp:align>
              </wp:positionH>
              <wp:positionV relativeFrom="page">
                <wp:align>top</wp:align>
              </wp:positionV>
              <wp:extent cx="443865" cy="443865"/>
              <wp:effectExtent l="0" t="0" r="635" b="4445"/>
              <wp:wrapNone/>
              <wp:docPr id="165731633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3A558E"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642B4A93" w14:textId="6BD8D765" w:rsidR="00ED067C" w:rsidRPr="00ED067C" w:rsidRDefault="00ED067C" w:rsidP="00ED067C">
                    <w:pPr>
                      <w:rPr>
                        <w:rFonts w:ascii="Calibri" w:eastAsia="Calibri" w:hAnsi="Calibri" w:cs="Calibri"/>
                        <w:noProof/>
                        <w:color w:val="FF0000"/>
                        <w:sz w:val="24"/>
                        <w:szCs w:val="24"/>
                      </w:rPr>
                    </w:pPr>
                    <w:r w:rsidRPr="00ED067C">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3DC3"/>
    <w:multiLevelType w:val="hybridMultilevel"/>
    <w:tmpl w:val="F476F1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9951561"/>
    <w:multiLevelType w:val="hybridMultilevel"/>
    <w:tmpl w:val="E558E2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1771459">
    <w:abstractNumId w:val="1"/>
  </w:num>
  <w:num w:numId="2" w16cid:durableId="13297934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2686E"/>
    <w:rsid w:val="00044B62"/>
    <w:rsid w:val="00054A74"/>
    <w:rsid w:val="00055BE3"/>
    <w:rsid w:val="00057B45"/>
    <w:rsid w:val="000608C2"/>
    <w:rsid w:val="00063A13"/>
    <w:rsid w:val="00076D93"/>
    <w:rsid w:val="00096DC8"/>
    <w:rsid w:val="000A75A5"/>
    <w:rsid w:val="000C4CE0"/>
    <w:rsid w:val="000C5DCF"/>
    <w:rsid w:val="000D4A69"/>
    <w:rsid w:val="000D5272"/>
    <w:rsid w:val="000D5C56"/>
    <w:rsid w:val="000E793E"/>
    <w:rsid w:val="000E7FC5"/>
    <w:rsid w:val="000F75D7"/>
    <w:rsid w:val="00107D2F"/>
    <w:rsid w:val="00113B84"/>
    <w:rsid w:val="00114E4D"/>
    <w:rsid w:val="00115C1E"/>
    <w:rsid w:val="0012485A"/>
    <w:rsid w:val="0013430A"/>
    <w:rsid w:val="0013576A"/>
    <w:rsid w:val="00144B4B"/>
    <w:rsid w:val="001508CF"/>
    <w:rsid w:val="0016369D"/>
    <w:rsid w:val="001702A2"/>
    <w:rsid w:val="00181BFD"/>
    <w:rsid w:val="001A58E6"/>
    <w:rsid w:val="001A6C48"/>
    <w:rsid w:val="001A7DBF"/>
    <w:rsid w:val="001B1015"/>
    <w:rsid w:val="001B6CE8"/>
    <w:rsid w:val="001C1000"/>
    <w:rsid w:val="001C3E6D"/>
    <w:rsid w:val="001D729E"/>
    <w:rsid w:val="001D78D9"/>
    <w:rsid w:val="001D7CE5"/>
    <w:rsid w:val="001E3325"/>
    <w:rsid w:val="001E6FFB"/>
    <w:rsid w:val="001E71A7"/>
    <w:rsid w:val="001E7CBB"/>
    <w:rsid w:val="001F4363"/>
    <w:rsid w:val="00202B8A"/>
    <w:rsid w:val="002044F8"/>
    <w:rsid w:val="00205DFA"/>
    <w:rsid w:val="002229E8"/>
    <w:rsid w:val="00222A66"/>
    <w:rsid w:val="002267D1"/>
    <w:rsid w:val="00226D05"/>
    <w:rsid w:val="00227508"/>
    <w:rsid w:val="00236318"/>
    <w:rsid w:val="002363FC"/>
    <w:rsid w:val="00236D3A"/>
    <w:rsid w:val="00237960"/>
    <w:rsid w:val="002439FC"/>
    <w:rsid w:val="002642CA"/>
    <w:rsid w:val="00267155"/>
    <w:rsid w:val="00290616"/>
    <w:rsid w:val="00293984"/>
    <w:rsid w:val="002A6715"/>
    <w:rsid w:val="002B15B6"/>
    <w:rsid w:val="002B1EC1"/>
    <w:rsid w:val="002B4C2D"/>
    <w:rsid w:val="002D2911"/>
    <w:rsid w:val="002E6737"/>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82912"/>
    <w:rsid w:val="00384C7A"/>
    <w:rsid w:val="003A316B"/>
    <w:rsid w:val="003B1864"/>
    <w:rsid w:val="003B5A81"/>
    <w:rsid w:val="003C3176"/>
    <w:rsid w:val="003C34A3"/>
    <w:rsid w:val="003C4945"/>
    <w:rsid w:val="003F1F4E"/>
    <w:rsid w:val="003F4160"/>
    <w:rsid w:val="003F6EFC"/>
    <w:rsid w:val="00403949"/>
    <w:rsid w:val="00405C1A"/>
    <w:rsid w:val="004127A0"/>
    <w:rsid w:val="0041439C"/>
    <w:rsid w:val="00421C6B"/>
    <w:rsid w:val="00423EF4"/>
    <w:rsid w:val="00424023"/>
    <w:rsid w:val="004272E6"/>
    <w:rsid w:val="0044158F"/>
    <w:rsid w:val="0044532B"/>
    <w:rsid w:val="00445BF7"/>
    <w:rsid w:val="0044608D"/>
    <w:rsid w:val="00451F59"/>
    <w:rsid w:val="00452058"/>
    <w:rsid w:val="004622B1"/>
    <w:rsid w:val="004647AF"/>
    <w:rsid w:val="00464DED"/>
    <w:rsid w:val="00470387"/>
    <w:rsid w:val="0048089C"/>
    <w:rsid w:val="00486919"/>
    <w:rsid w:val="00486C54"/>
    <w:rsid w:val="00486CCF"/>
    <w:rsid w:val="004879B2"/>
    <w:rsid w:val="0049547D"/>
    <w:rsid w:val="004A03AF"/>
    <w:rsid w:val="004B05BC"/>
    <w:rsid w:val="004B46C0"/>
    <w:rsid w:val="004C25D0"/>
    <w:rsid w:val="004D1249"/>
    <w:rsid w:val="004D3BC4"/>
    <w:rsid w:val="004E30B6"/>
    <w:rsid w:val="004E423A"/>
    <w:rsid w:val="004E4425"/>
    <w:rsid w:val="004E78AD"/>
    <w:rsid w:val="004E793C"/>
    <w:rsid w:val="004F2400"/>
    <w:rsid w:val="00502337"/>
    <w:rsid w:val="00515F85"/>
    <w:rsid w:val="005163FA"/>
    <w:rsid w:val="00530FE1"/>
    <w:rsid w:val="0053539F"/>
    <w:rsid w:val="005377AE"/>
    <w:rsid w:val="005454B3"/>
    <w:rsid w:val="00547501"/>
    <w:rsid w:val="0055264A"/>
    <w:rsid w:val="00554E87"/>
    <w:rsid w:val="00571F38"/>
    <w:rsid w:val="00572193"/>
    <w:rsid w:val="00572FD7"/>
    <w:rsid w:val="00575EA4"/>
    <w:rsid w:val="00576A8C"/>
    <w:rsid w:val="00577089"/>
    <w:rsid w:val="005800A9"/>
    <w:rsid w:val="00582CE5"/>
    <w:rsid w:val="00590EBA"/>
    <w:rsid w:val="005A352E"/>
    <w:rsid w:val="005A6F91"/>
    <w:rsid w:val="005C0FC4"/>
    <w:rsid w:val="005D2E0C"/>
    <w:rsid w:val="005D57BD"/>
    <w:rsid w:val="005E2781"/>
    <w:rsid w:val="005E3E16"/>
    <w:rsid w:val="005F4DEF"/>
    <w:rsid w:val="00601957"/>
    <w:rsid w:val="00605082"/>
    <w:rsid w:val="00606B76"/>
    <w:rsid w:val="00620148"/>
    <w:rsid w:val="00623CE3"/>
    <w:rsid w:val="006244AA"/>
    <w:rsid w:val="00630E16"/>
    <w:rsid w:val="00632C3B"/>
    <w:rsid w:val="00634FF3"/>
    <w:rsid w:val="006472F5"/>
    <w:rsid w:val="00651611"/>
    <w:rsid w:val="00656E53"/>
    <w:rsid w:val="00657BB4"/>
    <w:rsid w:val="006606A6"/>
    <w:rsid w:val="00685BD5"/>
    <w:rsid w:val="0069030A"/>
    <w:rsid w:val="00690E61"/>
    <w:rsid w:val="00694DF2"/>
    <w:rsid w:val="006C2B69"/>
    <w:rsid w:val="006C62B4"/>
    <w:rsid w:val="006D58D4"/>
    <w:rsid w:val="006D706F"/>
    <w:rsid w:val="006E33EF"/>
    <w:rsid w:val="006E4A12"/>
    <w:rsid w:val="006E5479"/>
    <w:rsid w:val="006F10D0"/>
    <w:rsid w:val="00701387"/>
    <w:rsid w:val="00705046"/>
    <w:rsid w:val="0072388E"/>
    <w:rsid w:val="00732CAA"/>
    <w:rsid w:val="0074548C"/>
    <w:rsid w:val="007538D7"/>
    <w:rsid w:val="00756E13"/>
    <w:rsid w:val="007615C5"/>
    <w:rsid w:val="00772309"/>
    <w:rsid w:val="0078162A"/>
    <w:rsid w:val="0078312D"/>
    <w:rsid w:val="00791B7A"/>
    <w:rsid w:val="00793D28"/>
    <w:rsid w:val="007973CB"/>
    <w:rsid w:val="007A63E4"/>
    <w:rsid w:val="007A7B35"/>
    <w:rsid w:val="007B3239"/>
    <w:rsid w:val="007C6FBF"/>
    <w:rsid w:val="007C7FDE"/>
    <w:rsid w:val="007D5702"/>
    <w:rsid w:val="007D69F3"/>
    <w:rsid w:val="007E127C"/>
    <w:rsid w:val="007E12F7"/>
    <w:rsid w:val="007F1267"/>
    <w:rsid w:val="007F2BE6"/>
    <w:rsid w:val="00802842"/>
    <w:rsid w:val="00805C42"/>
    <w:rsid w:val="00805E0B"/>
    <w:rsid w:val="00816E9C"/>
    <w:rsid w:val="008400C6"/>
    <w:rsid w:val="008541F0"/>
    <w:rsid w:val="0086098D"/>
    <w:rsid w:val="00861D3D"/>
    <w:rsid w:val="00862361"/>
    <w:rsid w:val="00877CB4"/>
    <w:rsid w:val="008817B6"/>
    <w:rsid w:val="008829DD"/>
    <w:rsid w:val="00885847"/>
    <w:rsid w:val="0088695F"/>
    <w:rsid w:val="00886B4C"/>
    <w:rsid w:val="008A49B2"/>
    <w:rsid w:val="008C5064"/>
    <w:rsid w:val="008D5DD1"/>
    <w:rsid w:val="008E3E7A"/>
    <w:rsid w:val="008E5611"/>
    <w:rsid w:val="008F1F56"/>
    <w:rsid w:val="008F230E"/>
    <w:rsid w:val="009108B2"/>
    <w:rsid w:val="009119BD"/>
    <w:rsid w:val="00913BA4"/>
    <w:rsid w:val="009270C9"/>
    <w:rsid w:val="009328FE"/>
    <w:rsid w:val="00950D11"/>
    <w:rsid w:val="00954EFB"/>
    <w:rsid w:val="0095698D"/>
    <w:rsid w:val="00961018"/>
    <w:rsid w:val="00961AFC"/>
    <w:rsid w:val="00961F64"/>
    <w:rsid w:val="00965C66"/>
    <w:rsid w:val="0097798B"/>
    <w:rsid w:val="00993D3D"/>
    <w:rsid w:val="009A0DA8"/>
    <w:rsid w:val="009C0102"/>
    <w:rsid w:val="009D309A"/>
    <w:rsid w:val="009D3245"/>
    <w:rsid w:val="009F008B"/>
    <w:rsid w:val="009F30C9"/>
    <w:rsid w:val="009F5553"/>
    <w:rsid w:val="009F62F5"/>
    <w:rsid w:val="00A12591"/>
    <w:rsid w:val="00A20E3D"/>
    <w:rsid w:val="00A2190A"/>
    <w:rsid w:val="00A22CAE"/>
    <w:rsid w:val="00A24C4F"/>
    <w:rsid w:val="00A26257"/>
    <w:rsid w:val="00A30983"/>
    <w:rsid w:val="00A37FE7"/>
    <w:rsid w:val="00A47A0B"/>
    <w:rsid w:val="00A53742"/>
    <w:rsid w:val="00A574C0"/>
    <w:rsid w:val="00A650F7"/>
    <w:rsid w:val="00A6670D"/>
    <w:rsid w:val="00A7355E"/>
    <w:rsid w:val="00A918E0"/>
    <w:rsid w:val="00AB1185"/>
    <w:rsid w:val="00AB2A73"/>
    <w:rsid w:val="00AB7DBF"/>
    <w:rsid w:val="00AC0655"/>
    <w:rsid w:val="00AC4C6E"/>
    <w:rsid w:val="00AD34BA"/>
    <w:rsid w:val="00AF1329"/>
    <w:rsid w:val="00AF65B9"/>
    <w:rsid w:val="00B00F3B"/>
    <w:rsid w:val="00B07BF3"/>
    <w:rsid w:val="00B10E78"/>
    <w:rsid w:val="00B215D2"/>
    <w:rsid w:val="00B2407C"/>
    <w:rsid w:val="00B32741"/>
    <w:rsid w:val="00B4252C"/>
    <w:rsid w:val="00B43D0B"/>
    <w:rsid w:val="00B46200"/>
    <w:rsid w:val="00B56858"/>
    <w:rsid w:val="00B60EFE"/>
    <w:rsid w:val="00B62733"/>
    <w:rsid w:val="00B6719F"/>
    <w:rsid w:val="00B84213"/>
    <w:rsid w:val="00BA3E48"/>
    <w:rsid w:val="00BA48B6"/>
    <w:rsid w:val="00BA6476"/>
    <w:rsid w:val="00BA6713"/>
    <w:rsid w:val="00BD209C"/>
    <w:rsid w:val="00BE1B4A"/>
    <w:rsid w:val="00BE4F3C"/>
    <w:rsid w:val="00BE554D"/>
    <w:rsid w:val="00BE665F"/>
    <w:rsid w:val="00BF0FDD"/>
    <w:rsid w:val="00BF117B"/>
    <w:rsid w:val="00C02DC7"/>
    <w:rsid w:val="00C2180F"/>
    <w:rsid w:val="00C358A5"/>
    <w:rsid w:val="00C455D6"/>
    <w:rsid w:val="00C5028F"/>
    <w:rsid w:val="00C519EC"/>
    <w:rsid w:val="00C60745"/>
    <w:rsid w:val="00C608B7"/>
    <w:rsid w:val="00C64447"/>
    <w:rsid w:val="00C664DD"/>
    <w:rsid w:val="00C677AA"/>
    <w:rsid w:val="00C70115"/>
    <w:rsid w:val="00C72B9B"/>
    <w:rsid w:val="00C82E31"/>
    <w:rsid w:val="00C853B8"/>
    <w:rsid w:val="00CA0229"/>
    <w:rsid w:val="00CA1C63"/>
    <w:rsid w:val="00CA383B"/>
    <w:rsid w:val="00CA7224"/>
    <w:rsid w:val="00CA7E20"/>
    <w:rsid w:val="00CB3DCD"/>
    <w:rsid w:val="00CB6655"/>
    <w:rsid w:val="00CC2D84"/>
    <w:rsid w:val="00CC63F7"/>
    <w:rsid w:val="00CD0E7D"/>
    <w:rsid w:val="00CD7EFF"/>
    <w:rsid w:val="00CE06BC"/>
    <w:rsid w:val="00CF6858"/>
    <w:rsid w:val="00D01E63"/>
    <w:rsid w:val="00D1174F"/>
    <w:rsid w:val="00D151E8"/>
    <w:rsid w:val="00D26634"/>
    <w:rsid w:val="00D32428"/>
    <w:rsid w:val="00D40CC3"/>
    <w:rsid w:val="00D506B0"/>
    <w:rsid w:val="00D54D46"/>
    <w:rsid w:val="00D5698B"/>
    <w:rsid w:val="00D57FAA"/>
    <w:rsid w:val="00D669F7"/>
    <w:rsid w:val="00D71584"/>
    <w:rsid w:val="00D8354B"/>
    <w:rsid w:val="00D90E35"/>
    <w:rsid w:val="00D911E5"/>
    <w:rsid w:val="00D9739F"/>
    <w:rsid w:val="00D97B9E"/>
    <w:rsid w:val="00DA2E77"/>
    <w:rsid w:val="00DC39FE"/>
    <w:rsid w:val="00DC70C4"/>
    <w:rsid w:val="00DF0A26"/>
    <w:rsid w:val="00E02C1C"/>
    <w:rsid w:val="00E12FFD"/>
    <w:rsid w:val="00E21F54"/>
    <w:rsid w:val="00E25BCA"/>
    <w:rsid w:val="00E31110"/>
    <w:rsid w:val="00E3570B"/>
    <w:rsid w:val="00E4047C"/>
    <w:rsid w:val="00E44321"/>
    <w:rsid w:val="00E5370C"/>
    <w:rsid w:val="00E55003"/>
    <w:rsid w:val="00E64921"/>
    <w:rsid w:val="00E669C5"/>
    <w:rsid w:val="00E73E50"/>
    <w:rsid w:val="00E81213"/>
    <w:rsid w:val="00E865CC"/>
    <w:rsid w:val="00E9103A"/>
    <w:rsid w:val="00E95E46"/>
    <w:rsid w:val="00EB2369"/>
    <w:rsid w:val="00EB7F79"/>
    <w:rsid w:val="00EC0249"/>
    <w:rsid w:val="00EC4E58"/>
    <w:rsid w:val="00EC663F"/>
    <w:rsid w:val="00EC6C5D"/>
    <w:rsid w:val="00EC7238"/>
    <w:rsid w:val="00EC78CD"/>
    <w:rsid w:val="00ED067C"/>
    <w:rsid w:val="00ED3590"/>
    <w:rsid w:val="00EE0C3F"/>
    <w:rsid w:val="00EE6F65"/>
    <w:rsid w:val="00EF0326"/>
    <w:rsid w:val="00EF29FC"/>
    <w:rsid w:val="00EF7306"/>
    <w:rsid w:val="00F018F4"/>
    <w:rsid w:val="00F114EB"/>
    <w:rsid w:val="00F202B0"/>
    <w:rsid w:val="00F20C93"/>
    <w:rsid w:val="00F26820"/>
    <w:rsid w:val="00F27BEE"/>
    <w:rsid w:val="00F34EF5"/>
    <w:rsid w:val="00F40308"/>
    <w:rsid w:val="00F511FA"/>
    <w:rsid w:val="00F51402"/>
    <w:rsid w:val="00F6231D"/>
    <w:rsid w:val="00F626E3"/>
    <w:rsid w:val="00F6546A"/>
    <w:rsid w:val="00F72F31"/>
    <w:rsid w:val="00F746C7"/>
    <w:rsid w:val="00F80891"/>
    <w:rsid w:val="00F8192E"/>
    <w:rsid w:val="00FA069B"/>
    <w:rsid w:val="00FA41B0"/>
    <w:rsid w:val="00FB15C3"/>
    <w:rsid w:val="00FC2E29"/>
    <w:rsid w:val="00FD7203"/>
    <w:rsid w:val="00FF33D6"/>
    <w:rsid w:val="00FF5980"/>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B2755DB7-7379-434E-9BAC-355FB7ADD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363"/>
    <w:pPr>
      <w:spacing w:after="0" w:line="240" w:lineRule="auto"/>
    </w:pPr>
  </w:style>
  <w:style w:type="paragraph" w:styleId="Heading1">
    <w:name w:val="heading 1"/>
    <w:basedOn w:val="NoSpacing"/>
    <w:next w:val="Normal"/>
    <w:link w:val="Heading1Char"/>
    <w:uiPriority w:val="9"/>
    <w:qFormat/>
    <w:rsid w:val="001F4363"/>
    <w:pPr>
      <w:spacing w:after="60"/>
      <w:outlineLvl w:val="0"/>
    </w:pPr>
    <w:rPr>
      <w:sz w:val="44"/>
      <w:szCs w:val="44"/>
    </w:rPr>
  </w:style>
  <w:style w:type="paragraph" w:styleId="Heading2">
    <w:name w:val="heading 2"/>
    <w:basedOn w:val="Heading3"/>
    <w:next w:val="Normal"/>
    <w:link w:val="Heading2Char"/>
    <w:uiPriority w:val="9"/>
    <w:unhideWhenUsed/>
    <w:qFormat/>
    <w:rsid w:val="006E4A12"/>
    <w:pPr>
      <w:outlineLvl w:val="1"/>
    </w:pPr>
    <w:rPr>
      <w:color w:val="FFFFFF" w:themeColor="background1"/>
      <w:sz w:val="26"/>
    </w:rPr>
  </w:style>
  <w:style w:type="paragraph" w:styleId="Heading3">
    <w:name w:val="heading 3"/>
    <w:basedOn w:val="Heading4"/>
    <w:next w:val="Normal"/>
    <w:link w:val="Heading3Char"/>
    <w:uiPriority w:val="9"/>
    <w:unhideWhenUsed/>
    <w:qFormat/>
    <w:rsid w:val="006E4A12"/>
    <w:pPr>
      <w:outlineLvl w:val="2"/>
    </w:pPr>
  </w:style>
  <w:style w:type="paragraph" w:styleId="Heading4">
    <w:name w:val="heading 4"/>
    <w:basedOn w:val="NoSpacing"/>
    <w:next w:val="Normal"/>
    <w:link w:val="Heading4Char"/>
    <w:uiPriority w:val="9"/>
    <w:unhideWhenUsed/>
    <w:rsid w:val="001F4363"/>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63"/>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6E4A12"/>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6E4A12"/>
    <w:rPr>
      <w:b/>
    </w:rPr>
  </w:style>
  <w:style w:type="character" w:customStyle="1" w:styleId="Heading4Char">
    <w:name w:val="Heading 4 Char"/>
    <w:basedOn w:val="DefaultParagraphFont"/>
    <w:link w:val="Heading4"/>
    <w:uiPriority w:val="9"/>
    <w:rsid w:val="001F4363"/>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2439FC"/>
    <w:rPr>
      <w:sz w:val="16"/>
      <w:szCs w:val="16"/>
    </w:rPr>
  </w:style>
  <w:style w:type="character" w:customStyle="1" w:styleId="FooterChar">
    <w:name w:val="Footer Char"/>
    <w:basedOn w:val="DefaultParagraphFont"/>
    <w:link w:val="Footer"/>
    <w:uiPriority w:val="99"/>
    <w:rsid w:val="002439FC"/>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572FD7"/>
    <w:rPr>
      <w:color w:val="1F497D" w:themeColor="text2"/>
    </w:rPr>
  </w:style>
  <w:style w:type="character" w:customStyle="1" w:styleId="NoSpacingChar">
    <w:name w:val="No Spacing Char"/>
    <w:basedOn w:val="DefaultParagraphFont"/>
    <w:link w:val="NoSpacing"/>
    <w:uiPriority w:val="1"/>
    <w:rsid w:val="001F4363"/>
  </w:style>
  <w:style w:type="character" w:customStyle="1" w:styleId="AssessortextChar">
    <w:name w:val="Assessor text Char"/>
    <w:basedOn w:val="NoSpacingChar"/>
    <w:link w:val="Assessortext"/>
    <w:rsid w:val="00572FD7"/>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2-at1/projects/website-global-expansion/requirements" TargetMode="External"/><Relationship Id="rId18" Type="http://schemas.openxmlformats.org/officeDocument/2006/relationships/hyperlink" Target="https://yat.timbaird.com/intranet/s1-cl2-at1/projects/website-global-expansion/data-residency-requirements" TargetMode="External"/><Relationship Id="rId19" Type="http://schemas.openxmlformats.org/officeDocument/2006/relationships/hyperlink" Target="https://yat.timbaird.com/intranet/s1-cl2-at1/ict/website-server-status-ha" TargetMode="External"/><Relationship Id="rId20" Type="http://schemas.openxmlformats.org/officeDocument/2006/relationships/hyperlink" Target="https://yat.timbaird.com/intranet/s1-cl2-at1/ict/website-application-spec" TargetMode="External"/><Relationship Id="rId21" Type="http://schemas.openxmlformats.org/officeDocument/2006/relationships/hyperlink" Target="https://yat.timbaird.com/intranet/s1-cl2-at1/projects/website-global-expansion/role-brief" TargetMode="External"/><Relationship Id="rId22" Type="http://schemas.openxmlformats.org/officeDocument/2006/relationships/hyperlink" Target="https://yat.timbaird.com/intranet/s1-cl2-at1/ict/network-diagram-ha-hardened" TargetMode="External"/><Relationship Id="rId23" Type="http://schemas.openxmlformats.org/officeDocument/2006/relationships/hyperlink" Target="https://yat.timbaird.com/intranet/s1-cl2-at1/reference/reference-architectures" TargetMode="External"/><Relationship Id="rId24" Type="http://schemas.openxmlformats.org/officeDocument/2006/relationships/hyperlink" Target="https://yat.timbaird.com/intranet/s1-cl2-at1/policies/privacy" TargetMode="External"/><Relationship Id="rId25" Type="http://schemas.openxmlformats.org/officeDocument/2006/relationships/hyperlink" Target="https://yat.timbaird.com/intranet/s1-cl2-at1/ict/lms-dr-plan-onprem-deprecated" TargetMode="External"/><Relationship Id="rId26" Type="http://schemas.openxmlformats.org/officeDocument/2006/relationships/hyperlink" Target="https://yat.timbaird.com/intranet/s1-cl2-at1/policies/backup-retention" TargetMode="External"/><Relationship Id="rId27" Type="http://schemas.openxmlformats.org/officeDocument/2006/relationships/hyperlink" Target="https://yat.timbaird.com/intranet/s1-cl2-at1/reference/industry-standards" TargetMode="External"/><Relationship Id="rId28" Type="http://schemas.openxmlformats.org/officeDocument/2006/relationships/hyperlink" Target="https://yat.timbaird.com/intranet/s1-cl2-at1/policies/records-management" TargetMode="External"/><Relationship Id="rId29" Type="http://schemas.openxmlformats.org/officeDocument/2006/relationships/hyperlink" Target="https://yat.timbaird.com/intranet/s1-cl2-at1/projects/website-global-expansion/master-services-agreement" TargetMode="External"/><Relationship Id="rId30" Type="http://schemas.openxmlformats.org/officeDocument/2006/relationships/hyperlink" Target="https://yat.timbaird.com/intranet/s1-cl2-at1/policies/security-incident" TargetMode="External"/><Relationship Id="rId31" Type="http://schemas.openxmlformats.org/officeDocument/2006/relationships/hyperlink" Target="https://yat.timbaird.com/intranet/s1-cl2-at1/policies/change-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4EDA87-AAAA-43E1-87A4-F317188D990F}"/>
</file>

<file path=customXml/itemProps2.xml><?xml version="1.0" encoding="utf-8"?>
<ds:datastoreItem xmlns:ds="http://schemas.openxmlformats.org/officeDocument/2006/customXml" ds:itemID="{AB43DB7F-4F95-4680-AC5A-0DAC465244CE}">
  <ds:schemaRefs>
    <ds:schemaRef ds:uri="http://schemas.openxmlformats.org/officeDocument/2006/bibliography"/>
  </ds:schemaRefs>
</ds:datastoreItem>
</file>

<file path=customXml/itemProps3.xml><?xml version="1.0" encoding="utf-8"?>
<ds:datastoreItem xmlns:ds="http://schemas.openxmlformats.org/officeDocument/2006/customXml" ds:itemID="{62592C51-5DF4-40C0-8E84-942E6938BC04}">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4.xml><?xml version="1.0" encoding="utf-8"?>
<ds:datastoreItem xmlns:ds="http://schemas.openxmlformats.org/officeDocument/2006/customXml" ds:itemID="{34D3D63F-E7F5-44D5-94D5-721BEC103C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2</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99</cp:revision>
  <cp:lastPrinted>2019-09-16T04:16:00Z</cp:lastPrinted>
  <dcterms:created xsi:type="dcterms:W3CDTF">2019-09-13T00:47:00Z</dcterms:created>
  <dcterms:modified xsi:type="dcterms:W3CDTF">2024-03-13T04:49:00Z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e37e483b-6ac8-4818-b119-674c26b0576b</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https://staffkanganedu.sharepoint.com/:w:/r/sites/AcademicGovernance/Examples/EXAMPLE%20HLTWHS001%20Assessor%20-%20Project%20Assessment.docx?d=we64fc7d869a84cdba794fdf0ef65573f&amp;csf=1&amp;web=1&amp;e=K6Ttl3, EXAMPLE HLTWHS001 Assessor - Project Assessment</vt:lpwstr>
  </property>
  <property fmtid="{D5CDD505-2E9C-101B-9397-08002B2CF9AE}" pid="15" name="DocumentOrder">
    <vt:r8>6</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62c8a3eb,3305e5e4,30129327</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2024-03-13T04:37:32Z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62286b6f-3d17-4474-ac24-f3013c170c5a</vt:lpwstr>
  </property>
  <property fmtid="{D5CDD505-2E9C-101B-9397-08002B2CF9AE}" pid="28" name="MSIP_Label_af2c37eb-6316-4425-a693-0f2d1c6408d2_ContentBits">
    <vt:lpwstr>1</vt:lpwstr>
  </property>
</Properties>
</file>