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ICTICT517 Match ICT needs with the strategic direction of the organisation</w:t>
            </w:r>
          </w:p>
          <w:p>
            <w:pPr/>
            <w:r>
              <w:t>ICTCLD401 Configure cloud services</w:t>
            </w:r>
          </w:p>
          <w:p>
            <w:pPr/>
            <w: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AT2 — Cloud Foundation Build: YAT LMS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2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the implementation of a supplied AWS cloud architecture for the YAT LMS migration, and the production of a Deployment Report documenting the build.</w:t>
            </w:r>
          </w:p>
          <w:p>
            <w:pPr>
              <w:pStyle w:val="Assessortext"/>
            </w:pPr>
            <w:r>
              <w:t>The assessment is a single-task project delivered as one written artefact (the Deployment Report) with one populated appendix. Implementation occurs in the AWS Academy lab environment authorised for this cluster. There is no presentation or observation event — all assessment evidence is captured in the Deployment Report and its appendices.</w:t>
            </w:r>
          </w:p>
          <w:p>
            <w:pPr>
              <w:pStyle w:val="Assessortext"/>
            </w:pPr>
            <w:r>
              <w:t>This is an open-book practical assessment. Students may use the YAT intranet, the AWS Pricing Calculator, AWS Academy lab environments, AWS documentation, course reference materials, and external research (which must be cited) throughout.</w:t>
            </w:r>
          </w:p>
          <w:p>
            <w:pPr>
              <w:pStyle w:val="Assessortext"/>
            </w:pPr>
            <w:r>
              <w:t>AT2 is the second of three assessment tasks in the S1-CL1 Cloud Design and Build cluster. It builds on AT1 (Business Case + presentation event) and feeds into AT3 (HA hardening + project closure). The student remains in the same MTS consultant role across all three.</w:t>
            </w:r>
          </w:p>
          <w:p>
            <w:pPr>
              <w:pStyle w:val="Assessortext"/>
            </w:pPr>
            <w:r>
              <w:t>Reasonable adjustment for this assessment may include extending the time allowed, varying the lab access arrangement (e.g. extended lab hours), allowing alternative screenshot-evidence formats where assistive technology requires it, or providing one-on-one verbal explanation of the supplied design where needed.</w:t>
            </w:r>
          </w:p>
          <w:p>
            <w:pPr>
              <w:pStyle w:val="Assessortext"/>
            </w:pPr>
            <w:r>
              <w:t>Teacher/assessor support level: the teacher/assessor may clarify task requirements, scenario context, or the supplied design but must not guide students to specific configuration decisions or correct knowledge-evidence answers. The two Configuration Decisions left to the implementer (per the supplied design §4.16) must be made by the student.</w:t>
            </w:r>
          </w:p>
          <w:p>
            <w:pPr>
              <w:pStyle w:val="Assessortext"/>
            </w:pPr>
            <w:r>
              <w:t>Submission: the completed Deployment Report (.docx) with the evidence appendix populated is submitted via the LMS.</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Following the YAT board's approval of the action plan in the student's AT1 Business Case engagement, the student took a period of planned annual leave (in-scenario narrative).</w:t>
            </w:r>
          </w:p>
          <w:p>
            <w:pPr>
              <w:pStyle w:val="Assessortext"/>
            </w:pPr>
            <w:r>
              <w:t>During that time MTS Senior Architecture worked with YAT IT to translate the approved direction into a detailed technical design — the YAT LMS Cloud Architecture — Baseline Design — which is now the student's build specification.</w:t>
            </w:r>
          </w:p>
          <w:p>
            <w:pPr>
              <w:pStyle w:val="Assessortext"/>
            </w:pPr>
            <w:r>
              <w:t>The student has returned to MTS to lead the foundation-build phase of the engagement. The task has two parts that combine into a single deliverable:</w:t>
            </w:r>
          </w:p>
          <w:p>
            <w:pPr>
              <w:pStyle w:val="Assessortext"/>
            </w:pPr>
            <w:r>
              <w:t>Implement the supplied AWS architecture for the YAT LMS migration foundation build, in the AWS Academy lab environment authorised for this engagement.</w:t>
            </w:r>
          </w:p>
          <w:p>
            <w:pPr>
              <w:pStyle w:val="Assessortext"/>
            </w:pPr>
            <w:r>
              <w:t>Produce a Deployment Report documenting the build, using the YAT-provided Deployment Report template. The report covers what was built, configuration decisions made where the supplied design left them open, testing and validation outcomes, an operational handover for YAT IT, written responses to six contextual Knowledge Evidence questions about the student's own build, and one appendix of evidence.</w:t>
            </w:r>
          </w:p>
          <w:p>
            <w:pPr>
              <w:pStyle w:val="Assessortext"/>
            </w:pPr>
            <w:r>
              <w:t>The Deployment Report is the single submitted deliverable. All build evidence (screenshots, test results) is captured in the report's appendices — there is no separate portfolio submission and no presentation event.</w:t>
            </w:r>
          </w:p>
          <w:p>
            <w:pPr>
              <w:pStyle w:val="Assessortext"/>
            </w:pPr>
            <w:r>
              <w:t>The architecture being implemented is intentionally non-HA at this stage. HA hardening is the next phase (AT3) and is explicitly out of scope for AT2.</w:t>
            </w:r>
          </w:p>
          <w:p>
            <w:pPr>
              <w:pStyle w:val="Assessortext"/>
            </w:pPr>
            <w:r>
              <w:t>MTS scope: cloud infrastructure provisioning only. Per the LMS Migration Role Brief on the YAT intranet (§ Scope of the MTS consulting engagement), students must not perform LMS application installation, MySQL data migration, cutover activities, or organisational change management as part of AT2. Those are YAT in-house IT's responsibility in-scenario. The AT2 deliverable stops at infrastructure ready for application deployment. Assessors should not award credit for application-deployment work that falls outside this scope; equally, students who include such work in their report should be redirected to focus their evidence on the in-scope infrastructure deliverables.</w:t>
            </w:r>
          </w:p>
          <w:p>
            <w:pPr>
              <w:pStyle w:val="Assessortext"/>
            </w:pPr>
            <w:r>
              <w:t>Note:</w:t>
            </w:r>
          </w:p>
          <w:p>
            <w:pPr>
              <w:pStyle w:val="Assessortext"/>
            </w:pPr>
            <w:r>
              <w:t>All scenario materials, organisational policies, supplied design, report template, and previous-project examples for YAT College are available on the YAT intranet — students sign in to the intranet at the start of the engagement and refer to it throughout.</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Access to the YAT intranet — supplying the LMS Application Specification and the Records Management Policy</w:t>
            </w:r>
          </w:p>
          <w:p>
            <w:pPr>
              <w:pStyle w:val="Assessortext"/>
            </w:pPr>
            <w:r>
              <w:t>Both documents are linked in the Instructions to Student below</w:t>
            </w:r>
          </w:p>
          <w:p>
            <w:pPr>
              <w:pStyle w:val="Assessortext"/>
            </w:pPr>
            <w:r>
              <w:t>AWS Academy lab access — Cloud Foundations [104469] + Cloud Architecting [172221]</w:t>
            </w:r>
          </w:p>
          <w:p>
            <w:pPr>
              <w:pStyle w:val="Assessortext"/>
            </w:pPr>
            <w:r>
              <w:t>The worked run sheet later in this document — screenshot descriptions, model answers and per-task UoC mapping</w:t>
            </w:r>
          </w:p>
          <w:p>
            <w:pPr>
              <w:pStyle w:val="Assessortext"/>
            </w:pPr>
            <w:r>
              <w:t>Student supplied resources</w:t>
            </w:r>
          </w:p>
          <w:p>
            <w:pPr>
              <w:pStyle w:val="Assessortext"/>
            </w:pPr>
            <w:r>
              <w:t>Computer with web browser</w:t>
            </w:r>
          </w:p>
          <w:p>
            <w:pPr>
              <w:pStyle w:val="Assessortext"/>
            </w:pPr>
            <w:r>
              <w:t>Word-processing software (e.g. Microsoft Word or equivalent)</w:t>
            </w:r>
          </w:p>
          <w:p>
            <w:pPr>
              <w:pStyle w:val="Assessortext"/>
            </w:pPr>
            <w: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a completed Deployment Report (.docx) using the YAT-supplied template, with every section you are asked to write and every appendix populated</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Lab environment is accessible to the student throughout the assessment — AWS Academy Cloud Foundations [104469] + AWS Academy Cloud Architecting [172221] — providing cloud vendor service provider access, cloud managed database service (RDS), IDE / console / CLI / SSH-RDP tooling, and internet/web browser access</w:t>
            </w:r>
          </w:p>
          <w:p>
            <w:pPr/>
            <w:r>
              <w:t>[ICTCLD401 AC 1] · [ICTCLD401 AC 2] · [ICTCLD401 AC 3] · [ICTCLD502 AC 1] · [ICTCLD502 AC 2] · [ICTCLD502 AC 4] · [ICTCLD502 AC 6] · [ICTCLD502 AC 7]</w:t>
            </w:r>
          </w:p>
          <w:p>
            <w:pPr/>
            <w:r>
              <w:t>C2 The YAT scenario site / intranet is accessible to the student throughout the assessment — supplying the LMS Application Specification and the organisational policies</w:t>
            </w:r>
          </w:p>
          <w:p>
            <w:pPr/>
            <w:r>
              <w:t>[ICTCLD401 AC 4] · [ICTCLD502 AC 3] · [ICTCLD502 AC 5] · [ICTCLD502 AC 8]</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A1 Network foundation (tasks 2-7) — student builds the VPC; the five subnets, with the three workload subnets in one zone and the two second-zone subnets the load balancer and the database subnet group each require; the internet and NAT gateways; two route tables, the data subnets left on the VPC default which carries no internet route; and the three security groups, with the database reachable only from the application tier</w:t>
            </w:r>
          </w:p>
          <w:p>
            <w:pPr/>
            <w:r>
              <w:t>[ICTCLD401 PC 1.2] · [ICTCLD401 PC 1.7] · [ICTCLD401 PC 2.2] · [ICTCLD401 PE 1] · [ICTCLD502 PC 1.3]</w:t>
            </w:r>
          </w:p>
        </w:tc>
        <w:tc>
          <w:tcPr>
            <w:tcW w:type="dxa" w:w="1934"/>
          </w:tcPr>
          <w:p>
            <w:r>
              <w:t>☐ Yes  ☐ No</w:t>
            </w:r>
          </w:p>
        </w:tc>
      </w:tr>
      <w:tr>
        <w:tc>
          <w:tcPr>
            <w:tcW w:type="dxa" w:w="8697"/>
          </w:tcPr>
          <w:p>
            <w:r>
              <w:t>A2 Identity and access (tasks 1, 8-9) — student accesses the platform, creates the four IAM groups, enables MFA on an administrator, and creates the instance role so no credentials are stored on a server</w:t>
            </w:r>
          </w:p>
          <w:p>
            <w:pPr/>
            <w:r>
              <w:t>[ICTCLD401 PC 1.4] · [ICTCLD401 PC 1.5] · [ICTCLD401 PC 1.6] · [ICTCLD401 PC 2.1]</w:t>
            </w:r>
          </w:p>
        </w:tc>
        <w:tc>
          <w:tcPr>
            <w:tcW w:type="dxa" w:w="1934"/>
          </w:tcPr>
          <w:p>
            <w:r>
              <w:t>☐ Yes  ☐ No</w:t>
            </w:r>
          </w:p>
        </w:tc>
      </w:tr>
      <w:tr>
        <w:tc>
          <w:tcPr>
            <w:tcW w:type="dxa" w:w="8697"/>
          </w:tcPr>
          <w:p>
            <w:r>
              <w:t>A3 Compute and load balancing (tasks 10-13) — student creates the launch template with the instance role and both volumes, the target group and internet-facing load balancer, and the Auto Scaling group attached to that target group with a scaling policy</w:t>
            </w:r>
          </w:p>
          <w:p>
            <w:pPr/>
            <w:r>
              <w:t>[ICTCLD401 PC 2.3] · [ICTCLD401 PC 3.1] · [ICTCLD502 PC 4.1] · [ICTCLD401 PE 2]</w:t>
            </w:r>
          </w:p>
        </w:tc>
        <w:tc>
          <w:tcPr>
            <w:tcW w:type="dxa" w:w="1934"/>
          </w:tcPr>
          <w:p>
            <w:r>
              <w:t>☐ Yes  ☐ No</w:t>
            </w:r>
          </w:p>
        </w:tc>
      </w:tr>
      <w:tr>
        <w:tc>
          <w:tcPr>
            <w:tcW w:type="dxa" w:w="8697"/>
          </w:tcPr>
          <w:p>
            <w:r>
              <w:t>A4 Database (tasks 14-15) — student creates the subnet group spanning two zones and deploys the managed database: single-AZ, encrypted, not publicly accessible, and in the database security group</w:t>
            </w:r>
          </w:p>
          <w:p>
            <w:pPr/>
            <w:r>
              <w:t>[ICTCLD401 PC 2.4] · [ICTCLD401 PC 2.5] · [ICTCLD401 PE 2]</w:t>
            </w:r>
          </w:p>
        </w:tc>
        <w:tc>
          <w:tcPr>
            <w:tcW w:type="dxa" w:w="1934"/>
          </w:tcPr>
          <w:p>
            <w:r>
              <w:t>☐ Yes  ☐ No</w:t>
            </w:r>
          </w:p>
        </w:tc>
      </w:tr>
      <w:tr>
        <w:tc>
          <w:tcPr>
            <w:tcW w:type="dxa" w:w="8697"/>
          </w:tcPr>
          <w:p>
            <w:r>
              <w:t>A5 Monitoring (task 16) — student creates both baseline alarms and evidences their state</w:t>
            </w:r>
          </w:p>
          <w:p>
            <w:pPr/>
            <w:r>
              <w:t>[ICTCLD502 PC 4.3]</w:t>
            </w:r>
          </w:p>
        </w:tc>
        <w:tc>
          <w:tcPr>
            <w:tcW w:type="dxa" w:w="1934"/>
          </w:tcPr>
          <w:p>
            <w:r>
              <w:t>☐ Yes  ☐ No</w:t>
            </w:r>
          </w:p>
        </w:tc>
      </w:tr>
      <w:tr>
        <w:tc>
          <w:tcPr>
            <w:tcW w:type="dxa" w:w="8697"/>
          </w:tcPr>
          <w:p>
            <w:r>
              <w:t>A6 Configuration decisions (tasks 10 and 15) — for each of the two decisions the run sheet leaves open, student names the option not chosen, states the choice made, and justifies it against the YAT LMS workload. Naming the gap between what the environment permits and what the workload needs is a satisfactory answer</w:t>
            </w:r>
          </w:p>
          <w:p>
            <w:pPr/>
            <w:r>
              <w:t>[ICTCLD401 PC 1.1] · [ICTCLD401 PC 1.3]</w:t>
            </w:r>
          </w:p>
        </w:tc>
        <w:tc>
          <w:tcPr>
            <w:tcW w:type="dxa" w:w="1934"/>
          </w:tcPr>
          <w:p>
            <w:r>
              <w:t>☐ Yes  ☐ No</w:t>
            </w:r>
          </w:p>
        </w:tc>
      </w:tr>
      <w:tr>
        <w:tc>
          <w:tcPr>
            <w:tcW w:type="dxa" w:w="8697"/>
          </w:tcPr>
          <w:p>
            <w:r>
              <w:t>A7 Testing (T1-T5) — student connects to the application server, reaches the internet, the database and the load balancer from it, and demonstrates the Auto Scaling group scaling out and back in on its own. Each screenshot shows what its box asks for</w:t>
            </w:r>
          </w:p>
          <w:p>
            <w:pPr/>
            <w:r>
              <w:t>[ICTCLD401 PC 2.6] · [ICTCLD401 PC 3.2] · [ICTCLD401 PE 3] · [ICTCLD502 PC 4.2]</w:t>
            </w:r>
          </w:p>
        </w:tc>
        <w:tc>
          <w:tcPr>
            <w:tcW w:type="dxa" w:w="1934"/>
          </w:tcPr>
          <w:p>
            <w:r>
              <w:t>☐ Yes  ☐ No</w:t>
            </w:r>
          </w:p>
        </w:tc>
      </w:tr>
      <w:tr>
        <w:tc>
          <w:tcPr>
            <w:tcW w:type="dxa" w:w="8697"/>
          </w:tcPr>
          <w:p>
            <w:r>
              <w:t>A8 Knowledge questions (Q1-Q6) — student answers all six with reference to their own build, not generically, in clear written English</w:t>
            </w:r>
          </w:p>
          <w:p>
            <w:pPr/>
            <w:r>
              <w:t>[ICTCLD401 KE 5] · [ICTCLD401 KE 6] · [ICTCLD401 KE 7] · [ICTCLD401 KE 8] · [ICTCLD401 KE 9] · [ICTCLD401 KE 10] · [ICTCLD401 FS Reading] · [ICTCLD401 FS Writing]</w:t>
            </w:r>
          </w:p>
        </w:tc>
        <w:tc>
          <w:tcPr>
            <w:tcW w:type="dxa" w:w="1934"/>
          </w:tcPr>
          <w:p>
            <w:r>
              <w:t>☐ Yes  ☐ No</w:t>
            </w:r>
          </w:p>
        </w:tc>
      </w:tr>
      <w:tr>
        <w:tc>
          <w:tcPr>
            <w:tcW w:type="dxa" w:w="8697"/>
          </w:tcPr>
          <w:p>
            <w:r>
              <w:t>A9 Handover — student states where the completed run sheet was filed and which YAT policy required that location</w:t>
            </w:r>
          </w:p>
          <w:p>
            <w:pPr/>
            <w:r>
              <w:t>[ICTCLD401 PC 4.3]</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Scenario</w:t>
      </w:r>
    </w:p>
    <w:p>
      <w:pPr>
        <w:spacing w:after="160"/>
      </w:pPr>
      <w:r>
        <w:rPr>
          <w:b w:val="0"/>
          <w:i w:val="0"/>
          <w:sz w:val="21"/>
        </w:rPr>
        <w:t>YAT College is migrating their Learning Management System from on-premises to AWS. You are an MTS Consultant on this engagement, reporting to Pat Lin (MTS Senior Consultant). Sam Walker (YAT IT Manager) is your primary YAT-side stakeholder.</w:t>
      </w:r>
    </w:p>
    <w:p>
      <w:pPr>
        <w:spacing w:after="160"/>
      </w:pPr>
      <w:r>
        <w:rPr>
          <w:b w:val="0"/>
          <w:i w:val="0"/>
          <w:sz w:val="21"/>
        </w:rPr>
        <w:t>At the end of the AT1 engagement the YAT board approved your action plan. MTS Senior Architecture then worked with YAT IT to turn that direction into a cloud architecture design, and an MTS implementation lead turned the design into the build run sheet that forms the second half of this document.</w:t>
      </w:r>
    </w:p>
    <w:p>
      <w:pPr>
        <w:spacing w:after="160"/>
      </w:pPr>
      <w:r>
        <w:rPr>
          <w:b w:val="0"/>
          <w:i w:val="0"/>
          <w:sz w:val="21"/>
        </w:rPr>
        <w:t>Your job is to work through that run sheet and stand up the infrastructure. You are the implementer: the design decisions have been made, and the run sheet tells you what to build and what to build it to.</w:t>
      </w:r>
    </w:p>
    <w:p>
      <w:pPr>
        <w:pStyle w:val="Heading1"/>
      </w:pPr>
      <w:r>
        <w:t>Required resources (assessment conditions)</w:t>
      </w:r>
    </w:p>
    <w:p>
      <w:pPr>
        <w:spacing w:after="120"/>
        <w:ind w:left="340"/>
      </w:pPr>
      <w:r>
        <w:rPr>
          <w:sz w:val="21"/>
        </w:rPr>
        <w:t xml:space="preserve">•  </w:t>
      </w:r>
      <w:hyperlink r:id="rId17">
        <w:r>
          <w:rPr>
            <w:sz w:val="21"/>
            <w:color w:val="0563C1"/>
            <w:u w:val="single"/>
          </w:rPr>
          <w:t>LMS Application Specification — the workload your two sizing decisions are justified against</w:t>
        </w:r>
      </w:hyperlink>
    </w:p>
    <w:p>
      <w:pPr>
        <w:spacing w:after="120"/>
        <w:ind w:left="340"/>
      </w:pPr>
      <w:r>
        <w:rPr>
          <w:sz w:val="21"/>
        </w:rPr>
        <w:t xml:space="preserve">•  </w:t>
      </w:r>
      <w:hyperlink r:id="rId18">
        <w:r>
          <w:rPr>
            <w:sz w:val="21"/>
            <w:color w:val="0563C1"/>
            <w:u w:val="single"/>
          </w:rPr>
          <w:t>Records Management Policy — where a completed engagement document has to be filed</w:t>
        </w:r>
      </w:hyperlink>
    </w:p>
    <w:p>
      <w:pPr>
        <w:pStyle w:val="Heading1"/>
      </w:pPr>
      <w:r>
        <w:t>Instructions to Student</w:t>
      </w:r>
    </w:p>
    <w:p>
      <w:pPr>
        <w:spacing w:after="160"/>
      </w:pPr>
      <w:r>
        <w:rPr>
          <w:b w:val="0"/>
          <w:i w:val="0"/>
          <w:sz w:val="21"/>
        </w:rPr>
        <w:t>Work the tasks in order. Each one tells you what to build and the settings to build it to; finding your way around the console is left to you.</w:t>
      </w:r>
    </w:p>
    <w:p>
      <w:pPr>
        <w:spacing w:after="160"/>
      </w:pPr>
      <w:r>
        <w:rPr>
          <w:b w:val="0"/>
          <w:i w:val="0"/>
          <w:sz w:val="21"/>
        </w:rPr>
        <w:t>Take each screenshot as you finish the task, not at the end. Recreating a screen after you have moved on is painful and sometimes impossible — this is the single most common way students lose marks here.</w:t>
      </w:r>
    </w:p>
    <w:p>
      <w:pPr>
        <w:spacing w:after="160"/>
      </w:pPr>
      <w:r>
        <w:rPr>
          <w:b w:val="0"/>
          <w:i w:val="0"/>
          <w:sz w:val="21"/>
        </w:rPr>
        <w:t>Two tasks ask you to choose between two options. Name the one you did not pick as well as the one you did — a choice with no alternative beside it is not a comparison.</w:t>
      </w:r>
    </w:p>
    <w:p>
      <w:pPr>
        <w:spacing w:after="160"/>
      </w:pPr>
      <w:r>
        <w:rPr>
          <w:b w:val="0"/>
          <w:i w:val="0"/>
          <w:sz w:val="21"/>
        </w:rPr>
        <w:t>Run the tests yourself and screenshot what actually happened. If a test fails, fix it, run it again, and say what you changed.</w:t>
      </w:r>
    </w:p>
    <w:p>
      <w:pPr>
        <w:spacing w:after="160"/>
      </w:pPr>
      <w:r>
        <w:rPr>
          <w:b w:val="0"/>
          <w:i w:val="0"/>
          <w:sz w:val="21"/>
        </w:rPr>
        <w:t>Answer the knowledge questions about your own build. Generic answers about cloud computing will not pass.</w:t>
      </w:r>
    </w:p>
    <w:p>
      <w:pPr>
        <w:spacing w:after="200"/>
      </w:pPr>
      <w:r>
        <w:rPr>
          <w:b w:val="0"/>
          <w:i w:val="0"/>
          <w:sz w:val="21"/>
        </w:rPr>
        <w:t>This engagement's production region is ap-southeast-2 (Sydney). The build environment for this work is us-east-1 — build there, and treat it as standing in for Sydney throughout.</w:t>
      </w:r>
    </w:p>
    <w:p>
      <w:pPr>
        <w:spacing w:before="200" w:after="0"/>
      </w:pPr>
      <w:r>
        <w:rPr>
          <w:b/>
          <w:color w:val="1F5A5C"/>
          <w:sz w:val="16"/>
        </w:rPr>
        <w:t>TASK 1</w:t>
      </w:r>
    </w:p>
    <w:p>
      <w:pPr>
        <w:pStyle w:val="Heading2"/>
      </w:pPr>
      <w:r>
        <w:t>Sign in and confirm your working region</w:t>
      </w:r>
    </w:p>
    <w:p>
      <w:pPr>
        <w:spacing w:after="80"/>
      </w:pPr>
      <w:r>
        <w:rPr>
          <w:b w:val="0"/>
          <w:i/>
          <w:color w:val="6B6660"/>
          <w:sz w:val="18"/>
        </w:rPr>
        <w:t>Evidences: [ICTCLD401 PC 1.4]</w:t>
      </w:r>
    </w:p>
    <w:p>
      <w:pPr>
        <w:spacing w:after="120"/>
      </w:pPr>
      <w:r>
        <w:rPr>
          <w:b w:val="0"/>
          <w:i w:val="0"/>
          <w:sz w:val="21"/>
        </w:rPr>
        <w:t>Sign in to the AWS console for this engagement and set your region.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console with the region selector visible, showing the correct region.</w:t>
            </w:r>
          </w:p>
          <w:p>
            <w:pPr>
              <w:jc w:val="center"/>
            </w:pPr>
            <w:r>
              <w:drawing>
                <wp:inline xmlns:a="http://schemas.openxmlformats.org/drawingml/2006/main" xmlns:pic="http://schemas.openxmlformats.org/drawingml/2006/picture">
                  <wp:extent cx="5760000" cy="4708280"/>
                  <wp:docPr id="1" name="Picture 1"/>
                  <wp:cNvGraphicFramePr>
                    <a:graphicFrameLocks noChangeAspect="1"/>
                  </wp:cNvGraphicFramePr>
                  <a:graphic>
                    <a:graphicData uri="http://schemas.openxmlformats.org/drawingml/2006/picture">
                      <pic:pic>
                        <pic:nvPicPr>
                          <pic:cNvPr id="0" name="task-01.png"/>
                          <pic:cNvPicPr/>
                        </pic:nvPicPr>
                        <pic:blipFill>
                          <a:blip r:embed="rId19"/>
                          <a:stretch>
                            <a:fillRect/>
                          </a:stretch>
                        </pic:blipFill>
                        <pic:spPr>
                          <a:xfrm>
                            <a:off x="0" y="0"/>
                            <a:ext cx="5760000" cy="4708280"/>
                          </a:xfrm>
                          <a:prstGeom prst="rect"/>
                        </pic:spPr>
                      </pic:pic>
                    </a:graphicData>
                  </a:graphic>
                </wp:inline>
              </w:drawing>
            </w:r>
          </w:p>
        </w:tc>
      </w:tr>
    </w:tbl>
    <w:p/>
    <w:p>
      <w:pPr>
        <w:spacing w:before="200" w:after="0"/>
      </w:pPr>
      <w:r>
        <w:rPr>
          <w:b/>
          <w:color w:val="1F5A5C"/>
          <w:sz w:val="16"/>
        </w:rPr>
        <w:t>TASK 2</w:t>
      </w:r>
    </w:p>
    <w:p>
      <w:pPr>
        <w:pStyle w:val="Heading2"/>
      </w:pPr>
      <w:r>
        <w:t>Create the VPC</w:t>
      </w:r>
    </w:p>
    <w:p>
      <w:pPr>
        <w:spacing w:after="120"/>
      </w:pPr>
      <w:r>
        <w:rPr>
          <w:b w:val="0"/>
          <w:i w:val="0"/>
          <w:sz w:val="21"/>
        </w:rPr>
        <w:t>Create the virtual private cloud all of this engagement's infrastructure sits in.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IPv4 CIDR</w:t>
            </w:r>
          </w:p>
        </w:tc>
        <w:tc>
          <w:tcPr>
            <w:tcW w:type="dxa" w:w="6576"/>
            <w:tcBorders>
              <w:top w:val="single" w:sz="4" w:space="0" w:color="E4DED3"/>
              <w:left w:val="single" w:sz="4" w:space="0" w:color="E4DED3"/>
              <w:bottom w:val="single" w:sz="4" w:space="0" w:color="E4DED3"/>
              <w:right w:val="single" w:sz="4" w:space="0" w:color="E4DED3"/>
            </w:tcBorders>
          </w:tcPr>
          <w:p>
            <w:r>
              <w:rPr>
                <w:sz w:val="19"/>
              </w:rPr>
              <w:t>10.0.0.0/16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hostnames</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resolution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bl>
    <w:p/>
    <w:p>
      <w:pPr>
        <w:spacing w:after="60"/>
      </w:pPr>
      <w:r>
        <w:rPr>
          <w:b/>
          <w:i w:val="0"/>
          <w:sz w:val="21"/>
        </w:rPr>
        <w:t>Evidence</w:t>
      </w:r>
    </w:p>
    <w:p>
      <w:pPr>
        <w:spacing w:after="200"/>
      </w:pPr>
      <w:r>
        <w:rPr>
          <w:b w:val="0"/>
          <w:i/>
          <w:color w:val="6B6660"/>
          <w:sz w:val="19"/>
        </w:rPr>
        <w:t>No screenshot required. Creating the VPC is not an assessable action on its own — it is the prerequisite for everything that follows, all of which is built inside it.</w:t>
      </w:r>
    </w:p>
    <w:p>
      <w:pPr>
        <w:spacing w:before="200" w:after="0"/>
      </w:pPr>
      <w:r>
        <w:rPr>
          <w:b/>
          <w:color w:val="1F5A5C"/>
          <w:sz w:val="16"/>
        </w:rPr>
        <w:t>TASK 3</w:t>
      </w:r>
    </w:p>
    <w:p>
      <w:pPr>
        <w:pStyle w:val="Heading2"/>
      </w:pPr>
      <w:r>
        <w:t>Create the subnets</w:t>
      </w:r>
    </w:p>
    <w:p>
      <w:pPr>
        <w:spacing w:after="80"/>
      </w:pPr>
      <w:r>
        <w:rPr>
          <w:b w:val="0"/>
          <w:i/>
          <w:color w:val="6B6660"/>
          <w:sz w:val="18"/>
        </w:rPr>
        <w:t>Evidences: [ICTCLD401 PC 2.2] · [ICTCLD401 PE 1]</w:t>
      </w:r>
    </w:p>
    <w:p>
      <w:pPr>
        <w:spacing w:after="120"/>
      </w:pPr>
      <w:r>
        <w:rPr>
          <w:b w:val="0"/>
          <w:i w:val="0"/>
          <w:sz w:val="21"/>
        </w:rPr>
        <w:t>Create five subnets, using the names, address ranges and zones below. Set the zone yourself on every one — the console picks a default, and if two subnets that are meant to be in different zones end up in the same one, the load balancer and the database will both refuse to create later.</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public-web-a</w:t>
            </w:r>
          </w:p>
        </w:tc>
        <w:tc>
          <w:tcPr>
            <w:tcW w:type="dxa" w:w="6576"/>
            <w:tcBorders>
              <w:top w:val="single" w:sz="4" w:space="0" w:color="E4DED3"/>
              <w:left w:val="single" w:sz="4" w:space="0" w:color="E4DED3"/>
              <w:bottom w:val="single" w:sz="4" w:space="0" w:color="E4DED3"/>
              <w:right w:val="single" w:sz="4" w:space="0" w:color="E4DED3"/>
            </w:tcBorders>
          </w:tcPr>
          <w:p>
            <w:r>
              <w:rPr>
                <w:sz w:val="19"/>
              </w:rPr>
              <w:t>10.0.1.0/24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public-web-b</w:t>
            </w:r>
          </w:p>
        </w:tc>
        <w:tc>
          <w:tcPr>
            <w:tcW w:type="dxa" w:w="6576"/>
            <w:tcBorders>
              <w:top w:val="single" w:sz="4" w:space="0" w:color="E4DED3"/>
              <w:left w:val="single" w:sz="4" w:space="0" w:color="E4DED3"/>
              <w:bottom w:val="single" w:sz="4" w:space="0" w:color="E4DED3"/>
              <w:right w:val="single" w:sz="4" w:space="0" w:color="E4DED3"/>
            </w:tcBorders>
          </w:tcPr>
          <w:p>
            <w:r>
              <w:rPr>
                <w:sz w:val="19"/>
              </w:rPr>
              <w:t>10.0.2.0/24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private-app-a</w:t>
            </w:r>
          </w:p>
        </w:tc>
        <w:tc>
          <w:tcPr>
            <w:tcW w:type="dxa" w:w="6576"/>
            <w:tcBorders>
              <w:top w:val="single" w:sz="4" w:space="0" w:color="E4DED3"/>
              <w:left w:val="single" w:sz="4" w:space="0" w:color="E4DED3"/>
              <w:bottom w:val="single" w:sz="4" w:space="0" w:color="E4DED3"/>
              <w:right w:val="single" w:sz="4" w:space="0" w:color="E4DED3"/>
            </w:tcBorders>
          </w:tcPr>
          <w:p>
            <w:r>
              <w:rPr>
                <w:sz w:val="19"/>
              </w:rPr>
              <w:t>10.0.11.0/24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private-data-a</w:t>
            </w:r>
          </w:p>
        </w:tc>
        <w:tc>
          <w:tcPr>
            <w:tcW w:type="dxa" w:w="6576"/>
            <w:tcBorders>
              <w:top w:val="single" w:sz="4" w:space="0" w:color="E4DED3"/>
              <w:left w:val="single" w:sz="4" w:space="0" w:color="E4DED3"/>
              <w:bottom w:val="single" w:sz="4" w:space="0" w:color="E4DED3"/>
              <w:right w:val="single" w:sz="4" w:space="0" w:color="E4DED3"/>
            </w:tcBorders>
          </w:tcPr>
          <w:p>
            <w:r>
              <w:rPr>
                <w:sz w:val="19"/>
              </w:rPr>
              <w:t>10.0.21.0/24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private-data-b</w:t>
            </w:r>
          </w:p>
        </w:tc>
        <w:tc>
          <w:tcPr>
            <w:tcW w:type="dxa" w:w="6576"/>
            <w:tcBorders>
              <w:top w:val="single" w:sz="4" w:space="0" w:color="E4DED3"/>
              <w:left w:val="single" w:sz="4" w:space="0" w:color="E4DED3"/>
              <w:bottom w:val="single" w:sz="4" w:space="0" w:color="E4DED3"/>
              <w:right w:val="single" w:sz="4" w:space="0" w:color="E4DED3"/>
            </w:tcBorders>
          </w:tcPr>
          <w:p>
            <w:r>
              <w:rPr>
                <w:sz w:val="19"/>
              </w:rPr>
              <w:t>10.0.22.0/24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Why five</w:t>
            </w:r>
          </w:p>
        </w:tc>
        <w:tc>
          <w:tcPr>
            <w:tcW w:type="dxa" w:w="6576"/>
            <w:tcBorders>
              <w:top w:val="single" w:sz="4" w:space="0" w:color="E4DED3"/>
              <w:left w:val="single" w:sz="4" w:space="0" w:color="E4DED3"/>
              <w:bottom w:val="single" w:sz="4" w:space="0" w:color="E4DED3"/>
              <w:right w:val="single" w:sz="4" w:space="0" w:color="E4DED3"/>
            </w:tcBorders>
          </w:tcPr>
          <w:p>
            <w:r>
              <w:rPr>
                <w:sz w:val="19"/>
              </w:rPr>
              <w:t>three carry your workload, all in us-east-1a. The two in us-east-1b exist only because the load balancer and the database subnet group each refuse to be created unless you give them subnets in two zones. Nothing is placed in those two</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subnet list filtered to your VPC, showing all five with their address ranges and, in particular, the Availability Zone column.</w:t>
            </w:r>
          </w:p>
          <w:p>
            <w:pPr>
              <w:jc w:val="center"/>
            </w:pPr>
            <w:r>
              <w:drawing>
                <wp:inline xmlns:a="http://schemas.openxmlformats.org/drawingml/2006/main" xmlns:pic="http://schemas.openxmlformats.org/drawingml/2006/picture">
                  <wp:extent cx="5760000" cy="982259"/>
                  <wp:docPr id="2" name="Picture 2"/>
                  <wp:cNvGraphicFramePr>
                    <a:graphicFrameLocks noChangeAspect="1"/>
                  </wp:cNvGraphicFramePr>
                  <a:graphic>
                    <a:graphicData uri="http://schemas.openxmlformats.org/drawingml/2006/picture">
                      <pic:pic>
                        <pic:nvPicPr>
                          <pic:cNvPr id="0" name="task-03.png"/>
                          <pic:cNvPicPr/>
                        </pic:nvPicPr>
                        <pic:blipFill>
                          <a:blip r:embed="rId20"/>
                          <a:stretch>
                            <a:fillRect/>
                          </a:stretch>
                        </pic:blipFill>
                        <pic:spPr>
                          <a:xfrm>
                            <a:off x="0" y="0"/>
                            <a:ext cx="5760000" cy="982259"/>
                          </a:xfrm>
                          <a:prstGeom prst="rect"/>
                        </pic:spPr>
                      </pic:pic>
                    </a:graphicData>
                  </a:graphic>
                </wp:inline>
              </w:drawing>
            </w:r>
          </w:p>
        </w:tc>
      </w:tr>
    </w:tbl>
    <w:p/>
    <w:p>
      <w:pPr>
        <w:spacing w:before="200" w:after="0"/>
      </w:pPr>
      <w:r>
        <w:rPr>
          <w:b/>
          <w:color w:val="1F5A5C"/>
          <w:sz w:val="16"/>
        </w:rPr>
        <w:t>TASK 4</w:t>
      </w:r>
    </w:p>
    <w:p>
      <w:pPr>
        <w:pStyle w:val="Heading2"/>
      </w:pPr>
      <w:r>
        <w:t>Create the internet gateway</w:t>
      </w:r>
    </w:p>
    <w:p>
      <w:pPr>
        <w:spacing w:after="80"/>
      </w:pPr>
      <w:r>
        <w:rPr>
          <w:b w:val="0"/>
          <w:i/>
          <w:color w:val="6B6660"/>
          <w:sz w:val="18"/>
        </w:rPr>
        <w:t>Evidences: [ICTCLD401 PC 2.2] · [ICTCLD401 PE 1]</w:t>
      </w:r>
    </w:p>
    <w:p>
      <w:pPr>
        <w:spacing w:after="120"/>
      </w:pPr>
      <w:r>
        <w:rPr>
          <w:b w:val="0"/>
          <w:i w:val="0"/>
          <w:sz w:val="21"/>
        </w:rPr>
        <w:t>Create the gateway that gives the public subnet a path to the internet, and attach it to your VPC.</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yat-lms-igw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Attach to</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internet gateway showing State: Attached, and the VPC it is attached to.</w:t>
            </w:r>
          </w:p>
          <w:p>
            <w:pPr>
              <w:jc w:val="center"/>
            </w:pPr>
            <w:r>
              <w:drawing>
                <wp:inline xmlns:a="http://schemas.openxmlformats.org/drawingml/2006/main" xmlns:pic="http://schemas.openxmlformats.org/drawingml/2006/picture">
                  <wp:extent cx="5760000" cy="860437"/>
                  <wp:docPr id="3" name="Picture 3"/>
                  <wp:cNvGraphicFramePr>
                    <a:graphicFrameLocks noChangeAspect="1"/>
                  </wp:cNvGraphicFramePr>
                  <a:graphic>
                    <a:graphicData uri="http://schemas.openxmlformats.org/drawingml/2006/picture">
                      <pic:pic>
                        <pic:nvPicPr>
                          <pic:cNvPr id="0" name="task-04.png"/>
                          <pic:cNvPicPr/>
                        </pic:nvPicPr>
                        <pic:blipFill>
                          <a:blip r:embed="rId21"/>
                          <a:stretch>
                            <a:fillRect/>
                          </a:stretch>
                        </pic:blipFill>
                        <pic:spPr>
                          <a:xfrm>
                            <a:off x="0" y="0"/>
                            <a:ext cx="5760000" cy="860437"/>
                          </a:xfrm>
                          <a:prstGeom prst="rect"/>
                        </pic:spPr>
                      </pic:pic>
                    </a:graphicData>
                  </a:graphic>
                </wp:inline>
              </w:drawing>
            </w:r>
          </w:p>
        </w:tc>
      </w:tr>
    </w:tbl>
    <w:p/>
    <w:p>
      <w:pPr>
        <w:spacing w:before="200" w:after="0"/>
      </w:pPr>
      <w:r>
        <w:rPr>
          <w:b/>
          <w:color w:val="1F5A5C"/>
          <w:sz w:val="16"/>
        </w:rPr>
        <w:t>TASK 5</w:t>
      </w:r>
    </w:p>
    <w:p>
      <w:pPr>
        <w:pStyle w:val="Heading2"/>
      </w:pPr>
      <w:r>
        <w:t>Create the NAT gateway</w:t>
      </w:r>
    </w:p>
    <w:p>
      <w:pPr>
        <w:spacing w:after="80"/>
      </w:pPr>
      <w:r>
        <w:rPr>
          <w:b w:val="0"/>
          <w:i/>
          <w:color w:val="6B6660"/>
          <w:sz w:val="18"/>
        </w:rPr>
        <w:t>Evidences: [ICTCLD401 PC 2.2] · [ICTCLD401 PE 1]</w:t>
      </w:r>
    </w:p>
    <w:p>
      <w:pPr>
        <w:spacing w:after="120"/>
      </w:pPr>
      <w:r>
        <w:rPr>
          <w:b w:val="0"/>
          <w:i w:val="0"/>
          <w:sz w:val="21"/>
        </w:rPr>
        <w:t>Create a NAT gateway, using the settings below. It lets the application servers reach out to the internet for updates and external services without anything on the internet being able to reach them. It sits in the public subnet and takes a few minutes to become available.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yat-lms-nat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 the NAT gateway goes in the public subnet, not the one it serves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Connectivity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Elastic IP</w:t>
            </w:r>
          </w:p>
        </w:tc>
        <w:tc>
          <w:tcPr>
            <w:tcW w:type="dxa" w:w="6576"/>
            <w:tcBorders>
              <w:top w:val="single" w:sz="4" w:space="0" w:color="E4DED3"/>
              <w:left w:val="single" w:sz="4" w:space="0" w:color="E4DED3"/>
              <w:bottom w:val="single" w:sz="4" w:space="0" w:color="E4DED3"/>
              <w:right w:val="single" w:sz="4" w:space="0" w:color="E4DED3"/>
            </w:tcBorders>
          </w:tcPr>
          <w:p>
            <w:r>
              <w:rPr>
                <w:sz w:val="19"/>
              </w:rPr>
              <w:t>allocate a new one here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Before moving on</w:t>
            </w:r>
          </w:p>
        </w:tc>
        <w:tc>
          <w:tcPr>
            <w:tcW w:type="dxa" w:w="6576"/>
            <w:tcBorders>
              <w:top w:val="single" w:sz="4" w:space="0" w:color="E4DED3"/>
              <w:left w:val="single" w:sz="4" w:space="0" w:color="E4DED3"/>
              <w:bottom w:val="single" w:sz="4" w:space="0" w:color="E4DED3"/>
              <w:right w:val="single" w:sz="4" w:space="0" w:color="E4DED3"/>
            </w:tcBorders>
          </w:tcPr>
          <w:p>
            <w:r>
              <w:rPr>
                <w:sz w:val="19"/>
              </w:rPr>
              <w:t>wait until its state reads Available — you cannot route to it until then</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NAT gateway showing State: Available, its subnet and its Elastic IP.</w:t>
            </w:r>
          </w:p>
          <w:p>
            <w:pPr>
              <w:jc w:val="center"/>
            </w:pPr>
            <w:r>
              <w:drawing>
                <wp:inline xmlns:a="http://schemas.openxmlformats.org/drawingml/2006/main" xmlns:pic="http://schemas.openxmlformats.org/drawingml/2006/picture">
                  <wp:extent cx="5760000" cy="1933032"/>
                  <wp:docPr id="4" name="Picture 4"/>
                  <wp:cNvGraphicFramePr>
                    <a:graphicFrameLocks noChangeAspect="1"/>
                  </wp:cNvGraphicFramePr>
                  <a:graphic>
                    <a:graphicData uri="http://schemas.openxmlformats.org/drawingml/2006/picture">
                      <pic:pic>
                        <pic:nvPicPr>
                          <pic:cNvPr id="0" name="task-05.png"/>
                          <pic:cNvPicPr/>
                        </pic:nvPicPr>
                        <pic:blipFill>
                          <a:blip r:embed="rId22"/>
                          <a:stretch>
                            <a:fillRect/>
                          </a:stretch>
                        </pic:blipFill>
                        <pic:spPr>
                          <a:xfrm>
                            <a:off x="0" y="0"/>
                            <a:ext cx="5760000" cy="1933032"/>
                          </a:xfrm>
                          <a:prstGeom prst="rect"/>
                        </pic:spPr>
                      </pic:pic>
                    </a:graphicData>
                  </a:graphic>
                </wp:inline>
              </w:drawing>
            </w:r>
          </w:p>
        </w:tc>
      </w:tr>
    </w:tbl>
    <w:p/>
    <w:p>
      <w:pPr>
        <w:spacing w:before="200" w:after="0"/>
      </w:pPr>
      <w:r>
        <w:rPr>
          <w:b/>
          <w:color w:val="1F5A5C"/>
          <w:sz w:val="16"/>
        </w:rPr>
        <w:t>TASK 6</w:t>
      </w:r>
    </w:p>
    <w:p>
      <w:pPr>
        <w:pStyle w:val="Heading2"/>
      </w:pPr>
      <w:r>
        <w:t>Create the route tables</w:t>
      </w:r>
    </w:p>
    <w:p>
      <w:pPr>
        <w:spacing w:after="80"/>
      </w:pPr>
      <w:r>
        <w:rPr>
          <w:b w:val="0"/>
          <w:i/>
          <w:color w:val="6B6660"/>
          <w:sz w:val="18"/>
        </w:rPr>
        <w:t>Evidences: [ICTCLD401 PC 2.2] · [ICTCLD401 PE 1]</w:t>
      </w:r>
    </w:p>
    <w:p>
      <w:pPr>
        <w:spacing w:after="120"/>
      </w:pPr>
      <w:r>
        <w:rPr>
          <w:b w:val="0"/>
          <w:i w:val="0"/>
          <w:sz w:val="21"/>
        </w:rPr>
        <w:t>Create two route tables, using the settings below. The data subnets are deliberately left on the default route table the VPC already has, which carries no internet route at all — which is exactly what a database tier should have.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public-web-a AND public-web-b; 0.0.0.0/0 → the internet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private-app-rt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private-app-a; 0.0.0.0/0 → the NAT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data 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them alone — no route table of your own</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both route tables, showing their routes and their subnet associations.</w:t>
            </w:r>
          </w:p>
          <w:p>
            <w:pPr>
              <w:jc w:val="center"/>
            </w:pPr>
            <w:r>
              <w:drawing>
                <wp:inline xmlns:a="http://schemas.openxmlformats.org/drawingml/2006/main" xmlns:pic="http://schemas.openxmlformats.org/drawingml/2006/picture">
                  <wp:extent cx="5760000" cy="1786113"/>
                  <wp:docPr id="5" name="Picture 5"/>
                  <wp:cNvGraphicFramePr>
                    <a:graphicFrameLocks noChangeAspect="1"/>
                  </wp:cNvGraphicFramePr>
                  <a:graphic>
                    <a:graphicData uri="http://schemas.openxmlformats.org/drawingml/2006/picture">
                      <pic:pic>
                        <pic:nvPicPr>
                          <pic:cNvPr id="0" name="task-06.1.png"/>
                          <pic:cNvPicPr/>
                        </pic:nvPicPr>
                        <pic:blipFill>
                          <a:blip r:embed="rId23"/>
                          <a:stretch>
                            <a:fillRect/>
                          </a:stretch>
                        </pic:blipFill>
                        <pic:spPr>
                          <a:xfrm>
                            <a:off x="0" y="0"/>
                            <a:ext cx="5760000" cy="1786113"/>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1900293"/>
                  <wp:docPr id="6" name="Picture 6"/>
                  <wp:cNvGraphicFramePr>
                    <a:graphicFrameLocks noChangeAspect="1"/>
                  </wp:cNvGraphicFramePr>
                  <a:graphic>
                    <a:graphicData uri="http://schemas.openxmlformats.org/drawingml/2006/picture">
                      <pic:pic>
                        <pic:nvPicPr>
                          <pic:cNvPr id="0" name="task-06.2.png"/>
                          <pic:cNvPicPr/>
                        </pic:nvPicPr>
                        <pic:blipFill>
                          <a:blip r:embed="rId24"/>
                          <a:stretch>
                            <a:fillRect/>
                          </a:stretch>
                        </pic:blipFill>
                        <pic:spPr>
                          <a:xfrm>
                            <a:off x="0" y="0"/>
                            <a:ext cx="5760000" cy="1900293"/>
                          </a:xfrm>
                          <a:prstGeom prst="rect"/>
                        </pic:spPr>
                      </pic:pic>
                    </a:graphicData>
                  </a:graphic>
                </wp:inline>
              </w:drawing>
            </w:r>
          </w:p>
        </w:tc>
      </w:tr>
    </w:tbl>
    <w:p/>
    <w:p>
      <w:pPr>
        <w:spacing w:before="200" w:after="0"/>
      </w:pPr>
      <w:r>
        <w:rPr>
          <w:b/>
          <w:color w:val="1F5A5C"/>
          <w:sz w:val="16"/>
        </w:rPr>
        <w:t>TASK 7</w:t>
      </w:r>
    </w:p>
    <w:p>
      <w:pPr>
        <w:pStyle w:val="Heading2"/>
      </w:pPr>
      <w:r>
        <w:t>Create the three security groups</w:t>
      </w:r>
    </w:p>
    <w:p>
      <w:pPr>
        <w:spacing w:after="80"/>
      </w:pPr>
      <w:r>
        <w:rPr>
          <w:b w:val="0"/>
          <w:i/>
          <w:color w:val="6B6660"/>
          <w:sz w:val="18"/>
        </w:rPr>
        <w:t>Evidences: [ICTCLD401 PC 1.7] · [ICTCLD502 PC 1.3]</w:t>
      </w:r>
    </w:p>
    <w:p>
      <w:pPr>
        <w:spacing w:after="120"/>
      </w:pPr>
      <w:r>
        <w:rPr>
          <w:b w:val="0"/>
          <w:i w:val="0"/>
          <w:sz w:val="21"/>
        </w:rPr>
        <w:t>Create three security groups, using the names and rules below. Create all three as empty shells first, then go back and add the rules — each one names the others as a source, which you cannot do until they exist. AWS will not accept a name starting with sg- : that prefix is reserved for the IDs it generates.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yat-lms-alb-sg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0.0.0.0/0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yat-lms-app-sg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yat-lms-alb-sg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yat-lms-db-sg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MySQL 3306 from yat-lms-app-sg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Outbound</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 default allow-all on all three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all three security groups with their inbound rules expanded.</w:t>
            </w:r>
          </w:p>
          <w:p>
            <w:pPr>
              <w:jc w:val="center"/>
            </w:pPr>
            <w:r>
              <w:drawing>
                <wp:inline xmlns:a="http://schemas.openxmlformats.org/drawingml/2006/main" xmlns:pic="http://schemas.openxmlformats.org/drawingml/2006/picture">
                  <wp:extent cx="5760000" cy="1725463"/>
                  <wp:docPr id="7" name="Picture 7"/>
                  <wp:cNvGraphicFramePr>
                    <a:graphicFrameLocks noChangeAspect="1"/>
                  </wp:cNvGraphicFramePr>
                  <a:graphic>
                    <a:graphicData uri="http://schemas.openxmlformats.org/drawingml/2006/picture">
                      <pic:pic>
                        <pic:nvPicPr>
                          <pic:cNvPr id="0" name="task-07.1.png"/>
                          <pic:cNvPicPr/>
                        </pic:nvPicPr>
                        <pic:blipFill>
                          <a:blip r:embed="rId25"/>
                          <a:stretch>
                            <a:fillRect/>
                          </a:stretch>
                        </pic:blipFill>
                        <pic:spPr>
                          <a:xfrm>
                            <a:off x="0" y="0"/>
                            <a:ext cx="5760000" cy="1725463"/>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1728426"/>
                  <wp:docPr id="8" name="Picture 8"/>
                  <wp:cNvGraphicFramePr>
                    <a:graphicFrameLocks noChangeAspect="1"/>
                  </wp:cNvGraphicFramePr>
                  <a:graphic>
                    <a:graphicData uri="http://schemas.openxmlformats.org/drawingml/2006/picture">
                      <pic:pic>
                        <pic:nvPicPr>
                          <pic:cNvPr id="0" name="task-07.2.png"/>
                          <pic:cNvPicPr/>
                        </pic:nvPicPr>
                        <pic:blipFill>
                          <a:blip r:embed="rId26"/>
                          <a:stretch>
                            <a:fillRect/>
                          </a:stretch>
                        </pic:blipFill>
                        <pic:spPr>
                          <a:xfrm>
                            <a:off x="0" y="0"/>
                            <a:ext cx="5760000" cy="1728426"/>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1773944"/>
                  <wp:docPr id="9" name="Picture 9"/>
                  <wp:cNvGraphicFramePr>
                    <a:graphicFrameLocks noChangeAspect="1"/>
                  </wp:cNvGraphicFramePr>
                  <a:graphic>
                    <a:graphicData uri="http://schemas.openxmlformats.org/drawingml/2006/picture">
                      <pic:pic>
                        <pic:nvPicPr>
                          <pic:cNvPr id="0" name="task-07.3.png"/>
                          <pic:cNvPicPr/>
                        </pic:nvPicPr>
                        <pic:blipFill>
                          <a:blip r:embed="rId27"/>
                          <a:stretch>
                            <a:fillRect/>
                          </a:stretch>
                        </pic:blipFill>
                        <pic:spPr>
                          <a:xfrm>
                            <a:off x="0" y="0"/>
                            <a:ext cx="5760000" cy="1773944"/>
                          </a:xfrm>
                          <a:prstGeom prst="rect"/>
                        </pic:spPr>
                      </pic:pic>
                    </a:graphicData>
                  </a:graphic>
                </wp:inline>
              </w:drawing>
            </w:r>
          </w:p>
        </w:tc>
      </w:tr>
    </w:tbl>
    <w:p/>
    <w:p>
      <w:pPr>
        <w:spacing w:before="200" w:after="0"/>
      </w:pPr>
      <w:r>
        <w:rPr>
          <w:b/>
          <w:color w:val="1F5A5C"/>
          <w:sz w:val="16"/>
        </w:rPr>
        <w:t>TASK 8</w:t>
      </w:r>
    </w:p>
    <w:p>
      <w:pPr>
        <w:pStyle w:val="Heading2"/>
      </w:pPr>
      <w:r>
        <w:t>Configure the access model</w:t>
      </w:r>
    </w:p>
    <w:p>
      <w:pPr>
        <w:spacing w:after="80"/>
      </w:pPr>
      <w:r>
        <w:rPr>
          <w:b w:val="0"/>
          <w:i/>
          <w:color w:val="6B6660"/>
          <w:sz w:val="18"/>
        </w:rPr>
        <w:t>Evidences: [ICTCLD401 PC 1.5] · [ICTCLD401 PC 2.1]</w:t>
      </w:r>
    </w:p>
    <w:p>
      <w:pPr>
        <w:spacing w:after="120"/>
      </w:pPr>
      <w:r>
        <w:rPr>
          <w:b w:val="0"/>
          <w:i w:val="0"/>
          <w:sz w:val="21"/>
        </w:rPr>
        <w:t>Create the group that will operate the platform after handover, and a user in it. Complete each form with the values below, submit it, and capture the result.</w:t>
      </w:r>
    </w:p>
    <w:p>
      <w:pPr>
        <w:spacing w:before="80" w:after="160"/>
        <w:ind w:left="227"/>
      </w:pPr>
      <w:r>
        <w:rPr>
          <w:b/>
          <w:color w:val="C5613B"/>
          <w:sz w:val="19"/>
        </w:rPr>
        <w:t xml:space="preserve">Environment constraint </w:t>
      </w:r>
      <w:r>
        <w:rPr>
          <w:i/>
          <w:color w:val="C5613B"/>
          <w:sz w:val="19"/>
        </w:rPr>
        <w:t>the lab environment does not permit groups or users to be created. This is a known constraint of the AWS educational environment, not a fault in your work — you will be refused, and the refusal is what you capture.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Group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YAT-ICT-Admins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ReadOnlyAccess  — filter for it and pick the policy named exactly that, not one of the service-specific ones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User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swalker  (Sam Walker, YAT IT Manager)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user</w:t>
            </w:r>
          </w:p>
        </w:tc>
        <w:tc>
          <w:tcPr>
            <w:tcW w:type="dxa" w:w="6576"/>
            <w:tcBorders>
              <w:top w:val="single" w:sz="4" w:space="0" w:color="E4DED3"/>
              <w:left w:val="single" w:sz="4" w:space="0" w:color="E4DED3"/>
              <w:bottom w:val="single" w:sz="4" w:space="0" w:color="E4DED3"/>
              <w:right w:val="single" w:sz="4" w:space="0" w:color="E4DED3"/>
            </w:tcBorders>
          </w:tcPr>
          <w:p>
            <w:r>
              <w:rPr>
                <w:sz w:val="19"/>
              </w:rPr>
              <w:t>CloudWatchFullAccess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Expected result</w:t>
            </w:r>
          </w:p>
        </w:tc>
        <w:tc>
          <w:tcPr>
            <w:tcW w:type="dxa" w:w="6576"/>
            <w:tcBorders>
              <w:top w:val="single" w:sz="4" w:space="0" w:color="E4DED3"/>
              <w:left w:val="single" w:sz="4" w:space="0" w:color="E4DED3"/>
              <w:bottom w:val="single" w:sz="4" w:space="0" w:color="E4DED3"/>
              <w:right w:val="single" w:sz="4" w:space="0" w:color="E4DED3"/>
            </w:tcBorders>
          </w:tcPr>
          <w:p>
            <w:r>
              <w:rPr>
                <w:sz w:val="19"/>
              </w:rPr>
              <w:t>both submissions are refused with a permissions error</w:t>
            </w:r>
          </w:p>
        </w:tc>
      </w:tr>
    </w:tbl>
    <w:p/>
    <w:p>
      <w:pPr>
        <w:spacing w:after="60"/>
      </w:pPr>
      <w:r>
        <w:rPr>
          <w:b/>
          <w:i w:val="0"/>
          <w:sz w:val="21"/>
        </w:rPr>
        <w:t>Your decision</w:t>
      </w:r>
    </w:p>
    <w:p>
      <w:pPr>
        <w:spacing w:after="120"/>
      </w:pPr>
      <w:r>
        <w:rPr>
          <w:b w:val="0"/>
          <w:i/>
          <w:color w:val="6B6660"/>
          <w:sz w:val="19"/>
        </w:rPr>
        <w:t>Why does this group get read access to everything but no ability to change identity settings, when it is the group that operates the whole platform?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val="0"/>
                <w:color w:val="1F5A5C"/>
                <w:sz w:val="19"/>
              </w:rPr>
              <w:t>Identity is what decides who can grant themselves more access. A group that can rewrite its own permissions has no boundary at all — it could give itself anything. So YAT ICT can see and operate everything, and identity stays with whoever governs the account. The user carries CloudWatch access directly rather than through the group, which shows permissions can sit in either place; groups are for not repeating yourself across many users, not a requirement.</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completed group form — YAT-ICT-Admins with ReadOnlyAccess attached — and the error returned.</w:t>
            </w:r>
          </w:p>
          <w:p>
            <w:pPr>
              <w:jc w:val="center"/>
            </w:pPr>
            <w:r>
              <w:drawing>
                <wp:inline xmlns:a="http://schemas.openxmlformats.org/drawingml/2006/main" xmlns:pic="http://schemas.openxmlformats.org/drawingml/2006/picture">
                  <wp:extent cx="5760000" cy="3437826"/>
                  <wp:docPr id="10" name="Picture 10"/>
                  <wp:cNvGraphicFramePr>
                    <a:graphicFrameLocks noChangeAspect="1"/>
                  </wp:cNvGraphicFramePr>
                  <a:graphic>
                    <a:graphicData uri="http://schemas.openxmlformats.org/drawingml/2006/picture">
                      <pic:pic>
                        <pic:nvPicPr>
                          <pic:cNvPr id="0" name="task-08.1.png"/>
                          <pic:cNvPicPr/>
                        </pic:nvPicPr>
                        <pic:blipFill>
                          <a:blip r:embed="rId28"/>
                          <a:stretch>
                            <a:fillRect/>
                          </a:stretch>
                        </pic:blipFill>
                        <pic:spPr>
                          <a:xfrm>
                            <a:off x="0" y="0"/>
                            <a:ext cx="5760000" cy="3437826"/>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completed user form — swalker with CloudWatchFullAccess attached — and the error returned.</w:t>
            </w:r>
          </w:p>
          <w:p>
            <w:pPr>
              <w:jc w:val="center"/>
            </w:pPr>
            <w:r>
              <w:drawing>
                <wp:inline xmlns:a="http://schemas.openxmlformats.org/drawingml/2006/main" xmlns:pic="http://schemas.openxmlformats.org/drawingml/2006/picture">
                  <wp:extent cx="5760000" cy="1717206"/>
                  <wp:docPr id="11" name="Picture 11"/>
                  <wp:cNvGraphicFramePr>
                    <a:graphicFrameLocks noChangeAspect="1"/>
                  </wp:cNvGraphicFramePr>
                  <a:graphic>
                    <a:graphicData uri="http://schemas.openxmlformats.org/drawingml/2006/picture">
                      <pic:pic>
                        <pic:nvPicPr>
                          <pic:cNvPr id="0" name="task-08.2.png"/>
                          <pic:cNvPicPr/>
                        </pic:nvPicPr>
                        <pic:blipFill>
                          <a:blip r:embed="rId29"/>
                          <a:stretch>
                            <a:fillRect/>
                          </a:stretch>
                        </pic:blipFill>
                        <pic:spPr>
                          <a:xfrm>
                            <a:off x="0" y="0"/>
                            <a:ext cx="5760000" cy="1717206"/>
                          </a:xfrm>
                          <a:prstGeom prst="rect"/>
                        </pic:spPr>
                      </pic:pic>
                    </a:graphicData>
                  </a:graphic>
                </wp:inline>
              </w:drawing>
            </w:r>
          </w:p>
        </w:tc>
      </w:tr>
    </w:tbl>
    <w:p/>
    <w:p>
      <w:pPr>
        <w:spacing w:before="200" w:after="0"/>
      </w:pPr>
      <w:r>
        <w:rPr>
          <w:b/>
          <w:color w:val="1F5A5C"/>
          <w:sz w:val="16"/>
        </w:rPr>
        <w:t>TASK 9</w:t>
      </w:r>
    </w:p>
    <w:p>
      <w:pPr>
        <w:pStyle w:val="Heading2"/>
      </w:pPr>
      <w:r>
        <w:t>Review the instance role</w:t>
      </w:r>
    </w:p>
    <w:p>
      <w:pPr>
        <w:spacing w:after="80"/>
      </w:pPr>
      <w:r>
        <w:rPr>
          <w:b w:val="0"/>
          <w:i/>
          <w:color w:val="6B6660"/>
          <w:sz w:val="18"/>
        </w:rPr>
        <w:t>Evidences: [ICTCLD401 PC 1.6] · [ICTCLD401 PC 1.7]</w:t>
      </w:r>
    </w:p>
    <w:p>
      <w:pPr>
        <w:spacing w:after="120"/>
      </w:pPr>
      <w:r>
        <w:rPr>
          <w:b w:val="0"/>
          <w:i w:val="0"/>
          <w:sz w:val="21"/>
        </w:rPr>
        <w:t>Open the role named below and look at the policies attached to it, then write its name down. Your servers reach the storage buckets and the logging service through this role, so no credentials are ever stored on a server. You select it in the next task.</w:t>
      </w:r>
    </w:p>
    <w:p>
      <w:pPr>
        <w:spacing w:before="80" w:after="160"/>
        <w:ind w:left="227"/>
      </w:pPr>
      <w:r>
        <w:rPr>
          <w:b/>
          <w:color w:val="C5613B"/>
          <w:sz w:val="19"/>
        </w:rPr>
        <w:t xml:space="preserve">Environment constraint </w:t>
      </w:r>
      <w:r>
        <w:rPr>
          <w:i/>
          <w:color w:val="C5613B"/>
          <w:sz w:val="19"/>
        </w:rPr>
        <w:t>the lab environment supplies this role ready-made and does not permit you to create your own, so this task is a review rather than a build.</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Go to</w:t>
            </w:r>
          </w:p>
        </w:tc>
        <w:tc>
          <w:tcPr>
            <w:tcW w:type="dxa" w:w="6576"/>
            <w:tcBorders>
              <w:top w:val="single" w:sz="4" w:space="0" w:color="E4DED3"/>
              <w:left w:val="single" w:sz="4" w:space="0" w:color="E4DED3"/>
              <w:bottom w:val="single" w:sz="4" w:space="0" w:color="E4DED3"/>
              <w:right w:val="single" w:sz="4" w:space="0" w:color="E4DED3"/>
            </w:tcBorders>
          </w:tcPr>
          <w:p>
            <w:r>
              <w:rPr>
                <w:sz w:val="19"/>
              </w:rPr>
              <w:t>IAM → Roles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Open</w:t>
            </w:r>
          </w:p>
        </w:tc>
        <w:tc>
          <w:tcPr>
            <w:tcW w:type="dxa" w:w="6576"/>
            <w:tcBorders>
              <w:top w:val="single" w:sz="4" w:space="0" w:color="E4DED3"/>
              <w:left w:val="single" w:sz="4" w:space="0" w:color="E4DED3"/>
              <w:bottom w:val="single" w:sz="4" w:space="0" w:color="E4DED3"/>
              <w:right w:val="single" w:sz="4" w:space="0" w:color="E4DED3"/>
            </w:tcBorders>
          </w:tcPr>
          <w:p>
            <w:r>
              <w:rPr>
                <w:sz w:val="19"/>
              </w:rPr>
              <w:t>LabRole  (the role the environment provides)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Look at</w:t>
            </w:r>
          </w:p>
        </w:tc>
        <w:tc>
          <w:tcPr>
            <w:tcW w:type="dxa" w:w="6576"/>
            <w:tcBorders>
              <w:top w:val="single" w:sz="4" w:space="0" w:color="E4DED3"/>
              <w:left w:val="single" w:sz="4" w:space="0" w:color="E4DED3"/>
              <w:bottom w:val="single" w:sz="4" w:space="0" w:color="E4DED3"/>
              <w:right w:val="single" w:sz="4" w:space="0" w:color="E4DED3"/>
            </w:tcBorders>
          </w:tcPr>
          <w:p>
            <w:r>
              <w:rPr>
                <w:sz w:val="19"/>
              </w:rPr>
              <w:t>the Permissions tab — the policies attached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Answer for yourself</w:t>
            </w:r>
          </w:p>
        </w:tc>
        <w:tc>
          <w:tcPr>
            <w:tcW w:type="dxa" w:w="6576"/>
            <w:tcBorders>
              <w:top w:val="single" w:sz="4" w:space="0" w:color="E4DED3"/>
              <w:left w:val="single" w:sz="4" w:space="0" w:color="E4DED3"/>
              <w:bottom w:val="single" w:sz="4" w:space="0" w:color="E4DED3"/>
              <w:right w:val="single" w:sz="4" w:space="0" w:color="E4DED3"/>
            </w:tcBorders>
          </w:tcPr>
          <w:p>
            <w:r>
              <w:rPr>
                <w:sz w:val="19"/>
              </w:rPr>
              <w:t>which services does it let your servers reach?</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Write down</w:t>
            </w:r>
          </w:p>
        </w:tc>
        <w:tc>
          <w:tcPr>
            <w:tcW w:type="dxa" w:w="6576"/>
            <w:tcBorders>
              <w:top w:val="single" w:sz="4" w:space="0" w:color="E4DED3"/>
              <w:left w:val="single" w:sz="4" w:space="0" w:color="E4DED3"/>
              <w:bottom w:val="single" w:sz="4" w:space="0" w:color="E4DED3"/>
              <w:right w:val="single" w:sz="4" w:space="0" w:color="E4DED3"/>
            </w:tcBorders>
          </w:tcPr>
          <w:p>
            <w:r>
              <w:rPr>
                <w:sz w:val="19"/>
              </w:rPr>
              <w:t>the role name, exactly as shown — task 10 asks for it</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LabRole summary page with the Permissions tab open, showing the policies attached to it.</w:t>
            </w:r>
          </w:p>
          <w:p>
            <w:pPr>
              <w:jc w:val="center"/>
            </w:pPr>
            <w:r>
              <w:drawing>
                <wp:inline xmlns:a="http://schemas.openxmlformats.org/drawingml/2006/main" xmlns:pic="http://schemas.openxmlformats.org/drawingml/2006/picture">
                  <wp:extent cx="5760000" cy="2758383"/>
                  <wp:docPr id="12" name="Picture 12"/>
                  <wp:cNvGraphicFramePr>
                    <a:graphicFrameLocks noChangeAspect="1"/>
                  </wp:cNvGraphicFramePr>
                  <a:graphic>
                    <a:graphicData uri="http://schemas.openxmlformats.org/drawingml/2006/picture">
                      <pic:pic>
                        <pic:nvPicPr>
                          <pic:cNvPr id="0" name="task-09.png"/>
                          <pic:cNvPicPr/>
                        </pic:nvPicPr>
                        <pic:blipFill>
                          <a:blip r:embed="rId30"/>
                          <a:stretch>
                            <a:fillRect/>
                          </a:stretch>
                        </pic:blipFill>
                        <pic:spPr>
                          <a:xfrm>
                            <a:off x="0" y="0"/>
                            <a:ext cx="5760000" cy="2758383"/>
                          </a:xfrm>
                          <a:prstGeom prst="rect"/>
                        </pic:spPr>
                      </pic:pic>
                    </a:graphicData>
                  </a:graphic>
                </wp:inline>
              </w:drawing>
            </w:r>
          </w:p>
        </w:tc>
      </w:tr>
    </w:tbl>
    <w:p/>
    <w:p>
      <w:pPr>
        <w:spacing w:before="200" w:after="0"/>
      </w:pPr>
      <w:r>
        <w:rPr>
          <w:b/>
          <w:color w:val="1F5A5C"/>
          <w:sz w:val="16"/>
        </w:rPr>
        <w:t>TASK 10</w:t>
      </w:r>
    </w:p>
    <w:p>
      <w:pPr>
        <w:pStyle w:val="Heading2"/>
      </w:pPr>
      <w:r>
        <w:t>Create the launch template</w:t>
      </w:r>
    </w:p>
    <w:p>
      <w:pPr>
        <w:spacing w:after="80"/>
      </w:pPr>
      <w:r>
        <w:rPr>
          <w:b w:val="0"/>
          <w:i/>
          <w:color w:val="6B6660"/>
          <w:sz w:val="18"/>
        </w:rPr>
        <w:t>Evidences: [ICTCLD401 PC 2.3] · [ICTCLD401 PC 2.4] · [ICTCLD401 PC 1.1] · [ICTCLD401 PC 1.3]</w:t>
      </w:r>
    </w:p>
    <w:p>
      <w:pPr>
        <w:spacing w:after="120"/>
      </w:pPr>
      <w:r>
        <w:rPr>
          <w:b w:val="0"/>
          <w:i w:val="0"/>
          <w:sz w:val="21"/>
        </w:rPr>
        <w:t>Create a launch template, using the settings below. It defines how every application server is built. The Auto Scaling group creates servers from it, so nothing is configured on a server by hand.</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AMI</w:t>
            </w:r>
          </w:p>
        </w:tc>
        <w:tc>
          <w:tcPr>
            <w:tcW w:type="dxa" w:w="6576"/>
            <w:tcBorders>
              <w:top w:val="single" w:sz="4" w:space="0" w:color="E4DED3"/>
              <w:left w:val="single" w:sz="4" w:space="0" w:color="E4DED3"/>
              <w:bottom w:val="single" w:sz="4" w:space="0" w:color="E4DED3"/>
              <w:right w:val="single" w:sz="4" w:space="0" w:color="E4DED3"/>
            </w:tcBorders>
          </w:tcPr>
          <w:p>
            <w:r>
              <w:rPr>
                <w:sz w:val="19"/>
              </w:rPr>
              <w:t>Windows Server (latest available)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Key pair</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 one — the Auto Scaling group supplies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yat-lms-app-sg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Root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30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add a second volume: gp3, 8 GB, device name xvdb. The console will not accept the volume without a device name, and the /dev/sd... names are greyed out because this is a Windows image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IAM instance profile</w:t>
            </w:r>
          </w:p>
        </w:tc>
        <w:tc>
          <w:tcPr>
            <w:tcW w:type="dxa" w:w="6576"/>
            <w:tcBorders>
              <w:top w:val="single" w:sz="4" w:space="0" w:color="E4DED3"/>
              <w:left w:val="single" w:sz="4" w:space="0" w:color="E4DED3"/>
              <w:bottom w:val="single" w:sz="4" w:space="0" w:color="E4DED3"/>
              <w:right w:val="single" w:sz="4" w:space="0" w:color="E4DED3"/>
            </w:tcBorders>
          </w:tcPr>
          <w:p>
            <w:r>
              <w:rPr>
                <w:sz w:val="19"/>
              </w:rPr>
              <w:t>LabInstanceProfile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User data</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script below, exactly as written</w:t>
            </w:r>
          </w:p>
        </w:tc>
      </w:tr>
    </w:tbl>
    <w:p/>
    <w:p>
      <w:pPr>
        <w:spacing w:after="60"/>
      </w:pPr>
      <w:r>
        <w:rPr>
          <w:b/>
          <w:i w:val="0"/>
          <w:sz w:val="21"/>
        </w:rPr>
        <w:t>User data</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&lt;powershell&gt;</w:t>
            </w:r>
          </w:p>
          <w:p>
            <w:pPr>
              <w:spacing w:after="0"/>
            </w:pPr>
            <w:r>
              <w:rPr>
                <w:rFonts w:ascii="Consolas" w:hAnsi="Consolas"/>
                <w:sz w:val="18"/>
              </w:rPr>
              <w:t>Install-WindowsFeature -Name Web-Server -IncludeManagementTools</w:t>
            </w:r>
          </w:p>
          <w:p>
            <w:pPr>
              <w:spacing w:after="0"/>
            </w:pPr>
            <w:r>
              <w:rPr>
                <w:rFonts w:ascii="Consolas" w:hAnsi="Consolas"/>
                <w:sz w:val="18"/>
              </w:rPr>
              <w:t>Set-Content -Path "C:\inetpub\wwwroot\index.html" -Value "&lt;html&gt;&lt;body&gt;</w:t>
            </w:r>
          </w:p>
          <w:p>
            <w:pPr>
              <w:spacing w:after="0"/>
            </w:pPr>
            <w:r>
              <w:rPr>
                <w:rFonts w:ascii="Consolas" w:hAnsi="Consolas"/>
                <w:sz w:val="18"/>
              </w:rPr>
              <w:t>&lt;h1&gt;YAT LMS&lt;/h1&gt;&lt;p&gt;Infrastructure ready - awaiting application</w:t>
            </w:r>
          </w:p>
          <w:p>
            <w:pPr>
              <w:spacing w:after="0"/>
            </w:pPr>
            <w:r>
              <w:rPr>
                <w:rFonts w:ascii="Consolas" w:hAnsi="Consolas"/>
                <w:sz w:val="18"/>
              </w:rPr>
              <w:t>deployment.&lt;/p&gt;&lt;/body&gt;&lt;/html&gt;"</w:t>
            </w:r>
          </w:p>
          <w:p>
            <w:pPr>
              <w:spacing w:after="0"/>
            </w:pPr>
            <w:r>
              <w:rPr>
                <w:rFonts w:ascii="Consolas" w:hAnsi="Consolas"/>
                <w:sz w:val="18"/>
              </w:rPr>
              <w:t>&lt;/powershell&gt;</w:t>
            </w:r>
          </w:p>
        </w:tc>
      </w:tr>
    </w:tbl>
    <w:p/>
    <w:p>
      <w:pPr>
        <w:spacing w:after="60"/>
      </w:pPr>
      <w:r>
        <w:rPr>
          <w:b/>
          <w:i w:val="0"/>
          <w:sz w:val="21"/>
        </w:rPr>
        <w:t>Your decision</w:t>
      </w:r>
    </w:p>
    <w:p>
      <w:pPr>
        <w:spacing w:after="120"/>
      </w:pPr>
      <w:r>
        <w:rPr>
          <w:b w:val="0"/>
          <w:i/>
          <w:color w:val="6B6660"/>
          <w:sz w:val="19"/>
        </w:rPr>
        <w:t>Choose the instance type for the application tier: t3.micro or t3.small. Name the one you did not choose, say which you chose, and explain why against the LMS workload described in the LMS Application Specification.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val="0"/>
                <w:color w:val="1F5A5C"/>
                <w:sz w:val="19"/>
              </w:rPr>
              <w:t>t3.micro has 1 GiB of memory and t3.small has 2 GiB. Windows Server alone uses most of 1 GiB before the application starts, so t3.micro would spend its time paging and the health check would be slow and unreliable. I chose t3.small. Both are well below what the specification's 200–300 typical concurrent users would need — in production I would size to a general-purpose instance several times this — but this environment caps what I can launch, and t3.small is the better of the two available.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launch template summary, showing the AMI, instance type, instance profile, security group and both volumes.</w:t>
            </w:r>
          </w:p>
          <w:p>
            <w:pPr>
              <w:jc w:val="center"/>
            </w:pPr>
            <w:r>
              <w:drawing>
                <wp:inline xmlns:a="http://schemas.openxmlformats.org/drawingml/2006/main" xmlns:pic="http://schemas.openxmlformats.org/drawingml/2006/picture">
                  <wp:extent cx="5760000" cy="2039648"/>
                  <wp:docPr id="13" name="Picture 13"/>
                  <wp:cNvGraphicFramePr>
                    <a:graphicFrameLocks noChangeAspect="1"/>
                  </wp:cNvGraphicFramePr>
                  <a:graphic>
                    <a:graphicData uri="http://schemas.openxmlformats.org/drawingml/2006/picture">
                      <pic:pic>
                        <pic:nvPicPr>
                          <pic:cNvPr id="0" name="task-10.png"/>
                          <pic:cNvPicPr/>
                        </pic:nvPicPr>
                        <pic:blipFill>
                          <a:blip r:embed="rId31"/>
                          <a:stretch>
                            <a:fillRect/>
                          </a:stretch>
                        </pic:blipFill>
                        <pic:spPr>
                          <a:xfrm>
                            <a:off x="0" y="0"/>
                            <a:ext cx="5760000" cy="2039648"/>
                          </a:xfrm>
                          <a:prstGeom prst="rect"/>
                        </pic:spPr>
                      </pic:pic>
                    </a:graphicData>
                  </a:graphic>
                </wp:inline>
              </w:drawing>
            </w:r>
          </w:p>
        </w:tc>
      </w:tr>
    </w:tbl>
    <w:p/>
    <w:p>
      <w:pPr>
        <w:spacing w:before="200" w:after="0"/>
      </w:pPr>
      <w:r>
        <w:rPr>
          <w:b/>
          <w:color w:val="1F5A5C"/>
          <w:sz w:val="16"/>
        </w:rPr>
        <w:t>TASK 11</w:t>
      </w:r>
    </w:p>
    <w:p>
      <w:pPr>
        <w:pStyle w:val="Heading2"/>
      </w:pPr>
      <w:r>
        <w:t>Create the target group</w:t>
      </w:r>
    </w:p>
    <w:p>
      <w:pPr>
        <w:spacing w:after="120"/>
      </w:pPr>
      <w:r>
        <w:rPr>
          <w:b w:val="0"/>
          <w:i w:val="0"/>
          <w:sz w:val="21"/>
        </w:rPr>
        <w:t>Create a target group, using the settings below. It is the list of servers the load balancer will send traffic to, and the health check that decides which of them are fit to receive it.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Target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Instances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Protocol and port</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port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protocol</w:t>
            </w:r>
          </w:p>
        </w:tc>
        <w:tc>
          <w:tcPr>
            <w:tcW w:type="dxa" w:w="6576"/>
            <w:tcBorders>
              <w:top w:val="single" w:sz="4" w:space="0" w:color="E4DED3"/>
              <w:left w:val="single" w:sz="4" w:space="0" w:color="E4DED3"/>
              <w:bottom w:val="single" w:sz="4" w:space="0" w:color="E4DED3"/>
              <w:right w:val="single" w:sz="4" w:space="0" w:color="E4DED3"/>
            </w:tcBorders>
          </w:tcPr>
          <w:p>
            <w:r>
              <w:rPr>
                <w:sz w:val="19"/>
              </w:rPr>
              <w:t>HTTP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path</w:t>
            </w:r>
          </w:p>
        </w:tc>
        <w:tc>
          <w:tcPr>
            <w:tcW w:type="dxa" w:w="6576"/>
            <w:tcBorders>
              <w:top w:val="single" w:sz="4" w:space="0" w:color="E4DED3"/>
              <w:left w:val="single" w:sz="4" w:space="0" w:color="E4DED3"/>
              <w:bottom w:val="single" w:sz="4" w:space="0" w:color="E4DED3"/>
              <w:right w:val="single" w:sz="4" w:space="0" w:color="E4DED3"/>
            </w:tcBorders>
          </w:tcPr>
          <w:p>
            <w:r>
              <w:rPr>
                <w:sz w:val="19"/>
              </w:rPr>
              <w: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Interval</w:t>
            </w:r>
          </w:p>
        </w:tc>
        <w:tc>
          <w:tcPr>
            <w:tcW w:type="dxa" w:w="6576"/>
            <w:tcBorders>
              <w:top w:val="single" w:sz="4" w:space="0" w:color="E4DED3"/>
              <w:left w:val="single" w:sz="4" w:space="0" w:color="E4DED3"/>
              <w:bottom w:val="single" w:sz="4" w:space="0" w:color="E4DED3"/>
              <w:right w:val="single" w:sz="4" w:space="0" w:color="E4DED3"/>
            </w:tcBorders>
          </w:tcPr>
          <w:p>
            <w:r>
              <w:rPr>
                <w:sz w:val="19"/>
              </w:rPr>
              <w:t>30 seconds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Unhealthy threshold</w:t>
            </w:r>
          </w:p>
        </w:tc>
        <w:tc>
          <w:tcPr>
            <w:tcW w:type="dxa" w:w="6576"/>
            <w:tcBorders>
              <w:top w:val="single" w:sz="4" w:space="0" w:color="E4DED3"/>
              <w:left w:val="single" w:sz="4" w:space="0" w:color="E4DED3"/>
              <w:bottom w:val="single" w:sz="4" w:space="0" w:color="E4DED3"/>
              <w:right w:val="single" w:sz="4" w:space="0" w:color="E4DED3"/>
            </w:tcBorders>
          </w:tcPr>
          <w:p>
            <w:r>
              <w:rPr>
                <w:sz w:val="19"/>
              </w:rPr>
              <w:t>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Register targets</w:t>
            </w:r>
          </w:p>
        </w:tc>
        <w:tc>
          <w:tcPr>
            <w:tcW w:type="dxa" w:w="6576"/>
            <w:tcBorders>
              <w:top w:val="single" w:sz="4" w:space="0" w:color="E4DED3"/>
              <w:left w:val="single" w:sz="4" w:space="0" w:color="E4DED3"/>
              <w:bottom w:val="single" w:sz="4" w:space="0" w:color="E4DED3"/>
              <w:right w:val="single" w:sz="4" w:space="0" w:color="E4DED3"/>
            </w:tcBorders>
          </w:tcPr>
          <w:p>
            <w:r>
              <w:rPr>
                <w:sz w:val="19"/>
              </w:rPr>
              <w:t>skip this step and create the group with no targets. The Auto Scaling group registers them for you in task 13</w:t>
            </w:r>
          </w:p>
        </w:tc>
      </w:tr>
    </w:tbl>
    <w:p/>
    <w:p>
      <w:pPr>
        <w:spacing w:after="60"/>
      </w:pPr>
      <w:r>
        <w:rPr>
          <w:b/>
          <w:i w:val="0"/>
          <w:sz w:val="21"/>
        </w:rPr>
        <w:t>Evidence</w:t>
      </w:r>
    </w:p>
    <w:p>
      <w:pPr>
        <w:spacing w:after="200"/>
      </w:pPr>
      <w:r>
        <w:rPr>
          <w:b w:val="0"/>
          <w:i/>
          <w:color w:val="6B6660"/>
          <w:sz w:val="19"/>
        </w:rPr>
        <w:t>No screenshot required. Creating the target group is not an assessable action on its own — it is the prerequisite for the load balancer, which sends traffic to it, and the Auto Scaling group, which fills it with servers.</w:t>
      </w:r>
    </w:p>
    <w:p>
      <w:pPr>
        <w:spacing w:before="200" w:after="0"/>
      </w:pPr>
      <w:r>
        <w:rPr>
          <w:b/>
          <w:color w:val="1F5A5C"/>
          <w:sz w:val="16"/>
        </w:rPr>
        <w:t>TASK 12</w:t>
      </w:r>
    </w:p>
    <w:p>
      <w:pPr>
        <w:pStyle w:val="Heading2"/>
      </w:pPr>
      <w:r>
        <w:t>Create the load balancer</w:t>
      </w:r>
    </w:p>
    <w:p>
      <w:pPr>
        <w:spacing w:after="80"/>
      </w:pPr>
      <w:r>
        <w:rPr>
          <w:b w:val="0"/>
          <w:i/>
          <w:color w:val="6B6660"/>
          <w:sz w:val="18"/>
        </w:rPr>
        <w:t>Evidences: [ICTCLD401 PC 2.2] · [ICTCLD502 PC 4.1]</w:t>
      </w:r>
    </w:p>
    <w:p>
      <w:pPr>
        <w:spacing w:after="120"/>
      </w:pPr>
      <w:r>
        <w:rPr>
          <w:b w:val="0"/>
          <w:i w:val="0"/>
          <w:sz w:val="21"/>
        </w:rPr>
        <w:t>Create an Application Load Balancer, using the settings below. It sits in front of the application tier and sends traffic only to servers the target group reports as healthy.</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Type</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Load Balancer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Scheme</w:t>
            </w:r>
          </w:p>
        </w:tc>
        <w:tc>
          <w:tcPr>
            <w:tcW w:type="dxa" w:w="6576"/>
            <w:tcBorders>
              <w:top w:val="single" w:sz="4" w:space="0" w:color="E4DED3"/>
              <w:left w:val="single" w:sz="4" w:space="0" w:color="E4DED3"/>
              <w:bottom w:val="single" w:sz="4" w:space="0" w:color="E4DED3"/>
              <w:right w:val="single" w:sz="4" w:space="0" w:color="E4DED3"/>
            </w:tcBorders>
          </w:tcPr>
          <w:p>
            <w:r>
              <w:rPr>
                <w:sz w:val="19"/>
              </w:rPr>
              <w:t>Internet-facing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and public-web-b. It requires two zones and will not create with only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yat-lms-alb-sg. Remove the default group if the console adds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on port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 forwards to</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yat-lms-tg</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load balancer summary, showing its scheme, DNS name, subnets and security group.</w:t>
            </w:r>
          </w:p>
          <w:p>
            <w:pPr>
              <w:jc w:val="center"/>
            </w:pPr>
            <w:r>
              <w:drawing>
                <wp:inline xmlns:a="http://schemas.openxmlformats.org/drawingml/2006/main" xmlns:pic="http://schemas.openxmlformats.org/drawingml/2006/picture">
                  <wp:extent cx="5760000" cy="2851871"/>
                  <wp:docPr id="14" name="Picture 14"/>
                  <wp:cNvGraphicFramePr>
                    <a:graphicFrameLocks noChangeAspect="1"/>
                  </wp:cNvGraphicFramePr>
                  <a:graphic>
                    <a:graphicData uri="http://schemas.openxmlformats.org/drawingml/2006/picture">
                      <pic:pic>
                        <pic:nvPicPr>
                          <pic:cNvPr id="0" name="task-12.1.png"/>
                          <pic:cNvPicPr/>
                        </pic:nvPicPr>
                        <pic:blipFill>
                          <a:blip r:embed="rId32"/>
                          <a:stretch>
                            <a:fillRect/>
                          </a:stretch>
                        </pic:blipFill>
                        <pic:spPr>
                          <a:xfrm>
                            <a:off x="0" y="0"/>
                            <a:ext cx="5760000" cy="2851871"/>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2170746"/>
                  <wp:docPr id="15" name="Picture 15"/>
                  <wp:cNvGraphicFramePr>
                    <a:graphicFrameLocks noChangeAspect="1"/>
                  </wp:cNvGraphicFramePr>
                  <a:graphic>
                    <a:graphicData uri="http://schemas.openxmlformats.org/drawingml/2006/picture">
                      <pic:pic>
                        <pic:nvPicPr>
                          <pic:cNvPr id="0" name="task-12.2.png"/>
                          <pic:cNvPicPr/>
                        </pic:nvPicPr>
                        <pic:blipFill>
                          <a:blip r:embed="rId33"/>
                          <a:stretch>
                            <a:fillRect/>
                          </a:stretch>
                        </pic:blipFill>
                        <pic:spPr>
                          <a:xfrm>
                            <a:off x="0" y="0"/>
                            <a:ext cx="5760000" cy="2170746"/>
                          </a:xfrm>
                          <a:prstGeom prst="rect"/>
                        </pic:spPr>
                      </pic:pic>
                    </a:graphicData>
                  </a:graphic>
                </wp:inline>
              </w:drawing>
            </w:r>
          </w:p>
        </w:tc>
      </w:tr>
    </w:tbl>
    <w:p/>
    <w:p>
      <w:pPr>
        <w:spacing w:before="200" w:after="0"/>
      </w:pPr>
      <w:r>
        <w:rPr>
          <w:b/>
          <w:color w:val="1F5A5C"/>
          <w:sz w:val="16"/>
        </w:rPr>
        <w:t>TASK 13</w:t>
      </w:r>
    </w:p>
    <w:p>
      <w:pPr>
        <w:pStyle w:val="Heading2"/>
      </w:pPr>
      <w:r>
        <w:t>Create the Auto Scaling group</w:t>
      </w:r>
    </w:p>
    <w:p>
      <w:pPr>
        <w:spacing w:after="80"/>
      </w:pPr>
      <w:r>
        <w:rPr>
          <w:b w:val="0"/>
          <w:i/>
          <w:color w:val="6B6660"/>
          <w:sz w:val="18"/>
        </w:rPr>
        <w:t>Evidences: [ICTCLD401 PC 3.1] · [ICTCLD401 PE 2]</w:t>
      </w:r>
    </w:p>
    <w:p>
      <w:pPr>
        <w:spacing w:after="120"/>
      </w:pPr>
      <w:r>
        <w:rPr>
          <w:b w:val="0"/>
          <w:i w:val="0"/>
          <w:sz w:val="21"/>
        </w:rPr>
        <w:t>Create an Auto Scaling group, using the settings below. It adds and removes application servers on its own, without anyone touching the instance count.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1 — Launch 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2 — 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2 — 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private-app-a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3 — Load balancing</w:t>
            </w:r>
          </w:p>
        </w:tc>
        <w:tc>
          <w:tcPr>
            <w:tcW w:type="dxa" w:w="6576"/>
            <w:tcBorders>
              <w:top w:val="single" w:sz="4" w:space="0" w:color="E4DED3"/>
              <w:left w:val="single" w:sz="4" w:space="0" w:color="E4DED3"/>
              <w:bottom w:val="single" w:sz="4" w:space="0" w:color="E4DED3"/>
              <w:right w:val="single" w:sz="4" w:space="0" w:color="E4DED3"/>
            </w:tcBorders>
          </w:tcPr>
          <w:p>
            <w:r>
              <w:rPr>
                <w:sz w:val="19"/>
              </w:rPr>
              <w:t>choose Attach to an existing load balancer, then Choose from your load balancer target groups, and select yat-lms-tg. This step defaults to No load balancer, so it is easily skipped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3 — Health check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tick Turn on Elastic Load Balancing health checks; grace period 300 seconds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Group size</w:t>
            </w:r>
          </w:p>
        </w:tc>
        <w:tc>
          <w:tcPr>
            <w:tcW w:type="dxa" w:w="6576"/>
            <w:tcBorders>
              <w:top w:val="single" w:sz="4" w:space="0" w:color="E4DED3"/>
              <w:left w:val="single" w:sz="4" w:space="0" w:color="E4DED3"/>
              <w:bottom w:val="single" w:sz="4" w:space="0" w:color="E4DED3"/>
              <w:right w:val="single" w:sz="4" w:space="0" w:color="E4DED3"/>
            </w:tcBorders>
          </w:tcPr>
          <w:p>
            <w:r>
              <w:rPr>
                <w:sz w:val="19"/>
              </w:rPr>
              <w:t>desired 1, minimum 1, maximum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Scaling policy</w:t>
            </w:r>
          </w:p>
        </w:tc>
        <w:tc>
          <w:tcPr>
            <w:tcW w:type="dxa" w:w="6576"/>
            <w:tcBorders>
              <w:top w:val="single" w:sz="4" w:space="0" w:color="E4DED3"/>
              <w:left w:val="single" w:sz="4" w:space="0" w:color="E4DED3"/>
              <w:bottom w:val="single" w:sz="4" w:space="0" w:color="E4DED3"/>
              <w:right w:val="single" w:sz="4" w:space="0" w:color="E4DED3"/>
            </w:tcBorders>
          </w:tcPr>
          <w:p>
            <w:r>
              <w:rPr>
                <w:sz w:val="19"/>
              </w:rPr>
              <w:t>Target tracking, Average CPU utilization, target value 70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Warm-up</w:t>
            </w:r>
          </w:p>
        </w:tc>
        <w:tc>
          <w:tcPr>
            <w:tcW w:type="dxa" w:w="6576"/>
            <w:tcBorders>
              <w:top w:val="single" w:sz="4" w:space="0" w:color="E4DED3"/>
              <w:left w:val="single" w:sz="4" w:space="0" w:color="E4DED3"/>
              <w:bottom w:val="single" w:sz="4" w:space="0" w:color="E4DED3"/>
              <w:right w:val="single" w:sz="4" w:space="0" w:color="E4DED3"/>
            </w:tcBorders>
          </w:tcPr>
          <w:p>
            <w:r>
              <w:rPr>
                <w:sz w:val="19"/>
              </w:rPr>
              <w:t>60 seconds</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Auto Scaling group details, showing group size, the attached target group and the scaling policy.</w:t>
            </w:r>
          </w:p>
          <w:p>
            <w:pPr>
              <w:jc w:val="center"/>
            </w:pPr>
            <w:r>
              <w:drawing>
                <wp:inline xmlns:a="http://schemas.openxmlformats.org/drawingml/2006/main" xmlns:pic="http://schemas.openxmlformats.org/drawingml/2006/picture">
                  <wp:extent cx="5760000" cy="4300019"/>
                  <wp:docPr id="16" name="Picture 16"/>
                  <wp:cNvGraphicFramePr>
                    <a:graphicFrameLocks noChangeAspect="1"/>
                  </wp:cNvGraphicFramePr>
                  <a:graphic>
                    <a:graphicData uri="http://schemas.openxmlformats.org/drawingml/2006/picture">
                      <pic:pic>
                        <pic:nvPicPr>
                          <pic:cNvPr id="0" name="task-13.png"/>
                          <pic:cNvPicPr/>
                        </pic:nvPicPr>
                        <pic:blipFill>
                          <a:blip r:embed="rId34"/>
                          <a:stretch>
                            <a:fillRect/>
                          </a:stretch>
                        </pic:blipFill>
                        <pic:spPr>
                          <a:xfrm>
                            <a:off x="0" y="0"/>
                            <a:ext cx="5760000" cy="4300019"/>
                          </a:xfrm>
                          <a:prstGeom prst="rect"/>
                        </pic:spPr>
                      </pic:pic>
                    </a:graphicData>
                  </a:graphic>
                </wp:inline>
              </w:drawing>
            </w:r>
          </w:p>
        </w:tc>
      </w:tr>
    </w:tbl>
    <w:p/>
    <w:p>
      <w:pPr>
        <w:spacing w:before="200" w:after="0"/>
      </w:pPr>
      <w:r>
        <w:rPr>
          <w:b/>
          <w:color w:val="1F5A5C"/>
          <w:sz w:val="16"/>
        </w:rPr>
        <w:t>TASK 14</w:t>
      </w:r>
    </w:p>
    <w:p>
      <w:pPr>
        <w:pStyle w:val="Heading2"/>
      </w:pPr>
      <w:r>
        <w:t>Create the database subnet group</w:t>
      </w:r>
    </w:p>
    <w:p>
      <w:pPr>
        <w:spacing w:after="120"/>
      </w:pPr>
      <w:r>
        <w:rPr>
          <w:b w:val="0"/>
          <w:i w:val="0"/>
          <w:sz w:val="21"/>
        </w:rPr>
        <w:t>Create a database subnet group, using the settings below. It tells the database service which subnets it is allowed to place the database in.</w:t>
      </w:r>
    </w:p>
    <w:p>
      <w:pPr>
        <w:spacing w:before="80" w:after="160"/>
        <w:ind w:left="227"/>
      </w:pPr>
      <w:r>
        <w:rPr>
          <w:b/>
          <w:color w:val="C5613B"/>
          <w:sz w:val="19"/>
        </w:rPr>
        <w:t xml:space="preserve">Environment constraint </w:t>
      </w:r>
      <w:r>
        <w:rPr>
          <w:i/>
          <w:color w:val="C5613B"/>
          <w:sz w:val="19"/>
        </w:rPr>
        <w:t>create this in the RDS console, not the VPC console — RDS → Subnet groups → Create DB subnet group. It is easy to go looking for it where the subnets themselves live.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Availability Zones</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us-east-1a and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private-data-a and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Why two</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service requires subnets in two zones even though this database is single-AZ. The second one stays empty until the next phase</w:t>
            </w:r>
          </w:p>
        </w:tc>
      </w:tr>
    </w:tbl>
    <w:p/>
    <w:p>
      <w:pPr>
        <w:spacing w:after="60"/>
      </w:pPr>
      <w:r>
        <w:rPr>
          <w:b/>
          <w:i w:val="0"/>
          <w:sz w:val="21"/>
        </w:rPr>
        <w:t>Evidence</w:t>
      </w:r>
    </w:p>
    <w:p>
      <w:pPr>
        <w:spacing w:after="200"/>
      </w:pPr>
      <w:r>
        <w:rPr>
          <w:b w:val="0"/>
          <w:i/>
          <w:color w:val="6B6660"/>
          <w:sz w:val="19"/>
        </w:rPr>
        <w:t>No screenshot required. Creating the subnet group is not an assessable action on its own — it is the prerequisite for the database, which cannot be created without one.</w:t>
      </w:r>
    </w:p>
    <w:p>
      <w:pPr>
        <w:spacing w:before="200" w:after="0"/>
      </w:pPr>
      <w:r>
        <w:rPr>
          <w:b/>
          <w:color w:val="1F5A5C"/>
          <w:sz w:val="16"/>
        </w:rPr>
        <w:t>TASK 15</w:t>
      </w:r>
    </w:p>
    <w:p>
      <w:pPr>
        <w:pStyle w:val="Heading2"/>
      </w:pPr>
      <w:r>
        <w:t>Deploy the database</w:t>
      </w:r>
    </w:p>
    <w:p>
      <w:pPr>
        <w:spacing w:after="80"/>
      </w:pPr>
      <w:r>
        <w:rPr>
          <w:b w:val="0"/>
          <w:i/>
          <w:color w:val="6B6660"/>
          <w:sz w:val="18"/>
        </w:rPr>
        <w:t>Evidences: [ICTCLD401 PC 2.5] · [ICTCLD401 PC 1.1] · [ICTCLD401 PC 1.3] · [ICTCLD401 PE 2]</w:t>
      </w:r>
    </w:p>
    <w:p>
      <w:pPr>
        <w:spacing w:after="120"/>
      </w:pPr>
      <w:r>
        <w:rPr>
          <w:b w:val="0"/>
          <w:i w:val="0"/>
          <w:sz w:val="21"/>
        </w:rPr>
        <w:t>Create the database, using the settings below. Create it empty — loading the schema and the data is YAT ICT job, not yours.</w:t>
      </w:r>
    </w:p>
    <w:p>
      <w:pPr>
        <w:spacing w:before="80" w:after="160"/>
        <w:ind w:left="227"/>
      </w:pPr>
      <w:r>
        <w:rPr>
          <w:b/>
          <w:color w:val="C5613B"/>
          <w:sz w:val="19"/>
        </w:rPr>
        <w:t xml:space="preserve">Environment constraint </w:t>
      </w:r>
      <w:r>
        <w:rPr>
          <w:i/>
          <w:color w:val="C5613B"/>
          <w:sz w:val="19"/>
        </w:rPr>
        <w:t>use Standard create, not Easy create. Easy create chooses the network, the subnet group, the security group and the public-access setting for you and does not let you change them, which is four of the settings this task specifies.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Creation method</w:t>
            </w:r>
          </w:p>
        </w:tc>
        <w:tc>
          <w:tcPr>
            <w:tcW w:type="dxa" w:w="6576"/>
            <w:tcBorders>
              <w:top w:val="single" w:sz="4" w:space="0" w:color="E4DED3"/>
              <w:left w:val="single" w:sz="4" w:space="0" w:color="E4DED3"/>
              <w:bottom w:val="single" w:sz="4" w:space="0" w:color="E4DED3"/>
              <w:right w:val="single" w:sz="4" w:space="0" w:color="E4DED3"/>
            </w:tcBorders>
          </w:tcPr>
          <w:p>
            <w:r>
              <w:rPr>
                <w:sz w:val="19"/>
              </w:rPr>
              <w:t>Standard create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Engine</w:t>
            </w:r>
          </w:p>
        </w:tc>
        <w:tc>
          <w:tcPr>
            <w:tcW w:type="dxa" w:w="6576"/>
            <w:tcBorders>
              <w:top w:val="single" w:sz="4" w:space="0" w:color="E4DED3"/>
              <w:left w:val="single" w:sz="4" w:space="0" w:color="E4DED3"/>
              <w:bottom w:val="single" w:sz="4" w:space="0" w:color="E4DED3"/>
              <w:right w:val="single" w:sz="4" w:space="0" w:color="E4DED3"/>
            </w:tcBorders>
          </w:tcPr>
          <w:p>
            <w:r>
              <w:rPr>
                <w:sz w:val="19"/>
              </w:rPr>
              <w:t>MySQL</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Free tier, if offered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class</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20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Multi-AZ</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create a standby. This build is deliberately single-AZ</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 access</w:t>
            </w:r>
          </w:p>
        </w:tc>
        <w:tc>
          <w:tcPr>
            <w:tcW w:type="dxa" w:w="6576"/>
            <w:tcBorders>
              <w:top w:val="single" w:sz="4" w:space="0" w:color="E4DED3"/>
              <w:left w:val="single" w:sz="4" w:space="0" w:color="E4DED3"/>
              <w:bottom w:val="single" w:sz="4" w:space="0" w:color="E4DED3"/>
              <w:right w:val="single" w:sz="4" w:space="0" w:color="E4DED3"/>
            </w:tcBorders>
          </w:tcPr>
          <w:p>
            <w:r>
              <w:rPr>
                <w:sz w:val="19"/>
              </w:rPr>
              <w:t>No</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yat-lms-db-sg. Remove the default group if the console adds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Encryption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Backup retention</w:t>
            </w:r>
          </w:p>
        </w:tc>
        <w:tc>
          <w:tcPr>
            <w:tcW w:type="dxa" w:w="6576"/>
            <w:tcBorders>
              <w:top w:val="single" w:sz="4" w:space="0" w:color="E4DED3"/>
              <w:left w:val="single" w:sz="4" w:space="0" w:color="E4DED3"/>
              <w:bottom w:val="single" w:sz="4" w:space="0" w:color="E4DED3"/>
              <w:right w:val="single" w:sz="4" w:space="0" w:color="E4DED3"/>
            </w:tcBorders>
          </w:tcPr>
          <w:p>
            <w:r>
              <w:rPr>
                <w:sz w:val="19"/>
              </w:rPr>
              <w:t>7 days</w:t>
            </w:r>
          </w:p>
        </w:tc>
      </w:tr>
    </w:tbl>
    <w:p/>
    <w:p>
      <w:pPr>
        <w:spacing w:after="60"/>
      </w:pPr>
      <w:r>
        <w:rPr>
          <w:b/>
          <w:i w:val="0"/>
          <w:sz w:val="21"/>
        </w:rPr>
        <w:t>Your decision</w:t>
      </w:r>
    </w:p>
    <w:p>
      <w:pPr>
        <w:spacing w:after="120"/>
      </w:pPr>
      <w:r>
        <w:rPr>
          <w:b w:val="0"/>
          <w:i/>
          <w:color w:val="6B6660"/>
          <w:sz w:val="19"/>
        </w:rPr>
        <w:t>Choose the database instance class: db.t3.micro or db.t3.small. Name the one you did not choose, say which you chose, and explain why against the workload.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val="0"/>
                <w:color w:val="1F5A5C"/>
                <w:sz w:val="19"/>
              </w:rPr>
              <w:t>db.t3.micro has 1 GiB of memory, db.t3.small has 2 GiB. An LMS database is read-heavy and benefits from having enough memory to keep frequently-read pages cached, so I chose db.t3.small. As with the application tier, both are well below what the real workload would need; the environment caps the choice and db.t3.small is the better of the two.</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database summary showing Available, its class, encryption enabled and public access set to No.</w:t>
            </w:r>
          </w:p>
          <w:p>
            <w:pPr>
              <w:jc w:val="center"/>
            </w:pPr>
            <w:r>
              <w:drawing>
                <wp:inline xmlns:a="http://schemas.openxmlformats.org/drawingml/2006/main" xmlns:pic="http://schemas.openxmlformats.org/drawingml/2006/picture">
                  <wp:extent cx="5760000" cy="3115730"/>
                  <wp:docPr id="17" name="Picture 17"/>
                  <wp:cNvGraphicFramePr>
                    <a:graphicFrameLocks noChangeAspect="1"/>
                  </wp:cNvGraphicFramePr>
                  <a:graphic>
                    <a:graphicData uri="http://schemas.openxmlformats.org/drawingml/2006/picture">
                      <pic:pic>
                        <pic:nvPicPr>
                          <pic:cNvPr id="0" name="task-15.png"/>
                          <pic:cNvPicPr/>
                        </pic:nvPicPr>
                        <pic:blipFill>
                          <a:blip r:embed="rId35"/>
                          <a:stretch>
                            <a:fillRect/>
                          </a:stretch>
                        </pic:blipFill>
                        <pic:spPr>
                          <a:xfrm>
                            <a:off x="0" y="0"/>
                            <a:ext cx="5760000" cy="3115730"/>
                          </a:xfrm>
                          <a:prstGeom prst="rect"/>
                        </pic:spPr>
                      </pic:pic>
                    </a:graphicData>
                  </a:graphic>
                </wp:inline>
              </w:drawing>
            </w:r>
          </w:p>
        </w:tc>
      </w:tr>
    </w:tbl>
    <w:p/>
    <w:p>
      <w:pPr>
        <w:spacing w:before="200" w:after="0"/>
      </w:pPr>
      <w:r>
        <w:rPr>
          <w:b/>
          <w:color w:val="1F5A5C"/>
          <w:sz w:val="16"/>
        </w:rPr>
        <w:t>TASK 16</w:t>
      </w:r>
    </w:p>
    <w:p>
      <w:pPr>
        <w:pStyle w:val="Heading2"/>
      </w:pPr>
      <w:r>
        <w:t>Create the two monitoring alarms</w:t>
      </w:r>
    </w:p>
    <w:p>
      <w:pPr>
        <w:spacing w:after="80"/>
      </w:pPr>
      <w:r>
        <w:rPr>
          <w:b w:val="0"/>
          <w:i/>
          <w:color w:val="6B6660"/>
          <w:sz w:val="18"/>
        </w:rPr>
        <w:t>Evidences: [ICTCLD502 PC 4.3]</w:t>
      </w:r>
    </w:p>
    <w:p>
      <w:pPr>
        <w:spacing w:after="120"/>
      </w:pPr>
      <w:r>
        <w:rPr>
          <w:b w:val="0"/>
          <w:i w:val="0"/>
          <w:sz w:val="21"/>
        </w:rPr>
        <w:t>Create two CloudWatch alarms, using the settings below. They are the baseline monitoring that tells the platform when something is wrong — one watching whether the application tier is serving, one watching whether the database is running out of room.</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 topic</w:t>
            </w:r>
          </w:p>
        </w:tc>
        <w:tc>
          <w:tcPr>
            <w:tcW w:type="dxa" w:w="6576"/>
            <w:tcBorders>
              <w:top w:val="single" w:sz="4" w:space="0" w:color="E4DED3"/>
              <w:left w:val="single" w:sz="4" w:space="0" w:color="E4DED3"/>
              <w:bottom w:val="single" w:sz="4" w:space="0" w:color="E4DED3"/>
              <w:right w:val="single" w:sz="4" w:space="0" w:color="E4DED3"/>
            </w:tcBorders>
          </w:tcPr>
          <w:p>
            <w:r>
              <w:rPr>
                <w:sz w:val="19"/>
              </w:rPr>
              <w:t>create an SNS topic named yat-lms-alerts with your own email address, and use it for both alarms. You do not need to confirm the subscription email for the alarm to be created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1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application tier is not serving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ELB → Per AppELB, per TG Metrics → UnHealthyHostCount, filtered to yat-lms-alb and yat-lms-tg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Maximum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1 minute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Threshold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Static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Whenever UnHealthyHostCount is Greater/Equal than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1 out of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Missing data treatment</w:t>
            </w:r>
          </w:p>
        </w:tc>
        <w:tc>
          <w:tcPr>
            <w:tcW w:type="dxa" w:w="6576"/>
            <w:tcBorders>
              <w:top w:val="single" w:sz="4" w:space="0" w:color="E4DED3"/>
              <w:left w:val="single" w:sz="4" w:space="0" w:color="E4DED3"/>
              <w:bottom w:val="single" w:sz="4" w:space="0" w:color="E4DED3"/>
              <w:right w:val="single" w:sz="4" w:space="0" w:color="E4DED3"/>
            </w:tcBorders>
          </w:tcPr>
          <w:p>
            <w:r>
              <w:rPr>
                <w:sz w:val="19"/>
              </w:rPr>
              <w:t>Treat missing data as missing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In alarm → yat-lms-alerts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yat-lms-unhealthy-hosts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Description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any target behind the load balancer has failed its health check</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2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database is running out of room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RDS → Per-Database Metrics → FreeStorageSpace, filtered to your database instance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Minimum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5 minutes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Threshold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Static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Whenever FreeStorageSpace is Lower than 3221225472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About that number</w:t>
            </w:r>
          </w:p>
        </w:tc>
        <w:tc>
          <w:tcPr>
            <w:tcW w:type="dxa" w:w="6576"/>
            <w:tcBorders>
              <w:top w:val="single" w:sz="4" w:space="0" w:color="E4DED3"/>
              <w:left w:val="single" w:sz="4" w:space="0" w:color="E4DED3"/>
              <w:bottom w:val="single" w:sz="4" w:space="0" w:color="E4DED3"/>
              <w:right w:val="single" w:sz="4" w:space="0" w:color="E4DED3"/>
            </w:tcBorders>
          </w:tcPr>
          <w:p>
            <w:r>
              <w:rPr>
                <w:sz w:val="19"/>
              </w:rPr>
              <w:t>it is bytes — 15% of the 20 GiB you allocated. Type the raw digits, no commas and no units. The graph above the field renders in GB, but the field itself is bytes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2 out of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Missing data treatment</w:t>
            </w:r>
          </w:p>
        </w:tc>
        <w:tc>
          <w:tcPr>
            <w:tcW w:type="dxa" w:w="6576"/>
            <w:tcBorders>
              <w:top w:val="single" w:sz="4" w:space="0" w:color="E4DED3"/>
              <w:left w:val="single" w:sz="4" w:space="0" w:color="E4DED3"/>
              <w:bottom w:val="single" w:sz="4" w:space="0" w:color="E4DED3"/>
              <w:right w:val="single" w:sz="4" w:space="0" w:color="E4DED3"/>
            </w:tcBorders>
          </w:tcPr>
          <w:p>
            <w:r>
              <w:rPr>
                <w:sz w:val="19"/>
              </w:rPr>
              <w:t>Treat missing data as missing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In alarm → yat-lms-alerts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yat-lms-db-storage-low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Description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record the allocated size the threshold is based on — 15% of 20 GiB allocated. The number alone does not tell anyone whether it is still correct after the storage is resized</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alarm list showing both alarms with their metrics, thresholds and current state.</w:t>
            </w:r>
          </w:p>
          <w:p>
            <w:pPr>
              <w:jc w:val="center"/>
            </w:pPr>
            <w:r>
              <w:drawing>
                <wp:inline xmlns:a="http://schemas.openxmlformats.org/drawingml/2006/main" xmlns:pic="http://schemas.openxmlformats.org/drawingml/2006/picture">
                  <wp:extent cx="5760000" cy="3099912"/>
                  <wp:docPr id="18" name="Picture 18"/>
                  <wp:cNvGraphicFramePr>
                    <a:graphicFrameLocks noChangeAspect="1"/>
                  </wp:cNvGraphicFramePr>
                  <a:graphic>
                    <a:graphicData uri="http://schemas.openxmlformats.org/drawingml/2006/picture">
                      <pic:pic>
                        <pic:nvPicPr>
                          <pic:cNvPr id="0" name="task-16.1.png"/>
                          <pic:cNvPicPr/>
                        </pic:nvPicPr>
                        <pic:blipFill>
                          <a:blip r:embed="rId36"/>
                          <a:stretch>
                            <a:fillRect/>
                          </a:stretch>
                        </pic:blipFill>
                        <pic:spPr>
                          <a:xfrm>
                            <a:off x="0" y="0"/>
                            <a:ext cx="5760000" cy="3099912"/>
                          </a:xfrm>
                          <a:prstGeom prst="rect"/>
                        </pic:spPr>
                      </pic:pic>
                    </a:graphicData>
                  </a:graphic>
                </wp:inline>
              </w:drawing>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continued</w:t>
            </w:r>
          </w:p>
          <w:p>
            <w:pPr>
              <w:jc w:val="center"/>
            </w:pPr>
            <w:r>
              <w:drawing>
                <wp:inline xmlns:a="http://schemas.openxmlformats.org/drawingml/2006/main" xmlns:pic="http://schemas.openxmlformats.org/drawingml/2006/picture">
                  <wp:extent cx="5760000" cy="2170198"/>
                  <wp:docPr id="19" name="Picture 19"/>
                  <wp:cNvGraphicFramePr>
                    <a:graphicFrameLocks noChangeAspect="1"/>
                  </wp:cNvGraphicFramePr>
                  <a:graphic>
                    <a:graphicData uri="http://schemas.openxmlformats.org/drawingml/2006/picture">
                      <pic:pic>
                        <pic:nvPicPr>
                          <pic:cNvPr id="0" name="task-16.2.png"/>
                          <pic:cNvPicPr/>
                        </pic:nvPicPr>
                        <pic:blipFill>
                          <a:blip r:embed="rId37"/>
                          <a:stretch>
                            <a:fillRect/>
                          </a:stretch>
                        </pic:blipFill>
                        <pic:spPr>
                          <a:xfrm>
                            <a:off x="0" y="0"/>
                            <a:ext cx="5760000" cy="2170198"/>
                          </a:xfrm>
                          <a:prstGeom prst="rect"/>
                        </pic:spPr>
                      </pic:pic>
                    </a:graphicData>
                  </a:graphic>
                </wp:inline>
              </w:drawing>
            </w:r>
          </w:p>
        </w:tc>
      </w:tr>
    </w:tbl>
    <w:p/>
    <w:p>
      <w:pPr>
        <w:pStyle w:val="Heading1"/>
      </w:pPr>
      <w:r>
        <w:t>Testing</w:t>
      </w:r>
    </w:p>
    <w:p>
      <w:pPr>
        <w:spacing w:after="200"/>
      </w:pPr>
      <w:r>
        <w:rPr>
          <w:b w:val="0"/>
          <w:i/>
          <w:color w:val="6B6660"/>
          <w:sz w:val="19"/>
        </w:rPr>
        <w:t>Five tests confirm the build works. Each tells you what it demonstrates and the steps to run it. Follow the steps, then paste the screenshot into the box. If a test does not pass, fix the problem, run it again, and note what you changed.</w:t>
      </w:r>
    </w:p>
    <w:p>
      <w:pPr>
        <w:spacing w:before="200" w:after="0"/>
      </w:pPr>
      <w:r>
        <w:rPr>
          <w:b/>
          <w:color w:val="1F5A5C"/>
          <w:sz w:val="16"/>
        </w:rPr>
        <w:t>TEST 1</w:t>
      </w:r>
    </w:p>
    <w:p>
      <w:pPr>
        <w:pStyle w:val="Heading2"/>
      </w:pPr>
      <w:r>
        <w:t>Connect to the application server</w:t>
      </w:r>
    </w:p>
    <w:p>
      <w:pPr>
        <w:spacing w:after="80"/>
      </w:pPr>
      <w:r>
        <w:rPr>
          <w:b w:val="0"/>
          <w:i/>
          <w:color w:val="6B6660"/>
          <w:sz w:val="18"/>
        </w:rPr>
        <w:t>Evidences: [ICTCLD401 PE 3]</w:t>
      </w:r>
    </w:p>
    <w:p>
      <w:pPr>
        <w:spacing w:after="120"/>
      </w:pPr>
      <w:r>
        <w:rPr>
          <w:b w:val="0"/>
          <w:i w:val="0"/>
          <w:sz w:val="21"/>
        </w:rPr>
        <w:t>Connect to your application server using Session Manager, then run the command below. This shows you can reach the server you built.</w:t>
      </w:r>
    </w:p>
    <w:p>
      <w:pPr>
        <w:spacing w:after="60"/>
        <w:ind w:left="340"/>
      </w:pPr>
      <w:r>
        <w:rPr>
          <w:b/>
          <w:sz w:val="21"/>
        </w:rPr>
        <w:t xml:space="preserve">1.  </w:t>
      </w:r>
      <w:r>
        <w:rPr>
          <w:sz w:val="21"/>
        </w:rPr>
        <w:t>Open EC2 → Instances and select the running instance.</w:t>
      </w:r>
    </w:p>
    <w:p>
      <w:pPr>
        <w:spacing w:after="60"/>
        <w:ind w:left="340"/>
      </w:pPr>
      <w:r>
        <w:rPr>
          <w:b/>
          <w:sz w:val="21"/>
        </w:rPr>
        <w:t xml:space="preserve">2.  </w:t>
      </w:r>
      <w:r>
        <w:rPr>
          <w:sz w:val="21"/>
        </w:rPr>
        <w:t>Choose Connect, then the Session Manager tab, then Connect.</w:t>
      </w:r>
    </w:p>
    <w:p>
      <w:pPr>
        <w:spacing w:after="60"/>
        <w:ind w:left="340"/>
      </w:pPr>
      <w:r>
        <w:rPr>
          <w:b/>
          <w:sz w:val="21"/>
        </w:rPr>
        <w:t xml:space="preserve">3.  </w:t>
      </w:r>
      <w:r>
        <w:rPr>
          <w:sz w:val="21"/>
        </w:rPr>
        <w:t>A PowerShell session opens in the browser. Run the command below.</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hostname</w:t>
            </w:r>
          </w:p>
        </w:tc>
      </w:tr>
    </w:tbl>
    <w:p/>
    <w:p>
      <w:pPr>
        <w:spacing w:before="80" w:after="160"/>
        <w:ind w:left="227"/>
      </w:pPr>
      <w:r>
        <w:rPr>
          <w:b/>
          <w:color w:val="C5613B"/>
          <w:sz w:val="19"/>
        </w:rPr>
        <w:t xml:space="preserve">Environment constraint </w:t>
      </w:r>
      <w:r>
        <w:rPr>
          <w:i/>
          <w:color w:val="C5613B"/>
          <w:sz w:val="19"/>
        </w:rPr>
        <w:t>Session Manager needs no key pair, no open port and no public IP address. That is why your server can sit in a private subnet with nothing exposed to the internet and still be reachable by you.</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session window, showing the connection open and the hostname it returned.</w:t>
            </w:r>
          </w:p>
          <w:p>
            <w:pPr>
              <w:jc w:val="center"/>
            </w:pPr>
            <w:r>
              <w:drawing>
                <wp:inline xmlns:a="http://schemas.openxmlformats.org/drawingml/2006/main" xmlns:pic="http://schemas.openxmlformats.org/drawingml/2006/picture">
                  <wp:extent cx="5760000" cy="1708138"/>
                  <wp:docPr id="20" name="Picture 20"/>
                  <wp:cNvGraphicFramePr>
                    <a:graphicFrameLocks noChangeAspect="1"/>
                  </wp:cNvGraphicFramePr>
                  <a:graphic>
                    <a:graphicData uri="http://schemas.openxmlformats.org/drawingml/2006/picture">
                      <pic:pic>
                        <pic:nvPicPr>
                          <pic:cNvPr id="0" name="test-01.png"/>
                          <pic:cNvPicPr/>
                        </pic:nvPicPr>
                        <pic:blipFill>
                          <a:blip r:embed="rId38"/>
                          <a:stretch>
                            <a:fillRect/>
                          </a:stretch>
                        </pic:blipFill>
                        <pic:spPr>
                          <a:xfrm>
                            <a:off x="0" y="0"/>
                            <a:ext cx="5760000" cy="1708138"/>
                          </a:xfrm>
                          <a:prstGeom prst="rect"/>
                        </pic:spPr>
                      </pic:pic>
                    </a:graphicData>
                  </a:graphic>
                </wp:inline>
              </w:drawing>
            </w:r>
          </w:p>
        </w:tc>
      </w:tr>
    </w:tbl>
    <w:p/>
    <w:p>
      <w:pPr>
        <w:spacing w:before="200" w:after="0"/>
      </w:pPr>
      <w:r>
        <w:rPr>
          <w:b/>
          <w:color w:val="1F5A5C"/>
          <w:sz w:val="16"/>
        </w:rPr>
        <w:t>TEST 2</w:t>
      </w:r>
    </w:p>
    <w:p>
      <w:pPr>
        <w:pStyle w:val="Heading2"/>
      </w:pPr>
      <w:r>
        <w:t>Reach the internet from the application server</w:t>
      </w:r>
    </w:p>
    <w:p>
      <w:pPr>
        <w:spacing w:after="80"/>
      </w:pPr>
      <w:r>
        <w:rPr>
          <w:b w:val="0"/>
          <w:i/>
          <w:color w:val="6B6660"/>
          <w:sz w:val="18"/>
        </w:rPr>
        <w:t>Evidences: [ICTCLD401 PC 2.6]</w:t>
      </w:r>
    </w:p>
    <w:p>
      <w:pPr>
        <w:spacing w:after="120"/>
      </w:pPr>
      <w:r>
        <w:rPr>
          <w:b w:val="0"/>
          <w:i w:val="0"/>
          <w:sz w:val="21"/>
        </w:rPr>
        <w:t>Run the command below in the session you opened in test 1. This shows the server can reach the internet through the NAT gateway.</w:t>
      </w:r>
    </w:p>
    <w:p>
      <w:pPr>
        <w:spacing w:after="60"/>
        <w:ind w:left="340"/>
      </w:pPr>
      <w:r>
        <w:rPr>
          <w:b/>
          <w:sz w:val="21"/>
        </w:rPr>
        <w:t xml:space="preserve">1.  </w:t>
      </w:r>
      <w:r>
        <w:rPr>
          <w:sz w:val="21"/>
        </w:rPr>
        <w:t>Run the command below.</w:t>
      </w:r>
    </w:p>
    <w:p>
      <w:pPr>
        <w:spacing w:after="60"/>
        <w:ind w:left="340"/>
      </w:pPr>
      <w:r>
        <w:rPr>
          <w:b/>
          <w:sz w:val="21"/>
        </w:rPr>
        <w:t xml:space="preserve">2.  </w:t>
      </w:r>
      <w:r>
        <w:rPr>
          <w:sz w:val="21"/>
        </w:rPr>
        <w:t>Confirm it returns StatusCode 200.</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Invoke-WebRequest -Uri https://aws.amazon.com -UseBasicParsing |</w:t>
            </w:r>
          </w:p>
          <w:p>
            <w:pPr>
              <w:spacing w:after="0"/>
            </w:pPr>
            <w:r>
              <w:rPr>
                <w:rFonts w:ascii="Consolas" w:hAnsi="Consolas"/>
                <w:sz w:val="18"/>
              </w:rPr>
              <w:t xml:space="preserve">    Select-Object StatusCode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command and the status code it returned.</w:t>
            </w:r>
          </w:p>
          <w:p>
            <w:pPr>
              <w:jc w:val="center"/>
            </w:pPr>
            <w:r>
              <w:drawing>
                <wp:inline xmlns:a="http://schemas.openxmlformats.org/drawingml/2006/main" xmlns:pic="http://schemas.openxmlformats.org/drawingml/2006/picture">
                  <wp:extent cx="5760000" cy="2394073"/>
                  <wp:docPr id="21" name="Picture 21"/>
                  <wp:cNvGraphicFramePr>
                    <a:graphicFrameLocks noChangeAspect="1"/>
                  </wp:cNvGraphicFramePr>
                  <a:graphic>
                    <a:graphicData uri="http://schemas.openxmlformats.org/drawingml/2006/picture">
                      <pic:pic>
                        <pic:nvPicPr>
                          <pic:cNvPr id="0" name="test-02.png"/>
                          <pic:cNvPicPr/>
                        </pic:nvPicPr>
                        <pic:blipFill>
                          <a:blip r:embed="rId39"/>
                          <a:stretch>
                            <a:fillRect/>
                          </a:stretch>
                        </pic:blipFill>
                        <pic:spPr>
                          <a:xfrm>
                            <a:off x="0" y="0"/>
                            <a:ext cx="5760000" cy="2394073"/>
                          </a:xfrm>
                          <a:prstGeom prst="rect"/>
                        </pic:spPr>
                      </pic:pic>
                    </a:graphicData>
                  </a:graphic>
                </wp:inline>
              </w:drawing>
            </w:r>
          </w:p>
        </w:tc>
      </w:tr>
    </w:tbl>
    <w:p/>
    <w:p>
      <w:pPr>
        <w:spacing w:before="200" w:after="0"/>
      </w:pPr>
      <w:r>
        <w:rPr>
          <w:b/>
          <w:color w:val="1F5A5C"/>
          <w:sz w:val="16"/>
        </w:rPr>
        <w:t>TEST 3</w:t>
      </w:r>
    </w:p>
    <w:p>
      <w:pPr>
        <w:pStyle w:val="Heading2"/>
      </w:pPr>
      <w:r>
        <w:t>Reach the database from the application server</w:t>
      </w:r>
    </w:p>
    <w:p>
      <w:pPr>
        <w:spacing w:after="80"/>
      </w:pPr>
      <w:r>
        <w:rPr>
          <w:b w:val="0"/>
          <w:i/>
          <w:color w:val="6B6660"/>
          <w:sz w:val="18"/>
        </w:rPr>
        <w:t>Evidences: [ICTCLD401 PC 2.6] · [ICTCLD502 PC 4.2]</w:t>
      </w:r>
    </w:p>
    <w:p>
      <w:pPr>
        <w:spacing w:after="120"/>
      </w:pPr>
      <w:r>
        <w:rPr>
          <w:b w:val="0"/>
          <w:i w:val="0"/>
          <w:sz w:val="21"/>
        </w:rPr>
        <w:t>Run the command below in the same session. This shows the application tier can reach the database tier privately, over the database port.</w:t>
      </w:r>
    </w:p>
    <w:p>
      <w:pPr>
        <w:spacing w:after="60"/>
        <w:ind w:left="340"/>
      </w:pPr>
      <w:r>
        <w:rPr>
          <w:b/>
          <w:sz w:val="21"/>
        </w:rPr>
        <w:t xml:space="preserve">1.  </w:t>
      </w:r>
      <w:r>
        <w:rPr>
          <w:sz w:val="21"/>
        </w:rPr>
        <w:t>Open RDS → Databases → your database → Connectivity &amp; security, and copy the Endpoint. It looks like yat-lms-db.something.us-east-1.rds.amazonaws.com</w:t>
      </w:r>
    </w:p>
    <w:p>
      <w:pPr>
        <w:spacing w:after="60"/>
        <w:ind w:left="340"/>
      </w:pPr>
      <w:r>
        <w:rPr>
          <w:b/>
          <w:sz w:val="21"/>
        </w:rPr>
        <w:t xml:space="preserve">2.  </w:t>
      </w:r>
      <w:r>
        <w:rPr>
          <w:sz w:val="21"/>
        </w:rPr>
        <w:t>Run the command below, replacing &lt;YOUR-DB-ENDPOINT&gt; with the address you just copied. Do not paste the command as it is written — it will fail to resolve.</w:t>
      </w:r>
    </w:p>
    <w:p>
      <w:pPr>
        <w:spacing w:after="60"/>
        <w:ind w:left="340"/>
      </w:pPr>
      <w:r>
        <w:rPr>
          <w:b/>
          <w:sz w:val="21"/>
        </w:rPr>
        <w:t xml:space="preserve">3.  </w:t>
      </w:r>
      <w:r>
        <w:rPr>
          <w:sz w:val="21"/>
        </w:rPr>
        <w:t>Confirm the result reads TcpTestSucceeded : True.</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Test-NetConnection &lt;YOUR-DB-ENDPOINT&gt; -Port 3306</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command and its output showing TcpTestSucceeded : True.</w:t>
            </w:r>
          </w:p>
          <w:p>
            <w:pPr>
              <w:jc w:val="center"/>
            </w:pPr>
            <w:r>
              <w:drawing>
                <wp:inline xmlns:a="http://schemas.openxmlformats.org/drawingml/2006/main" xmlns:pic="http://schemas.openxmlformats.org/drawingml/2006/picture">
                  <wp:extent cx="5760000" cy="1867740"/>
                  <wp:docPr id="22" name="Picture 22"/>
                  <wp:cNvGraphicFramePr>
                    <a:graphicFrameLocks noChangeAspect="1"/>
                  </wp:cNvGraphicFramePr>
                  <a:graphic>
                    <a:graphicData uri="http://schemas.openxmlformats.org/drawingml/2006/picture">
                      <pic:pic>
                        <pic:nvPicPr>
                          <pic:cNvPr id="0" name="test-03.png"/>
                          <pic:cNvPicPr/>
                        </pic:nvPicPr>
                        <pic:blipFill>
                          <a:blip r:embed="rId40"/>
                          <a:stretch>
                            <a:fillRect/>
                          </a:stretch>
                        </pic:blipFill>
                        <pic:spPr>
                          <a:xfrm>
                            <a:off x="0" y="0"/>
                            <a:ext cx="5760000" cy="1867740"/>
                          </a:xfrm>
                          <a:prstGeom prst="rect"/>
                        </pic:spPr>
                      </pic:pic>
                    </a:graphicData>
                  </a:graphic>
                </wp:inline>
              </w:drawing>
            </w:r>
          </w:p>
        </w:tc>
      </w:tr>
    </w:tbl>
    <w:p/>
    <w:p>
      <w:pPr>
        <w:spacing w:before="200" w:after="0"/>
      </w:pPr>
      <w:r>
        <w:rPr>
          <w:b/>
          <w:color w:val="1F5A5C"/>
          <w:sz w:val="16"/>
        </w:rPr>
        <w:t>TEST 4</w:t>
      </w:r>
    </w:p>
    <w:p>
      <w:pPr>
        <w:pStyle w:val="Heading2"/>
      </w:pPr>
      <w:r>
        <w:t>Reach the application through the load balancer</w:t>
      </w:r>
    </w:p>
    <w:p>
      <w:pPr>
        <w:spacing w:after="80"/>
      </w:pPr>
      <w:r>
        <w:rPr>
          <w:b w:val="0"/>
          <w:i/>
          <w:color w:val="6B6660"/>
          <w:sz w:val="18"/>
        </w:rPr>
        <w:t>Evidences: [ICTCLD401 PC 2.6] · [ICTCLD502 PC 4.2]</w:t>
      </w:r>
    </w:p>
    <w:p>
      <w:pPr>
        <w:spacing w:after="120"/>
      </w:pPr>
      <w:r>
        <w:rPr>
          <w:b w:val="0"/>
          <w:i w:val="0"/>
          <w:sz w:val="21"/>
        </w:rPr>
        <w:t>Open your load balancer address in a web browser on your own computer. This shows the whole path works — the internet reaches the load balancer, the load balancer reaches your private server, and the server serves the page.</w:t>
      </w:r>
    </w:p>
    <w:p>
      <w:pPr>
        <w:spacing w:after="60"/>
        <w:ind w:left="340"/>
      </w:pPr>
      <w:r>
        <w:rPr>
          <w:b/>
          <w:sz w:val="21"/>
        </w:rPr>
        <w:t xml:space="preserve">1.  </w:t>
      </w:r>
      <w:r>
        <w:rPr>
          <w:sz w:val="21"/>
        </w:rPr>
        <w:t>Open EC2 → Load Balancers and copy the DNS name of yat-lms-alb.</w:t>
      </w:r>
    </w:p>
    <w:p>
      <w:pPr>
        <w:spacing w:after="60"/>
        <w:ind w:left="340"/>
      </w:pPr>
      <w:r>
        <w:rPr>
          <w:b/>
          <w:sz w:val="21"/>
        </w:rPr>
        <w:t xml:space="preserve">2.  </w:t>
      </w:r>
      <w:r>
        <w:rPr>
          <w:sz w:val="21"/>
        </w:rPr>
        <w:t>Paste it into a browser tab on your own machine, with http:// in front of it.</w:t>
      </w:r>
    </w:p>
    <w:p>
      <w:pPr>
        <w:spacing w:after="60"/>
        <w:ind w:left="340"/>
      </w:pPr>
      <w:r>
        <w:rPr>
          <w:b/>
          <w:sz w:val="21"/>
        </w:rPr>
        <w:t xml:space="preserve">3.  </w:t>
      </w:r>
      <w:r>
        <w:rPr>
          <w:sz w:val="21"/>
        </w:rPr>
        <w:t>Confirm the placeholder page loads.</w:t>
      </w:r>
    </w:p>
    <w:p/>
    <w:p>
      <w:pPr>
        <w:spacing w:before="80" w:after="160"/>
        <w:ind w:left="227"/>
      </w:pPr>
      <w:r>
        <w:rPr>
          <w:b/>
          <w:color w:val="C5613B"/>
          <w:sz w:val="19"/>
        </w:rPr>
        <w:t xml:space="preserve">Environment constraint </w:t>
      </w:r>
      <w:r>
        <w:rPr>
          <w:i/>
          <w:color w:val="C5613B"/>
          <w:sz w:val="19"/>
        </w:rPr>
        <w:t>your server has no public address, so what you are reaching is the load balancer. It is the only thing allowed to talk to the server, which is what the security groups enforce.</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browser showing the page, with the load balancer address visible in the address bar.</w:t>
            </w:r>
          </w:p>
          <w:p>
            <w:pPr>
              <w:jc w:val="center"/>
            </w:pPr>
            <w:r>
              <w:drawing>
                <wp:inline xmlns:a="http://schemas.openxmlformats.org/drawingml/2006/main" xmlns:pic="http://schemas.openxmlformats.org/drawingml/2006/picture">
                  <wp:extent cx="5760000" cy="2003855"/>
                  <wp:docPr id="23" name="Picture 23"/>
                  <wp:cNvGraphicFramePr>
                    <a:graphicFrameLocks noChangeAspect="1"/>
                  </wp:cNvGraphicFramePr>
                  <a:graphic>
                    <a:graphicData uri="http://schemas.openxmlformats.org/drawingml/2006/picture">
                      <pic:pic>
                        <pic:nvPicPr>
                          <pic:cNvPr id="0" name="test-04.png"/>
                          <pic:cNvPicPr/>
                        </pic:nvPicPr>
                        <pic:blipFill>
                          <a:blip r:embed="rId41"/>
                          <a:stretch>
                            <a:fillRect/>
                          </a:stretch>
                        </pic:blipFill>
                        <pic:spPr>
                          <a:xfrm>
                            <a:off x="0" y="0"/>
                            <a:ext cx="5760000" cy="2003855"/>
                          </a:xfrm>
                          <a:prstGeom prst="rect"/>
                        </pic:spPr>
                      </pic:pic>
                    </a:graphicData>
                  </a:graphic>
                </wp:inline>
              </w:drawing>
            </w:r>
          </w:p>
        </w:tc>
      </w:tr>
    </w:tbl>
    <w:p/>
    <w:p>
      <w:pPr>
        <w:spacing w:before="200" w:after="0"/>
      </w:pPr>
      <w:r>
        <w:rPr>
          <w:b/>
          <w:color w:val="1F5A5C"/>
          <w:sz w:val="16"/>
        </w:rPr>
        <w:t>TEST 5</w:t>
      </w:r>
    </w:p>
    <w:p>
      <w:pPr>
        <w:pStyle w:val="Heading2"/>
      </w:pPr>
      <w:r>
        <w:t>Automatic scaling</w:t>
      </w:r>
    </w:p>
    <w:p>
      <w:pPr>
        <w:spacing w:after="80"/>
      </w:pPr>
      <w:r>
        <w:rPr>
          <w:b w:val="0"/>
          <w:i/>
          <w:color w:val="6B6660"/>
          <w:sz w:val="18"/>
        </w:rPr>
        <w:t>Evidences: [ICTCLD401 PC 3.2]</w:t>
      </w:r>
    </w:p>
    <w:p>
      <w:pPr>
        <w:spacing w:after="120"/>
      </w:pPr>
      <w:r>
        <w:rPr>
          <w:b w:val="0"/>
          <w:i w:val="0"/>
          <w:sz w:val="21"/>
        </w:rPr>
        <w:t>Change the scaling policy as described below and watch what happens. This shows the Auto Scaling group adds and removes servers on its own, without you changing the instance count.</w:t>
      </w:r>
    </w:p>
    <w:p>
      <w:pPr>
        <w:spacing w:after="60"/>
        <w:ind w:left="340"/>
      </w:pPr>
      <w:r>
        <w:rPr>
          <w:b/>
          <w:sz w:val="21"/>
        </w:rPr>
        <w:t xml:space="preserve">1.  </w:t>
      </w:r>
      <w:r>
        <w:rPr>
          <w:sz w:val="21"/>
        </w:rPr>
        <w:t>Open EC2 → Instances, select your running instance and open the Monitoring tab. Read the CPU utilization figure — on an idle server it will be low, often only one or two percent.</w:t>
      </w:r>
    </w:p>
    <w:p>
      <w:pPr>
        <w:spacing w:after="60"/>
        <w:ind w:left="340"/>
      </w:pPr>
      <w:r>
        <w:rPr>
          <w:b/>
          <w:sz w:val="21"/>
        </w:rPr>
        <w:t xml:space="preserve">2.  </w:t>
      </w:r>
      <w:r>
        <w:rPr>
          <w:sz w:val="21"/>
        </w:rPr>
        <w:t>Open your Auto Scaling group and go to the Automatic scaling tab.</w:t>
      </w:r>
    </w:p>
    <w:p>
      <w:pPr>
        <w:spacing w:after="60"/>
        <w:ind w:left="340"/>
      </w:pPr>
      <w:r>
        <w:rPr>
          <w:b/>
          <w:sz w:val="21"/>
        </w:rPr>
        <w:t xml:space="preserve">3.  </w:t>
      </w:r>
      <w:r>
        <w:rPr>
          <w:sz w:val="21"/>
        </w:rPr>
        <w:t>Edit the target tracking policy and set the target value BELOW the figure you just read, then save. The policy keeps average CPU at the target, so a target above current usage tells it to scale in rather than out. If your reading is very low, use 1.</w:t>
      </w:r>
    </w:p>
    <w:p>
      <w:pPr>
        <w:spacing w:after="60"/>
        <w:ind w:left="340"/>
      </w:pPr>
      <w:r>
        <w:rPr>
          <w:b/>
          <w:sz w:val="21"/>
        </w:rPr>
        <w:t xml:space="preserve">4.  </w:t>
      </w:r>
      <w:r>
        <w:rPr>
          <w:sz w:val="21"/>
        </w:rPr>
        <w:t>Watch the Activity tab until a second instance launches and enters service.</w:t>
      </w:r>
    </w:p>
    <w:p>
      <w:pPr>
        <w:spacing w:after="60"/>
        <w:ind w:left="340"/>
      </w:pPr>
      <w:r>
        <w:rPr>
          <w:b/>
          <w:sz w:val="21"/>
        </w:rPr>
        <w:t xml:space="preserve">5.  </w:t>
      </w:r>
      <w:r>
        <w:rPr>
          <w:sz w:val="21"/>
        </w:rPr>
        <w:t>Edit the policy again, raise the target value to 90, and save.</w:t>
      </w:r>
    </w:p>
    <w:p>
      <w:pPr>
        <w:spacing w:after="60"/>
        <w:ind w:left="340"/>
      </w:pPr>
      <w:r>
        <w:rPr>
          <w:b/>
          <w:sz w:val="21"/>
        </w:rPr>
        <w:t xml:space="preserve">6.  </w:t>
      </w:r>
      <w:r>
        <w:rPr>
          <w:sz w:val="21"/>
        </w:rPr>
        <w:t>Watch the Activity tab until the group scales back to one instance.</w:t>
      </w:r>
    </w:p>
    <w:p>
      <w:pPr>
        <w:spacing w:after="60"/>
        <w:ind w:left="340"/>
      </w:pPr>
      <w:r>
        <w:rPr>
          <w:b/>
          <w:sz w:val="21"/>
        </w:rPr>
        <w:t xml:space="preserve">7.  </w:t>
      </w:r>
      <w:r>
        <w:rPr>
          <w:sz w:val="21"/>
        </w:rPr>
        <w:t>Set the target value back to 70.</w:t>
      </w:r>
    </w:p>
    <w:p/>
    <w:p>
      <w:pPr>
        <w:spacing w:before="80" w:after="160"/>
        <w:ind w:left="227"/>
      </w:pPr>
      <w:r>
        <w:rPr>
          <w:b/>
          <w:color w:val="C5613B"/>
          <w:sz w:val="19"/>
        </w:rPr>
        <w:t xml:space="preserve">Environment constraint </w:t>
      </w:r>
      <w:r>
        <w:rPr>
          <w:i/>
          <w:color w:val="C5613B"/>
          <w:sz w:val="19"/>
        </w:rPr>
        <w:t>scaling in is slower than scaling out — give it several minutes before deciding it has not worked.</w:t>
      </w:r>
    </w:p>
    <w:p>
      <w:pPr>
        <w:spacing w:before="80" w:after="160"/>
        <w:ind w:left="227"/>
      </w:pPr>
      <w:r>
        <w:rPr>
          <w:b/>
          <w:color w:val="1F5A5C"/>
          <w:sz w:val="19"/>
        </w:rPr>
        <w:t xml:space="preserve">Assessor note </w:t>
      </w:r>
      <w:r>
        <w:rPr>
          <w:i/>
          <w:color w:val="1F5A5C"/>
          <w:sz w:val="19"/>
        </w:rPr>
        <w:t>proven in the lab: an idle Windows t3.small read about 6% CPU, and setting the target value to 1 triggered a scale-out within a few minutes. Expect students to report readings of a few percent and targets of 1. A student who reports a higher reading and a correspondingly higher target has done the same thing correctly. Scale-in takes noticeably longer than scale-out, so a submission showing a long gap between the two Activity entries is normal, not a fault.</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r>
              <w:rPr>
                <w:i/>
                <w:color w:val="C5613B"/>
                <w:sz w:val="19"/>
              </w:rPr>
              <w:t>SCREENSHOT — the Activity tab, showing both the scale-out and the scale-in entries with their times.</w:t>
            </w:r>
          </w:p>
          <w:p>
            <w:pPr>
              <w:jc w:val="center"/>
            </w:pPr>
            <w:r>
              <w:drawing>
                <wp:inline xmlns:a="http://schemas.openxmlformats.org/drawingml/2006/main" xmlns:pic="http://schemas.openxmlformats.org/drawingml/2006/picture">
                  <wp:extent cx="5760000" cy="1704753"/>
                  <wp:docPr id="24" name="Picture 24"/>
                  <wp:cNvGraphicFramePr>
                    <a:graphicFrameLocks noChangeAspect="1"/>
                  </wp:cNvGraphicFramePr>
                  <a:graphic>
                    <a:graphicData uri="http://schemas.openxmlformats.org/drawingml/2006/picture">
                      <pic:pic>
                        <pic:nvPicPr>
                          <pic:cNvPr id="0" name="test-05.png"/>
                          <pic:cNvPicPr/>
                        </pic:nvPicPr>
                        <pic:blipFill>
                          <a:blip r:embed="rId42"/>
                          <a:stretch>
                            <a:fillRect/>
                          </a:stretch>
                        </pic:blipFill>
                        <pic:spPr>
                          <a:xfrm>
                            <a:off x="0" y="0"/>
                            <a:ext cx="5760000" cy="1704753"/>
                          </a:xfrm>
                          <a:prstGeom prst="rect"/>
                        </pic:spPr>
                      </pic:pic>
                    </a:graphicData>
                  </a:graphic>
                </wp:inline>
              </w:drawing>
            </w:r>
          </w:p>
        </w:tc>
      </w:tr>
    </w:tbl>
    <w:p/>
    <w:p>
      <w:pPr>
        <w:pStyle w:val="Heading1"/>
      </w:pPr>
      <w:r>
        <w:t>Knowledge questions</w:t>
      </w:r>
    </w:p>
    <w:p>
      <w:pPr>
        <w:spacing w:after="200"/>
      </w:pPr>
      <w:r>
        <w:rPr>
          <w:b w:val="0"/>
          <w:i/>
          <w:color w:val="6B6660"/>
          <w:sz w:val="19"/>
        </w:rPr>
        <w:t>Answer each question about your own build, not in general terms. Refer to what you actually created and the choices you actually made.</w:t>
      </w:r>
    </w:p>
    <w:p>
      <w:pPr>
        <w:spacing w:before="200" w:after="0"/>
      </w:pPr>
      <w:r>
        <w:rPr>
          <w:b/>
          <w:color w:val="1F5A5C"/>
          <w:sz w:val="16"/>
        </w:rPr>
        <w:t>QUESTION 1</w:t>
      </w:r>
    </w:p>
    <w:p>
      <w:pPr>
        <w:pStyle w:val="Heading2"/>
      </w:pPr>
      <w:r>
        <w:t>Name the compute, networking and scaling services you depl...</w:t>
      </w:r>
    </w:p>
    <w:p>
      <w:pPr>
        <w:spacing w:after="80"/>
      </w:pPr>
      <w:r>
        <w:rPr>
          <w:b w:val="0"/>
          <w:i/>
          <w:color w:val="6B6660"/>
          <w:sz w:val="18"/>
        </w:rPr>
        <w:t>Evidences: [ICTCLD401 KE 5]</w:t>
      </w:r>
    </w:p>
    <w:p>
      <w:pPr>
        <w:spacing w:after="120"/>
      </w:pPr>
      <w:r>
        <w:rPr>
          <w:b w:val="0"/>
          <w:i w:val="0"/>
          <w:sz w:val="21"/>
        </w:rPr>
        <w:t>Name the compute, networking and scaling services you deployed. For each, explain the feature it provides and how it supports the YAT LMS specifically.</w:t>
      </w:r>
    </w:p>
    <w:p>
      <w:pPr>
        <w:spacing w:after="60"/>
      </w:pPr>
      <w:r>
        <w:rPr>
          <w:b/>
          <w:i w:val="0"/>
          <w:sz w:val="21"/>
        </w:rPr>
        <w:t>Related resources</w:t>
      </w:r>
    </w:p>
    <w:p>
      <w:pPr>
        <w:spacing w:after="80"/>
        <w:ind w:left="340"/>
      </w:pPr>
      <w:r>
        <w:rPr>
          <w:sz w:val="21"/>
        </w:rPr>
        <w:t xml:space="preserve">•  </w:t>
      </w:r>
      <w:hyperlink r:id="rId17">
        <w:r>
          <w:rPr>
            <w:sz w:val="21"/>
            <w:color w:val="0563C1"/>
            <w:u w:val="single"/>
          </w:rPr>
          <w:t>LMS Application Specification — the user population, concurrent load and service-level expectations your services have to support</w:t>
        </w:r>
      </w:hyperlink>
    </w:p>
    <w:p>
      <w:pPr>
        <w:spacing w:after="80"/>
        <w:ind w:left="340"/>
      </w:pPr>
      <w:r>
        <w:rPr>
          <w:sz w:val="21"/>
        </w:rPr>
        <w:t xml:space="preserve">•  </w:t>
      </w:r>
      <w:hyperlink r:id="rId43">
        <w:r>
          <w:rPr>
            <w:sz w:val="21"/>
            <w:color w:val="0563C1"/>
            <w:u w:val="single"/>
          </w:rPr>
          <w:t>LMS Cloud Architecture — Baseline Design — the design your build implements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three: the instance, the load balancer, the Auto Scaling group.</w:t>
            </w:r>
          </w:p>
          <w:p>
            <w:pPr>
              <w:jc w:val="left"/>
            </w:pPr>
            <w:r>
              <w:rPr>
                <w:b w:val="0"/>
                <w:i w:val="0"/>
                <w:color w:val="1F5A5C"/>
                <w:sz w:val="19"/>
              </w:rPr>
              <w:t>•  Instance: the compute the LMS runs on, sized against the concurrent-user load.</w:t>
            </w:r>
          </w:p>
          <w:p>
            <w:pPr>
              <w:jc w:val="left"/>
            </w:pPr>
            <w:r>
              <w:rPr>
                <w:b w:val="0"/>
                <w:i w:val="0"/>
                <w:color w:val="1F5A5C"/>
                <w:sz w:val="19"/>
              </w:rPr>
              <w:t>•  Load balancer: distributes traffic and removes unhealthy servers from rotation.</w:t>
            </w:r>
          </w:p>
          <w:p>
            <w:pPr>
              <w:jc w:val="left"/>
            </w:pPr>
            <w:r>
              <w:rPr>
                <w:b w:val="0"/>
                <w:i w:val="0"/>
                <w:color w:val="1F5A5C"/>
                <w:sz w:val="19"/>
              </w:rPr>
              <w:t>•  Auto Scaling: adds capacity during assessment-window peaks without anyone acting.</w:t>
            </w:r>
          </w:p>
          <w:p>
            <w:pPr>
              <w:jc w:val="left"/>
            </w:pPr>
            <w:r>
              <w:rPr>
                <w:b w:val="0"/>
                <w:i w:val="0"/>
                <w:color w:val="1F5A5C"/>
                <w:sz w:val="19"/>
              </w:rPr>
              <w:t>•  Each tied to YAT, not explained generically.</w:t>
            </w:r>
          </w:p>
        </w:tc>
      </w:tr>
    </w:tbl>
    <w:p/>
    <w:p>
      <w:pPr>
        <w:spacing w:before="200" w:after="0"/>
      </w:pPr>
      <w:r>
        <w:rPr>
          <w:b/>
          <w:color w:val="1F5A5C"/>
          <w:sz w:val="16"/>
        </w:rPr>
        <w:t>QUESTION 2</w:t>
      </w:r>
    </w:p>
    <w:p>
      <w:pPr>
        <w:pStyle w:val="Heading2"/>
      </w:pPr>
      <w:r>
        <w:t>In your build: (a) why a managed database service rather t...</w:t>
      </w:r>
    </w:p>
    <w:p>
      <w:pPr>
        <w:spacing w:after="80"/>
      </w:pPr>
      <w:r>
        <w:rPr>
          <w:b w:val="0"/>
          <w:i/>
          <w:color w:val="6B6660"/>
          <w:sz w:val="18"/>
        </w:rPr>
        <w:t>Evidences: [ICTCLD401 KE 6]</w:t>
      </w:r>
    </w:p>
    <w:p>
      <w:pPr>
        <w:spacing w:after="120"/>
      </w:pPr>
      <w:r>
        <w:rPr>
          <w:b w:val="0"/>
          <w:i w:val="0"/>
          <w:sz w:val="21"/>
        </w:rPr>
        <w:t>In your build: (a) why a managed database service rather than running the database on the server yourself? (b) your build uses block storage in two places — the volumes on the server and the storage behind the database. Explain how block storage differs from object storage, and when each is the right choice for an LMS. (c) why scale horizontally rather than vertically, and what does that trade off?</w:t>
      </w:r>
    </w:p>
    <w:p>
      <w:pPr>
        <w:spacing w:after="60"/>
      </w:pPr>
      <w:r>
        <w:rPr>
          <w:b/>
          <w:i w:val="0"/>
          <w:sz w:val="21"/>
        </w:rPr>
        <w:t>Related resources</w:t>
      </w:r>
    </w:p>
    <w:p>
      <w:pPr>
        <w:spacing w:after="80"/>
        <w:ind w:left="340"/>
      </w:pPr>
      <w:r>
        <w:rPr>
          <w:sz w:val="21"/>
        </w:rPr>
        <w:t xml:space="preserve">•  </w:t>
      </w:r>
      <w:hyperlink r:id="rId43">
        <w:r>
          <w:rPr>
            <w:sz w:val="21"/>
            <w:color w:val="0563C1"/>
            <w:u w:val="single"/>
          </w:rPr>
          <w:t>LMS Cloud Architecture — Baseline Design — why the design chose a managed database and a scaling group rather than a single larger server</w:t>
        </w:r>
      </w:hyperlink>
    </w:p>
    <w:p>
      <w:pPr>
        <w:spacing w:after="80"/>
        <w:ind w:left="340"/>
      </w:pPr>
      <w:r>
        <w:rPr>
          <w:sz w:val="21"/>
        </w:rPr>
        <w:t xml:space="preserve">•  </w:t>
      </w:r>
      <w:hyperlink r:id="rId17">
        <w:r>
          <w:rPr>
            <w:sz w:val="21"/>
            <w:color w:val="0563C1"/>
            <w:u w:val="single"/>
          </w:rPr>
          <w:t>LMS Application Specification — what the LMS stores, which is what the storage choices have to suit</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Managed: AWS handles patching, backups and monitoring; less for YAT ICT to operate; and multi-AZ is one setting away for the next phase.</w:t>
            </w:r>
          </w:p>
          <w:p>
            <w:pPr>
              <w:jc w:val="left"/>
            </w:pPr>
            <w:r>
              <w:rPr>
                <w:b w:val="0"/>
                <w:i w:val="0"/>
                <w:color w:val="1F5A5C"/>
                <w:sz w:val="19"/>
              </w:rPr>
              <w:t>•  (b) Block storage is a disk attached to one server, addressed in blocks, and it is what an operating system and a database need. Object storage holds whole files retrieved by name over the network, is effectively unlimited, is cheaper at scale, and can age files off to archive. For an LMS: block for the system and the database, object for course attachments and student submissions.</w:t>
            </w:r>
          </w:p>
          <w:p>
            <w:pPr>
              <w:jc w:val="left"/>
            </w:pPr>
            <w:r>
              <w:rPr>
                <w:b w:val="0"/>
                <w:i w:val="0"/>
                <w:color w:val="1F5A5C"/>
                <w:sz w:val="19"/>
              </w:rPr>
              <w:t>•  (c) Horizontal adds servers with no downtime, which suits an LMS that must stay up; vertical needs a restart. Trade-off: the application must tolerate requests landing on different servers.</w:t>
            </w:r>
          </w:p>
        </w:tc>
      </w:tr>
    </w:tbl>
    <w:p/>
    <w:p>
      <w:pPr>
        <w:spacing w:before="200" w:after="0"/>
      </w:pPr>
      <w:r>
        <w:rPr>
          <w:b/>
          <w:color w:val="1F5A5C"/>
          <w:sz w:val="16"/>
        </w:rPr>
        <w:t>QUESTION 3</w:t>
      </w:r>
    </w:p>
    <w:p>
      <w:pPr>
        <w:pStyle w:val="Heading2"/>
      </w:pPr>
      <w:r>
        <w:t>Using your own environment, name two responsibilities that...</w:t>
      </w:r>
    </w:p>
    <w:p>
      <w:pPr>
        <w:spacing w:after="80"/>
      </w:pPr>
      <w:r>
        <w:rPr>
          <w:b w:val="0"/>
          <w:i/>
          <w:color w:val="6B6660"/>
          <w:sz w:val="18"/>
        </w:rPr>
        <w:t>Evidences: [ICTCLD401 KE 7]</w:t>
      </w:r>
    </w:p>
    <w:p>
      <w:pPr>
        <w:spacing w:after="120"/>
      </w:pPr>
      <w:r>
        <w:rPr>
          <w:b w:val="0"/>
          <w:i w:val="0"/>
          <w:sz w:val="21"/>
        </w:rPr>
        <w:t>Using your own environment, name two responsibilities that remain YAT's and one that shifted to AWS under the shared-responsibility model, and say why each falls where it does.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Two YAT-side: operating-system patching after handover; managing users and MFA.</w:t>
            </w:r>
          </w:p>
          <w:p>
            <w:pPr>
              <w:jc w:val="left"/>
            </w:pPr>
            <w:r>
              <w:rPr>
                <w:b w:val="0"/>
                <w:i w:val="0"/>
                <w:color w:val="1F5A5C"/>
                <w:sz w:val="19"/>
              </w:rPr>
              <w:t>•  One shifted: hardware, data-centre power and cooling; or backup media handling, now the managed database's job.</w:t>
            </w:r>
          </w:p>
          <w:p>
            <w:pPr>
              <w:jc w:val="left"/>
            </w:pPr>
            <w:r>
              <w:rPr>
                <w:b w:val="0"/>
                <w:i w:val="0"/>
                <w:color w:val="1F5A5C"/>
                <w:sz w:val="19"/>
              </w:rPr>
              <w:t>•  Reasons given, not just a list.</w:t>
            </w:r>
          </w:p>
        </w:tc>
      </w:tr>
    </w:tbl>
    <w:p/>
    <w:p>
      <w:pPr>
        <w:spacing w:before="200" w:after="0"/>
      </w:pPr>
      <w:r>
        <w:rPr>
          <w:b/>
          <w:color w:val="1F5A5C"/>
          <w:sz w:val="16"/>
        </w:rPr>
        <w:t>QUESTION 4</w:t>
      </w:r>
    </w:p>
    <w:p>
      <w:pPr>
        <w:pStyle w:val="Heading2"/>
      </w:pPr>
      <w:r>
        <w:t>Pick one IAM group you created. Describe the permissions y...</w:t>
      </w:r>
    </w:p>
    <w:p>
      <w:pPr>
        <w:spacing w:after="80"/>
      </w:pPr>
      <w:r>
        <w:rPr>
          <w:b w:val="0"/>
          <w:i/>
          <w:color w:val="6B6660"/>
          <w:sz w:val="18"/>
        </w:rPr>
        <w:t>Evidences: [ICTCLD401 KE 8]</w:t>
      </w:r>
    </w:p>
    <w:p>
      <w:pPr>
        <w:spacing w:after="120"/>
      </w:pPr>
      <w:r>
        <w:rPr>
          <w:b w:val="0"/>
          <w:i w:val="0"/>
          <w:sz w:val="21"/>
        </w:rPr>
        <w:t>Pick one IAM group you created. Describe the permissions you gave it, the job function it serves, and why its permissions differ from another group in your build.</w:t>
      </w:r>
    </w:p>
    <w:p>
      <w:pPr>
        <w:spacing w:after="60"/>
      </w:pPr>
      <w:r>
        <w:rPr>
          <w:b/>
          <w:i w:val="0"/>
          <w:sz w:val="21"/>
        </w:rPr>
        <w:t>Related resources</w:t>
      </w:r>
    </w:p>
    <w:p>
      <w:pPr>
        <w:spacing w:after="80"/>
        <w:ind w:left="340"/>
      </w:pPr>
      <w:r>
        <w:rPr>
          <w:sz w:val="21"/>
        </w:rPr>
        <w:t xml:space="preserve">•  </w:t>
      </w:r>
      <w:hyperlink r:id="rId44">
        <w:r>
          <w:rPr>
            <w:sz w:val="21"/>
            <w:color w:val="0563C1"/>
            <w:u w:val="single"/>
          </w:rPr>
          <w:t>User Access Policy — YAT's role-based access model, its role groups and permissions matrix, and its rules on privileged access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a real group from their own build.</w:t>
            </w:r>
          </w:p>
          <w:p>
            <w:pPr>
              <w:jc w:val="left"/>
            </w:pPr>
            <w:r>
              <w:rPr>
                <w:b w:val="0"/>
                <w:i w:val="0"/>
                <w:color w:val="1F5A5C"/>
                <w:sz w:val="19"/>
              </w:rPr>
              <w:t>•  Ties the permissions to what that job actually needs to do.</w:t>
            </w:r>
          </w:p>
          <w:p>
            <w:pPr>
              <w:jc w:val="left"/>
            </w:pPr>
            <w:r>
              <w:rPr>
                <w:b w:val="0"/>
                <w:i w:val="0"/>
                <w:color w:val="1F5A5C"/>
                <w:sz w:val="19"/>
              </w:rPr>
              <w:t>•  Contrasts it with another group and explains the boundary — e.g. YAT ICT operate the platform but do not change IAM, because that is a security boundary.</w:t>
            </w:r>
          </w:p>
        </w:tc>
      </w:tr>
    </w:tbl>
    <w:p/>
    <w:p>
      <w:pPr>
        <w:spacing w:before="200" w:after="0"/>
      </w:pPr>
      <w:r>
        <w:rPr>
          <w:b/>
          <w:color w:val="1F5A5C"/>
          <w:sz w:val="16"/>
        </w:rPr>
        <w:t>QUESTION 5</w:t>
      </w:r>
    </w:p>
    <w:p>
      <w:pPr>
        <w:pStyle w:val="Heading2"/>
      </w:pPr>
      <w:r>
        <w:t>The yat-lms-db-sg security group you created in task 7 per...</w:t>
      </w:r>
    </w:p>
    <w:p>
      <w:pPr>
        <w:spacing w:after="80"/>
      </w:pPr>
      <w:r>
        <w:rPr>
          <w:b w:val="0"/>
          <w:i/>
          <w:color w:val="6B6660"/>
          <w:sz w:val="18"/>
        </w:rPr>
        <w:t>Evidences: [ICTCLD401 KE 9]</w:t>
      </w:r>
    </w:p>
    <w:p>
      <w:pPr>
        <w:spacing w:after="120"/>
      </w:pPr>
      <w:r>
        <w:rPr>
          <w:b w:val="0"/>
          <w:i w:val="0"/>
          <w:sz w:val="21"/>
        </w:rPr>
        <w:t>The yat-lms-db-sg security group you created in task 7 permits MySQL traffic on port 3306 from one source only. State the rule exactly as you configured it, explain why the database is restricted this way rather than being reachable from the internet, and describe the risk to YAT if that restriction were removed.</w:t>
      </w:r>
    </w:p>
    <w:p>
      <w:pPr>
        <w:spacing w:after="60"/>
      </w:pPr>
      <w:r>
        <w:rPr>
          <w:b/>
          <w:i w:val="0"/>
          <w:sz w:val="21"/>
        </w:rPr>
        <w:t>Related resources</w:t>
      </w:r>
    </w:p>
    <w:p>
      <w:pPr>
        <w:spacing w:after="80"/>
        <w:ind w:left="340"/>
      </w:pPr>
      <w:r>
        <w:rPr>
          <w:sz w:val="21"/>
        </w:rPr>
        <w:t xml:space="preserve">•  </w:t>
      </w:r>
      <w:hyperlink r:id="rId45">
        <w:r>
          <w:rPr>
            <w:sz w:val="21"/>
            <w:color w:val="0563C1"/>
            <w:u w:val="single"/>
          </w:rPr>
          <w:t>LMS Application Specification § 4, Data stored — what the MySQL database actually holds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States the rule as built: inbound MySQL on 3306, source yat-lms-app-sg — the application tier's security group, not an address range and not the internet.</w:t>
            </w:r>
          </w:p>
          <w:p>
            <w:pPr>
              <w:jc w:val="left"/>
            </w:pPr>
            <w:r>
              <w:rPr>
                <w:b w:val="0"/>
                <w:i w:val="0"/>
                <w:color w:val="1F5A5C"/>
                <w:sz w:val="19"/>
              </w:rPr>
              <w:t>•  Explains the restriction: only the application tier has any business reaching the database. Naming a security group as the source rather than an address range means the rule follows the instances, however many the Auto Scaling group launches and whatever addresses they get.</w:t>
            </w:r>
          </w:p>
          <w:p>
            <w:pPr>
              <w:jc w:val="left"/>
            </w:pPr>
            <w:r>
              <w:rPr>
                <w:b w:val="0"/>
                <w:i w:val="0"/>
                <w:color w:val="1F5A5C"/>
                <w:sz w:val="19"/>
              </w:rPr>
              <w:t>•  Names a concrete risk grounded in what the database holds — the ~50 GB of student personal information in § 4 of the specification (names, dates of birth, USIs, enrolment and fee status, assessment results) becomes reachable from the internet and the database engine can be attacked directly for credentials. YAT carries Privacy Act and APP obligations over that data.</w:t>
            </w:r>
          </w:p>
          <w:p>
            <w:pPr>
              <w:jc w:val="left"/>
            </w:pPr>
            <w:r>
              <w:rPr>
                <w:b w:val="0"/>
                <w:i w:val="0"/>
                <w:color w:val="1F5A5C"/>
                <w:sz w:val="19"/>
              </w:rPr>
              <w:t>•  A student who says only that it would be "less secure" has not evidenced this.</w:t>
            </w:r>
          </w:p>
        </w:tc>
      </w:tr>
    </w:tbl>
    <w:p/>
    <w:p>
      <w:pPr>
        <w:spacing w:before="200" w:after="0"/>
      </w:pPr>
      <w:r>
        <w:rPr>
          <w:b/>
          <w:color w:val="1F5A5C"/>
          <w:sz w:val="16"/>
        </w:rPr>
        <w:t>QUESTION 6</w:t>
      </w:r>
    </w:p>
    <w:p>
      <w:pPr>
        <w:pStyle w:val="Heading2"/>
      </w:pPr>
      <w:r>
        <w:t>When a YAT staff member types the LMS address into their b...</w:t>
      </w:r>
    </w:p>
    <w:p>
      <w:pPr>
        <w:spacing w:after="80"/>
      </w:pPr>
      <w:r>
        <w:rPr>
          <w:b w:val="0"/>
          <w:i/>
          <w:color w:val="6B6660"/>
          <w:sz w:val="18"/>
        </w:rPr>
        <w:t>Evidences: [ICTCLD401 KE 10]</w:t>
      </w:r>
    </w:p>
    <w:p>
      <w:pPr>
        <w:spacing w:after="120"/>
      </w:pPr>
      <w:r>
        <w:rPr>
          <w:b w:val="0"/>
          <w:i w:val="0"/>
          <w:sz w:val="21"/>
        </w:rPr>
        <w:t>When a YAT staff member types the LMS address into their browser, DNS resolution has to happen before anything else can. Explain what DNS does at that moment in your deployment, and what would fail for YAT if it were misconfigured.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browser connects to an address, not a name — DNS is the translation step.</w:t>
            </w:r>
          </w:p>
          <w:p>
            <w:pPr>
              <w:jc w:val="left"/>
            </w:pPr>
            <w:r>
              <w:rPr>
                <w:b w:val="0"/>
                <w:i w:val="0"/>
                <w:color w:val="1F5A5C"/>
                <w:sz w:val="19"/>
              </w:rPr>
              <w:t>•  In this deployment the name resolves to the load balancer.</w:t>
            </w:r>
          </w:p>
          <w:p>
            <w:pPr>
              <w:jc w:val="left"/>
            </w:pPr>
            <w:r>
              <w:rPr>
                <w:b w:val="0"/>
                <w:i w:val="0"/>
                <w:color w:val="1F5A5C"/>
                <w:sz w:val="19"/>
              </w:rPr>
              <w:t>•  The load balancer's addresses change, which is why the name points at it rather than at a server.</w:t>
            </w:r>
          </w:p>
          <w:p>
            <w:pPr>
              <w:jc w:val="left"/>
            </w:pPr>
            <w:r>
              <w:rPr>
                <w:b w:val="0"/>
                <w:i w:val="0"/>
                <w:color w:val="1F5A5C"/>
                <w:sz w:val="19"/>
              </w:rPr>
              <w:t>•  If misconfigured, staff cannot reach the LMS even though every server is running.</w:t>
            </w:r>
          </w:p>
        </w:tc>
      </w:tr>
    </w:tbl>
    <w:p/>
    <w:p>
      <w:pPr>
        <w:pStyle w:val="Heading1"/>
      </w:pPr>
      <w:r>
        <w:t>Handover</w:t>
      </w:r>
    </w:p>
    <w:p>
      <w:pPr>
        <w:pStyle w:val="Heading2"/>
      </w:pPr>
      <w:r>
        <w:t>File the completed run sheet</w:t>
      </w:r>
    </w:p>
    <w:p>
      <w:pPr>
        <w:spacing w:after="80"/>
      </w:pPr>
      <w:r>
        <w:rPr>
          <w:b w:val="0"/>
          <w:i/>
          <w:color w:val="6B6660"/>
          <w:sz w:val="18"/>
        </w:rPr>
        <w:t>Evidences: [ICTCLD401 PC 4.3]</w:t>
      </w:r>
    </w:p>
    <w:p>
      <w:pPr>
        <w:spacing w:after="120"/>
      </w:pPr>
      <w:r>
        <w:rPr>
          <w:b w:val="0"/>
          <w:i w:val="0"/>
          <w:sz w:val="21"/>
        </w:rPr>
        <w:t>You have now built the platform, tested it and answered the questions. Hand the build over by filing this completed run sheet where YAT records procedures require, so YAT ICT can find it after the engagement ends. Do this last.</w:t>
      </w:r>
    </w:p>
    <w:p>
      <w:pPr>
        <w:spacing w:after="120"/>
      </w:pPr>
      <w:r>
        <w:rPr>
          <w:b w:val="0"/>
          <w:i/>
          <w:color w:val="6B6660"/>
          <w:sz w:val="19"/>
        </w:rPr>
        <w:t>State where you filed it and which YAT policy required that location.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actual location the report was filed in, not a general intention.</w:t>
            </w:r>
          </w:p>
          <w:p>
            <w:pPr>
              <w:jc w:val="left"/>
            </w:pPr>
            <w:r>
              <w:rPr>
                <w:b w:val="0"/>
                <w:i w:val="0"/>
                <w:color w:val="1F5A5C"/>
                <w:sz w:val="19"/>
              </w:rPr>
              <w:t>•  Names the YAT policy that governs it — the Records Management Policy, or the Backup and Retention Policy.</w:t>
            </w:r>
          </w:p>
          <w:p>
            <w:pPr>
              <w:jc w:val="left"/>
            </w:pPr>
            <w:r>
              <w:rPr>
                <w:b w:val="0"/>
                <w:i w:val="0"/>
                <w:color w:val="1F5A5C"/>
                <w:sz w:val="19"/>
              </w:rPr>
              <w:t>•  A student who says only "I would file it appropriately" has not evidenced this.</w:t>
            </w:r>
          </w:p>
        </w:tc>
      </w:tr>
    </w:tbl>
    <w:p/>
    <w:p>
      <w:pPr>
        <w:pStyle w:val="Heading1"/>
        <w:spacing w:before="280" w:after="120"/>
      </w:pPr>
      <w:r>
        <w:t>Marking Benchmark — UoC traceability (reverse map)</w:t>
      </w:r>
    </w:p>
    <w:p>
      <w:pPr>
        <w:pStyle w:val="Assessortext"/>
        <w:spacing w:after="160"/>
      </w:pPr>
      <w:r>
        <w:t>This table closes the loop on bidirectional traceability: every UoC requirement AT2 claims to evidence is named below with the marking criterion that evidences it, and each run-sheet task carries its own Evidences line where the work is done. No UoC requirement claimed by AT2 is left without a criterion.</w:t>
      </w:r>
    </w:p>
    <w:p>
      <w:pPr>
        <w:pStyle w:val="Assessortext"/>
        <w:spacing w:after="160"/>
      </w:pPr>
      <w:r>
        <w:t>ICTCLD401 — Configure cloud services (AT2-evidenced items)</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[ICTCLD401 PC 1.1] Discuss and compare different cloud computing solutions, models and services</w:t>
            </w:r>
          </w:p>
        </w:tc>
        <w:tc>
          <w:tcPr>
            <w:tcW w:type="dxa" w:w="5233"/>
          </w:tcPr>
          <w:p>
            <w:r>
              <w:t>A6</w:t>
            </w:r>
          </w:p>
        </w:tc>
      </w:tr>
      <w:tr>
        <w:tc>
          <w:tcPr>
            <w:tcW w:type="dxa" w:w="5233"/>
          </w:tcPr>
          <w:p>
            <w:r>
              <w:t>[ICTCLD401 PC 1.2] Identify impact of shared security responsibility models</w:t>
            </w:r>
          </w:p>
        </w:tc>
        <w:tc>
          <w:tcPr>
            <w:tcW w:type="dxa" w:w="5233"/>
          </w:tcPr>
          <w:p>
            <w:r>
              <w:t>A1</w:t>
            </w:r>
          </w:p>
        </w:tc>
      </w:tr>
      <w:tr>
        <w:tc>
          <w:tcPr>
            <w:tcW w:type="dxa" w:w="5233"/>
          </w:tcPr>
          <w:p>
            <w:r>
              <w:t>[ICTCLD401 PC 1.3] Select best cloud computing solution and service</w:t>
            </w:r>
          </w:p>
        </w:tc>
        <w:tc>
          <w:tcPr>
            <w:tcW w:type="dxa" w:w="5233"/>
          </w:tcPr>
          <w:p>
            <w:r>
              <w:t>A6</w:t>
            </w:r>
          </w:p>
        </w:tc>
      </w:tr>
      <w:tr>
        <w:tc>
          <w:tcPr>
            <w:tcW w:type="dxa" w:w="5233"/>
          </w:tcPr>
          <w:p>
            <w:r>
              <w:t>[ICTCLD401 PC 1.4] Access account on cloud platform</w:t>
            </w:r>
          </w:p>
        </w:tc>
        <w:tc>
          <w:tcPr>
            <w:tcW w:type="dxa" w:w="5233"/>
          </w:tcPr>
          <w:p>
            <w:r>
              <w:t>A2</w:t>
            </w:r>
          </w:p>
        </w:tc>
      </w:tr>
      <w:tr>
        <w:tc>
          <w:tcPr>
            <w:tcW w:type="dxa" w:w="5233"/>
          </w:tcPr>
          <w:p>
            <w:r>
              <w:t>[ICTCLD401 PC 1.5] Identify user access protocols and policies</w:t>
            </w:r>
          </w:p>
        </w:tc>
        <w:tc>
          <w:tcPr>
            <w:tcW w:type="dxa" w:w="5233"/>
          </w:tcPr>
          <w:p>
            <w:r>
              <w:t>A2</w:t>
            </w:r>
          </w:p>
        </w:tc>
      </w:tr>
      <w:tr>
        <w:tc>
          <w:tcPr>
            <w:tcW w:type="dxa" w:w="5233"/>
          </w:tcPr>
          <w:p>
            <w:r>
              <w:t>[ICTCLD401 PC 1.6] Configure access functions within cloud environment</w:t>
            </w:r>
          </w:p>
        </w:tc>
        <w:tc>
          <w:tcPr>
            <w:tcW w:type="dxa" w:w="5233"/>
          </w:tcPr>
          <w:p>
            <w:r>
              <w:t>A2</w:t>
            </w:r>
          </w:p>
        </w:tc>
      </w:tr>
      <w:tr>
        <w:tc>
          <w:tcPr>
            <w:tcW w:type="dxa" w:w="5233"/>
          </w:tcPr>
          <w:p>
            <w:r>
              <w:t>[ICTCLD401 PC 1.7] Identify and assign security responsibilities</w:t>
            </w:r>
          </w:p>
        </w:tc>
        <w:tc>
          <w:tcPr>
            <w:tcW w:type="dxa" w:w="5233"/>
          </w:tcPr>
          <w:p>
            <w:r>
              <w:t>A1</w:t>
            </w:r>
          </w:p>
        </w:tc>
      </w:tr>
      <w:tr>
        <w:tc>
          <w:tcPr>
            <w:tcW w:type="dxa" w:w="5233"/>
          </w:tcPr>
          <w:p>
            <w:r>
              <w:t>[ICTCLD401 PC 2.1] Create users and groups</w:t>
            </w:r>
          </w:p>
        </w:tc>
        <w:tc>
          <w:tcPr>
            <w:tcW w:type="dxa" w:w="5233"/>
          </w:tcPr>
          <w:p>
            <w:r>
              <w:t>A2</w:t>
            </w:r>
          </w:p>
        </w:tc>
      </w:tr>
      <w:tr>
        <w:tc>
          <w:tcPr>
            <w:tcW w:type="dxa" w:w="5233"/>
          </w:tcPr>
          <w:p>
            <w:r>
              <w:t>[ICTCLD401 PC 2.2] Create virtual multi-tier network</w:t>
            </w:r>
          </w:p>
        </w:tc>
        <w:tc>
          <w:tcPr>
            <w:tcW w:type="dxa" w:w="5233"/>
          </w:tcPr>
          <w:p>
            <w:r>
              <w:t>A1</w:t>
            </w:r>
          </w:p>
        </w:tc>
      </w:tr>
      <w:tr>
        <w:tc>
          <w:tcPr>
            <w:tcW w:type="dxa" w:w="5233"/>
          </w:tcPr>
          <w:p>
            <w:r>
              <w:t>[ICTCLD401 PC 2.3] Create virtual machine</w:t>
            </w:r>
          </w:p>
        </w:tc>
        <w:tc>
          <w:tcPr>
            <w:tcW w:type="dxa" w:w="5233"/>
          </w:tcPr>
          <w:p>
            <w:r>
              <w:t>A3</w:t>
            </w:r>
          </w:p>
        </w:tc>
      </w:tr>
      <w:tr>
        <w:tc>
          <w:tcPr>
            <w:tcW w:type="dxa" w:w="5233"/>
          </w:tcPr>
          <w:p>
            <w:r>
              <w:t>[ICTCLD401 PC 2.4] Define, add and expand storage</w:t>
            </w:r>
          </w:p>
        </w:tc>
        <w:tc>
          <w:tcPr>
            <w:tcW w:type="dxa" w:w="5233"/>
          </w:tcPr>
          <w:p>
            <w:r>
              <w:t>A4</w:t>
            </w:r>
          </w:p>
        </w:tc>
      </w:tr>
      <w:tr>
        <w:tc>
          <w:tcPr>
            <w:tcW w:type="dxa" w:w="5233"/>
          </w:tcPr>
          <w:p>
            <w:r>
              <w:t>[ICTCLD401 PC 2.5] Deploy a managed database</w:t>
            </w:r>
          </w:p>
        </w:tc>
        <w:tc>
          <w:tcPr>
            <w:tcW w:type="dxa" w:w="5233"/>
          </w:tcPr>
          <w:p>
            <w:r>
              <w:t>A4</w:t>
            </w:r>
          </w:p>
        </w:tc>
      </w:tr>
      <w:tr>
        <w:tc>
          <w:tcPr>
            <w:tcW w:type="dxa" w:w="5233"/>
          </w:tcPr>
          <w:p>
            <w:r>
              <w:t>[ICTCLD401 PC 2.6] Test external network access</w:t>
            </w:r>
          </w:p>
        </w:tc>
        <w:tc>
          <w:tcPr>
            <w:tcW w:type="dxa" w:w="5233"/>
          </w:tcPr>
          <w:p>
            <w:r>
              <w:t>A7</w:t>
            </w:r>
          </w:p>
        </w:tc>
      </w:tr>
      <w:tr>
        <w:tc>
          <w:tcPr>
            <w:tcW w:type="dxa" w:w="5233"/>
          </w:tcPr>
          <w:p>
            <w:r>
              <w:t>[ICTCLD401 PC 3.1] Configure and apply autoscaling</w:t>
            </w:r>
          </w:p>
        </w:tc>
        <w:tc>
          <w:tcPr>
            <w:tcW w:type="dxa" w:w="5233"/>
          </w:tcPr>
          <w:p>
            <w:r>
              <w:t>A3</w:t>
            </w:r>
          </w:p>
        </w:tc>
      </w:tr>
      <w:tr>
        <w:tc>
          <w:tcPr>
            <w:tcW w:type="dxa" w:w="5233"/>
          </w:tcPr>
          <w:p>
            <w:r>
              <w:t>[ICTCLD401 PC 3.2] Test automatic scaling</w:t>
            </w:r>
          </w:p>
        </w:tc>
        <w:tc>
          <w:tcPr>
            <w:tcW w:type="dxa" w:w="5233"/>
          </w:tcPr>
          <w:p>
            <w:r>
              <w:t>A7</w:t>
            </w:r>
          </w:p>
        </w:tc>
      </w:tr>
      <w:tr>
        <w:tc>
          <w:tcPr>
            <w:tcW w:type="dxa" w:w="5233"/>
          </w:tcPr>
          <w:p>
            <w:r>
              <w:t>[ICTCLD401 PC 4.3] Save and store user documentation per organisational policies</w:t>
            </w:r>
          </w:p>
        </w:tc>
        <w:tc>
          <w:tcPr>
            <w:tcW w:type="dxa" w:w="5233"/>
          </w:tcPr>
          <w:p>
            <w:r>
              <w:t>A9</w:t>
            </w:r>
          </w:p>
        </w:tc>
      </w:tr>
      <w:tr>
        <w:tc>
          <w:tcPr>
            <w:tcW w:type="dxa" w:w="5233"/>
          </w:tcPr>
          <w:p>
            <w:r>
              <w:t>[ICTCLD401 PE 1] Build at least one simple virtual network capable of supporting a workload</w:t>
            </w:r>
          </w:p>
        </w:tc>
        <w:tc>
          <w:tcPr>
            <w:tcW w:type="dxa" w:w="5233"/>
          </w:tcPr>
          <w:p>
            <w:r>
              <w:t>A1</w:t>
            </w:r>
          </w:p>
        </w:tc>
      </w:tr>
      <w:tr>
        <w:tc>
          <w:tcPr>
            <w:tcW w:type="dxa" w:w="5233"/>
          </w:tcPr>
          <w:p>
            <w:r>
              <w:t>[ICTCLD401 PE 2] Configure compute, storage, database and autoscaling resources within virtual network</w:t>
            </w:r>
          </w:p>
        </w:tc>
        <w:tc>
          <w:tcPr>
            <w:tcW w:type="dxa" w:w="5233"/>
          </w:tcPr>
          <w:p>
            <w:r>
              <w:t>A3 · A4</w:t>
            </w:r>
          </w:p>
        </w:tc>
      </w:tr>
      <w:tr>
        <w:tc>
          <w:tcPr>
            <w:tcW w:type="dxa" w:w="5233"/>
          </w:tcPr>
          <w:p>
            <w:r>
              <w:t>[ICTCLD401 PE 3] Conduct simple tests to confirm access to resources</w:t>
            </w:r>
          </w:p>
        </w:tc>
        <w:tc>
          <w:tcPr>
            <w:tcW w:type="dxa" w:w="5233"/>
          </w:tcPr>
          <w:p>
            <w:r>
              <w:t>A7</w:t>
            </w:r>
          </w:p>
        </w:tc>
      </w:tr>
      <w:tr>
        <w:tc>
          <w:tcPr>
            <w:tcW w:type="dxa" w:w="5233"/>
          </w:tcPr>
          <w:p>
            <w:r>
              <w:t>[ICTCLD401 KE 5] VM/networking/scaling features (VM sizing, load balancing, autoscaling, monitoring, storage backups, virtual networks/traffic routing)</w:t>
            </w:r>
          </w:p>
        </w:tc>
        <w:tc>
          <w:tcPr>
            <w:tcW w:type="dxa" w:w="5233"/>
          </w:tcPr>
          <w:p>
            <w:r>
              <w:t>A8 (Q1)</w:t>
            </w:r>
          </w:p>
        </w:tc>
      </w:tr>
      <w:tr>
        <w:tc>
          <w:tcPr>
            <w:tcW w:type="dxa" w:w="5233"/>
          </w:tcPr>
          <w:p>
            <w:r>
              <w:t>[ICTCLD401 KE 6] Vertical vs horizontal scaling; VM vs physical; RDBMS/DW/NoSQL; self-hosted vs managed vs cloud-native DB; storage options (block/object/archive/network filesystems)</w:t>
            </w:r>
          </w:p>
        </w:tc>
        <w:tc>
          <w:tcPr>
            <w:tcW w:type="dxa" w:w="5233"/>
          </w:tcPr>
          <w:p>
            <w:r>
              <w:t>A8 (Q2)</w:t>
            </w:r>
          </w:p>
        </w:tc>
      </w:tr>
      <w:tr>
        <w:tc>
          <w:tcPr>
            <w:tcW w:type="dxa" w:w="5233"/>
          </w:tcPr>
          <w:p>
            <w:r>
              <w:t>[ICTCLD401 KE 7] User, business and vendor responsibilities according to shared security responsibility models</w:t>
            </w:r>
          </w:p>
        </w:tc>
        <w:tc>
          <w:tcPr>
            <w:tcW w:type="dxa" w:w="5233"/>
          </w:tcPr>
          <w:p>
            <w:r>
              <w:t>A8 (Q3)</w:t>
            </w:r>
          </w:p>
        </w:tc>
      </w:tr>
      <w:tr>
        <w:tc>
          <w:tcPr>
            <w:tcW w:type="dxa" w:w="5233"/>
          </w:tcPr>
          <w:p>
            <w:r>
              <w:t>[ICTCLD401 KE 8] User access protocols and policies according to organisation hierarchy and job function</w:t>
            </w:r>
          </w:p>
        </w:tc>
        <w:tc>
          <w:tcPr>
            <w:tcW w:type="dxa" w:w="5233"/>
          </w:tcPr>
          <w:p>
            <w:r>
              <w:t>A8 (Q4)</w:t>
            </w:r>
          </w:p>
        </w:tc>
      </w:tr>
      <w:tr>
        <w:tc>
          <w:tcPr>
            <w:tcW w:type="dxa" w:w="5233"/>
          </w:tcPr>
          <w:p>
            <w:r>
              <w:t>[ICTCLD401 KE 9] Security policies, protocols and mechanisms as they relate to cloud (network traffic limits + security responsibilities per work function/user access)</w:t>
            </w:r>
          </w:p>
        </w:tc>
        <w:tc>
          <w:tcPr>
            <w:tcW w:type="dxa" w:w="5233"/>
          </w:tcPr>
          <w:p>
            <w:r>
              <w:t>A8 (Q5)</w:t>
            </w:r>
          </w:p>
        </w:tc>
      </w:tr>
      <w:tr>
        <w:tc>
          <w:tcPr>
            <w:tcW w:type="dxa" w:w="5233"/>
          </w:tcPr>
          <w:p>
            <w:r>
              <w:t>[ICTCLD401 KE 10] Purpose of DNS for connecting remote servers when web browsing</w:t>
            </w:r>
          </w:p>
        </w:tc>
        <w:tc>
          <w:tcPr>
            <w:tcW w:type="dxa" w:w="5233"/>
          </w:tcPr>
          <w:p>
            <w:r>
              <w:t>A8 (Q6)</w:t>
            </w:r>
          </w:p>
        </w:tc>
      </w:tr>
      <w:tr>
        <w:tc>
          <w:tcPr>
            <w:tcW w:type="dxa" w:w="5233"/>
          </w:tcPr>
          <w:p>
            <w:r>
              <w:t>[ICTCLD401 FS Reading]</w:t>
            </w:r>
          </w:p>
        </w:tc>
        <w:tc>
          <w:tcPr>
            <w:tcW w:type="dxa" w:w="5233"/>
          </w:tcPr>
          <w:p>
            <w:r>
              <w:t>A8</w:t>
            </w:r>
          </w:p>
        </w:tc>
      </w:tr>
      <w:tr>
        <w:tc>
          <w:tcPr>
            <w:tcW w:type="dxa" w:w="5233"/>
          </w:tcPr>
          <w:p>
            <w:r>
              <w:t>[ICTCLD401 FS Writing]</w:t>
            </w:r>
          </w:p>
        </w:tc>
        <w:tc>
          <w:tcPr>
            <w:tcW w:type="dxa" w:w="5233"/>
          </w:tcPr>
          <w:p>
            <w:r>
              <w:t>A8</w:t>
            </w:r>
          </w:p>
        </w:tc>
      </w:tr>
      <w:tr>
        <w:tc>
          <w:tcPr>
            <w:tcW w:type="dxa" w:w="5233"/>
          </w:tcPr>
          <w:p>
            <w:r>
              <w:t>[ICTCLD401 AC 1] Cloud vendor service provider</w:t>
            </w:r>
          </w:p>
        </w:tc>
        <w:tc>
          <w:tcPr>
            <w:tcW w:type="dxa" w:w="5233"/>
          </w:tcPr>
          <w:p>
            <w:r>
              <w:t>C1 (pre-condition)</w:t>
            </w:r>
          </w:p>
        </w:tc>
      </w:tr>
      <w:tr>
        <w:tc>
          <w:tcPr>
            <w:tcW w:type="dxa" w:w="5233"/>
          </w:tcPr>
          <w:p>
            <w:r>
              <w:t>[ICTCLD401 AC 2] Cloud managed database service</w:t>
            </w:r>
          </w:p>
        </w:tc>
        <w:tc>
          <w:tcPr>
            <w:tcW w:type="dxa" w:w="5233"/>
          </w:tcPr>
          <w:p>
            <w:r>
              <w:t>C1 (pre-condition)</w:t>
            </w:r>
          </w:p>
        </w:tc>
      </w:tr>
      <w:tr>
        <w:tc>
          <w:tcPr>
            <w:tcW w:type="dxa" w:w="5233"/>
          </w:tcPr>
          <w:p>
            <w:r>
              <w:t>[ICTCLD401 AC 3] Internet and web browser</w:t>
            </w:r>
          </w:p>
        </w:tc>
        <w:tc>
          <w:tcPr>
            <w:tcW w:type="dxa" w:w="5233"/>
          </w:tcPr>
          <w:p>
            <w:r>
              <w:t>C1 (pre-condition)</w:t>
            </w:r>
          </w:p>
        </w:tc>
      </w:tr>
      <w:tr>
        <w:tc>
          <w:tcPr>
            <w:tcW w:type="dxa" w:w="5233"/>
          </w:tcPr>
          <w:p>
            <w:r>
              <w:t>[ICTCLD401 AC 4] Data to gather information from to determine output and user requirements</w:t>
            </w:r>
          </w:p>
        </w:tc>
        <w:tc>
          <w:tcPr>
            <w:tcW w:type="dxa" w:w="5233"/>
          </w:tcPr>
          <w:p>
            <w:r>
              <w:t>C2 (pre-condition)</w:t>
            </w:r>
          </w:p>
        </w:tc>
      </w:tr>
    </w:tbl>
    <w:p/>
    <w:p>
      <w:pPr>
        <w:pStyle w:val="Assessortext"/>
        <w:spacing w:after="160"/>
      </w:pPr>
      <w:r>
        <w:t>(Note: 401 PCs not listed above (PC 1.8, PC 4.1, PC 4.2) are evidenced in AT1. 401 KEs not listed (KE 1, 2, 3, 4, 11) are evidenced in AT1 Appendix 2.)</w:t>
      </w:r>
    </w:p>
    <w:p>
      <w:pPr>
        <w:pStyle w:val="Assessortext"/>
        <w:spacing w:after="160"/>
      </w:pPr>
      <w:r>
        <w:t>ICTCLD502 — Design and implement highly-available cloud infrastructure (AT2-evidenced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[ICTCLD502 PC 1.3] Identify level of shared security responsibility models according to business needs</w:t>
            </w:r>
          </w:p>
        </w:tc>
        <w:tc>
          <w:tcPr>
            <w:tcW w:type="dxa" w:w="5233"/>
          </w:tcPr>
          <w:p>
            <w:r>
              <w:t>A1</w:t>
            </w:r>
          </w:p>
        </w:tc>
      </w:tr>
      <w:tr>
        <w:tc>
          <w:tcPr>
            <w:tcW w:type="dxa" w:w="5233"/>
          </w:tcPr>
          <w:p>
            <w:r>
              <w:t>[ICTCLD502 PC 4.1] Implement architecture design in cloud environment</w:t>
            </w:r>
          </w:p>
        </w:tc>
        <w:tc>
          <w:tcPr>
            <w:tcW w:type="dxa" w:w="5233"/>
          </w:tcPr>
          <w:p>
            <w:r>
              <w:t>A3</w:t>
            </w:r>
          </w:p>
        </w:tc>
      </w:tr>
      <w:tr>
        <w:tc>
          <w:tcPr>
            <w:tcW w:type="dxa" w:w="5233"/>
          </w:tcPr>
          <w:p>
            <w:r>
              <w:t>[ICTCLD502 PC 4.2] Demonstrate connectivity between resources at all tiers</w:t>
            </w:r>
          </w:p>
        </w:tc>
        <w:tc>
          <w:tcPr>
            <w:tcW w:type="dxa" w:w="5233"/>
          </w:tcPr>
          <w:p>
            <w:r>
              <w:t>A7</w:t>
            </w:r>
          </w:p>
        </w:tc>
      </w:tr>
      <w:tr>
        <w:tc>
          <w:tcPr>
            <w:tcW w:type="dxa" w:w="5233"/>
          </w:tcPr>
          <w:p>
            <w:r>
              <w:t>[ICTCLD502 PC 4.3] Monitor and measure availability of resources</w:t>
            </w:r>
          </w:p>
        </w:tc>
        <w:tc>
          <w:tcPr>
            <w:tcW w:type="dxa" w:w="5233"/>
          </w:tcPr>
          <w:p>
            <w:r>
              <w:t>A5</w:t>
            </w:r>
          </w:p>
        </w:tc>
      </w:tr>
      <w:tr>
        <w:tc>
          <w:tcPr>
            <w:tcW w:type="dxa" w:w="5233"/>
          </w:tcPr>
          <w:p>
            <w:r>
              <w:t>[ICTCLD502 FS Reading]</w:t>
            </w:r>
          </w:p>
        </w:tc>
        <w:tc>
          <w:tcPr>
            <w:tcW w:type="dxa" w:w="5233"/>
          </w:tcPr>
          <w:p>
            <w:r>
              <w:t>A1</w:t>
            </w:r>
          </w:p>
        </w:tc>
      </w:tr>
      <w:tr>
        <w:tc>
          <w:tcPr>
            <w:tcW w:type="dxa" w:w="5233"/>
          </w:tcPr>
          <w:p>
            <w:r>
              <w:t>[ICTCLD502 AC 1] Cloud vendor service provider</w:t>
            </w:r>
          </w:p>
        </w:tc>
        <w:tc>
          <w:tcPr>
            <w:tcW w:type="dxa" w:w="5233"/>
          </w:tcPr>
          <w:p>
            <w:r>
              <w:t>C1 (pre-condition)</w:t>
            </w:r>
          </w:p>
        </w:tc>
      </w:tr>
      <w:tr>
        <w:tc>
          <w:tcPr>
            <w:tcW w:type="dxa" w:w="5233"/>
          </w:tcPr>
          <w:p>
            <w:r>
              <w:t>[ICTCLD502 AC 2] Cloud managed database service</w:t>
            </w:r>
          </w:p>
        </w:tc>
        <w:tc>
          <w:tcPr>
            <w:tcW w:type="dxa" w:w="5233"/>
          </w:tcPr>
          <w:p>
            <w:r>
              <w:t>C1 (pre-condition)</w:t>
            </w:r>
          </w:p>
        </w:tc>
      </w:tr>
      <w:tr>
        <w:tc>
          <w:tcPr>
            <w:tcW w:type="dxa" w:w="5233"/>
          </w:tcPr>
          <w:p>
            <w:r>
              <w:t>[ICTCLD502 AC 3] Information and data sources required to design and implement cloud infrastructure</w:t>
            </w:r>
          </w:p>
        </w:tc>
        <w:tc>
          <w:tcPr>
            <w:tcW w:type="dxa" w:w="5233"/>
          </w:tcPr>
          <w:p>
            <w:r>
              <w:t>C2 (pre-condition)</w:t>
            </w:r>
          </w:p>
        </w:tc>
      </w:tr>
      <w:tr>
        <w:tc>
          <w:tcPr>
            <w:tcW w:type="dxa" w:w="5233"/>
          </w:tcPr>
          <w:p>
            <w:r>
              <w:t>[ICTCLD502 AC 4] Integrated development environment (IDE)</w:t>
            </w:r>
          </w:p>
        </w:tc>
        <w:tc>
          <w:tcPr>
            <w:tcW w:type="dxa" w:w="5233"/>
          </w:tcPr>
          <w:p>
            <w:r>
              <w:t>C1 (pre-condition — AWS Console + CLI counts as IDE)</w:t>
            </w:r>
          </w:p>
        </w:tc>
      </w:tr>
      <w:tr>
        <w:tc>
          <w:tcPr>
            <w:tcW w:type="dxa" w:w="5233"/>
          </w:tcPr>
          <w:p>
            <w:r>
              <w:t>[ICTCLD502 AC 5] Specific requirements + industry standards + organisational procedures + legislative requirements + business and functionality requirements</w:t>
            </w:r>
          </w:p>
        </w:tc>
        <w:tc>
          <w:tcPr>
            <w:tcW w:type="dxa" w:w="5233"/>
          </w:tcPr>
          <w:p>
            <w:r>
              <w:t>C2 (pre-condition — supplied via YAT intranet)</w:t>
            </w:r>
          </w:p>
        </w:tc>
      </w:tr>
      <w:tr>
        <w:tc>
          <w:tcPr>
            <w:tcW w:type="dxa" w:w="5233"/>
          </w:tcPr>
          <w:p>
            <w:r>
              <w:t>[ICTCLD502 AC 6] Internet and web browser</w:t>
            </w:r>
          </w:p>
        </w:tc>
        <w:tc>
          <w:tcPr>
            <w:tcW w:type="dxa" w:w="5233"/>
          </w:tcPr>
          <w:p>
            <w:r>
              <w:t>C1 (pre-condition)</w:t>
            </w:r>
          </w:p>
        </w:tc>
      </w:tr>
      <w:tr>
        <w:tc>
          <w:tcPr>
            <w:tcW w:type="dxa" w:w="5233"/>
          </w:tcPr>
          <w:p>
            <w:r>
              <w:t>[ICTCLD502 AC 7] Secure shell (SSH) or remote desktop protocol (RDP) client</w:t>
            </w:r>
          </w:p>
        </w:tc>
        <w:tc>
          <w:tcPr>
            <w:tcW w:type="dxa" w:w="5233"/>
          </w:tcPr>
          <w:p>
            <w:r>
              <w:t>C1 (pre-condition — RDP for Windows EC2 instances)</w:t>
            </w:r>
          </w:p>
        </w:tc>
      </w:tr>
      <w:tr>
        <w:tc>
          <w:tcPr>
            <w:tcW w:type="dxa" w:w="5233"/>
          </w:tcPr>
          <w:p>
            <w:r>
              <w:t>[ICTCLD502 AC 8] Data to gather information from to determine output and user requirements</w:t>
            </w:r>
          </w:p>
        </w:tc>
        <w:tc>
          <w:tcPr>
            <w:tcW w:type="dxa" w:w="5233"/>
          </w:tcPr>
          <w:p>
            <w:r>
              <w:t>C2 (pre-condition)</w:t>
            </w:r>
          </w:p>
        </w:tc>
      </w:tr>
    </w:tbl>
    <w:p/>
    <w:p>
      <w:pPr>
        <w:pStyle w:val="Assessortext"/>
        <w:spacing w:after="160"/>
      </w:pPr>
      <w:r>
        <w:t>(Note: 502 PCs not listed above (PC 1.1, 1.2, 2.1–2.5, 3.1–3.5, 4.4–4.6, 5.1, 5.2, 5.3) are evidenced in AT1 (PC 1.2, 5.2) or AT3 (the rest). 502 KEs not listed (KE 1, 2, 3) are evidenced in AT1 Appendix 2; KEs 4–9 are evidenced in AT3.)</w:t>
      </w:r>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2/ict/lms-application-spec" TargetMode="External"/><Relationship Id="rId18" Type="http://schemas.openxmlformats.org/officeDocument/2006/relationships/hyperlink" Target="https://yat.timbaird.com/intranet/s1-cl1-at2/policies/records-management" TargetMode="Externa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hyperlink" Target="https://yat.timbaird.com/intranet/s1-cl1-at2/projects/lms-cloud-infrastructure/cloud-architecture-baseline" TargetMode="External"/><Relationship Id="rId44" Type="http://schemas.openxmlformats.org/officeDocument/2006/relationships/hyperlink" Target="https://yat.timbaird.com/intranet/s1-cl1-at2/policies/user-access" TargetMode="External"/><Relationship Id="rId45" Type="http://schemas.openxmlformats.org/officeDocument/2006/relationships/hyperlink" Target="https://yat.timbaird.com/intranet/s1-cl1-at2/ict/lms-application-spec#4-data-stor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