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one populated appendix.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Deployment Report (.docx) with the evidence appendix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one appendix of evidence.</w:t>
            </w:r>
          </w:p>
          <w:p>
            <w:pPr>
              <w:pStyle w:val="Assessortext"/>
            </w:pPr>
            <w:r>
              <w:t>The Deployment Report is the single submitted deliverable. All build evidence (screenshots, test results)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1.2] · [ICTCLD401 PC 1.7] · [ICTCLD401 PC 2.2] · [ICTCLD401 PE 1] · [ICTCLD502 PC 1.3]</w:t>
            </w:r>
          </w:p>
        </w:tc>
        <w:tc>
          <w:tcPr>
            <w:tcW w:type="dxa" w:w="1934"/>
          </w:tcPr>
          <w:p>
            <w:r>
              <w:t>☐ Yes  ☐ No</w:t>
            </w:r>
          </w:p>
        </w:tc>
      </w:tr>
      <w:tr>
        <w:tc>
          <w:tcPr>
            <w:tcW w:type="dxa" w:w="8697"/>
          </w:tcPr>
          <w:p>
            <w:r>
              <w:t>A2 Identity and access (tasks 1, 8-9) — student accesses the platform, creates the four IAM groups, enables MFA on an administrator, and creates the instance role so no credentials are stored on a server</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2.4] · [ICTCLD401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A7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A8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A9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80"/>
      </w:pPr>
      <w:r>
        <w:rPr>
          <w:b w:val="0"/>
          <w:i/>
          <w:color w:val="6B6660"/>
          <w:sz w:val="18"/>
        </w:rPr>
        <w:t>Evidences: [ICTCLD401 PC 2.2] · [ICTCLD401 PE 1]</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VPC details page, showing the name, the CIDR and both DNS settings enabled.</w:t>
            </w:r>
          </w:p>
        </w:tc>
      </w:tr>
    </w:tbl>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80"/>
      </w:pPr>
      <w:r>
        <w:rPr>
          <w:b w:val="0"/>
          <w:i/>
          <w:color w:val="6B6660"/>
          <w:sz w:val="18"/>
        </w:rPr>
        <w:t>Evidences: [ICTCLD401 PC 2.2]</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target group summary, showing its protocol, port, VPC and health-check settings.</w:t>
            </w:r>
          </w:p>
        </w:tc>
      </w:tr>
    </w:tbl>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80"/>
      </w:pPr>
      <w:r>
        <w:rPr>
          <w:b w:val="0"/>
          <w:i/>
          <w:color w:val="6B6660"/>
          <w:sz w:val="18"/>
        </w:rPr>
        <w:t>Evidences: [ICTCLD401 PC 2.2]</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group summary, showing its VPC and both subnets.</w:t>
            </w:r>
          </w:p>
        </w:tc>
      </w:tr>
    </w:tbl>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Pick one security group you configured. State its rules, e...</w:t>
      </w:r>
    </w:p>
    <w:p>
      <w:pPr>
        <w:spacing w:after="80"/>
      </w:pPr>
      <w:r>
        <w:rPr>
          <w:b w:val="0"/>
          <w:i/>
          <w:color w:val="6B6660"/>
          <w:sz w:val="18"/>
        </w:rPr>
        <w:t>Evidences: [ICTCLD401 KE 9]</w:t>
      </w:r>
    </w:p>
    <w:p>
      <w:pPr>
        <w:spacing w:after="120"/>
      </w:pPr>
      <w:r>
        <w:rPr>
          <w:b w:val="0"/>
          <w:i w:val="0"/>
          <w:sz w:val="21"/>
        </w:rPr>
        <w:t>Pick one security group you configured. State its rules, explain why you restricted traffic that way, and describe the risk to YAT if that restriction were removed.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actual rules from their build.</w:t>
            </w:r>
          </w:p>
          <w:p>
            <w:pPr>
              <w:jc w:val="left"/>
            </w:pPr>
            <w:r>
              <w:rPr>
                <w:b w:val="0"/>
                <w:i w:val="0"/>
                <w:color w:val="1F5A5C"/>
                <w:sz w:val="19"/>
              </w:rPr>
              <w:t>•  Explains the reasoning — e.g. the database accepts traffic only from the application tier, never from the internet.</w:t>
            </w:r>
          </w:p>
          <w:p>
            <w:pPr>
              <w:jc w:val="left"/>
            </w:pPr>
            <w:r>
              <w:rPr>
                <w:b w:val="0"/>
                <w:i w:val="0"/>
                <w:color w:val="1F5A5C"/>
                <w:sz w:val="19"/>
              </w:rPr>
              <w:t>•  Names a concrete risk: student personal information exposed, credentials attacked directly from the internet.</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A6</w:t>
            </w:r>
          </w:p>
        </w:tc>
      </w:tr>
      <w:tr>
        <w:tc>
          <w:tcPr>
            <w:tcW w:type="dxa" w:w="5233"/>
          </w:tcPr>
          <w:p>
            <w:r>
              <w:t>[ICTCLD401 PC 1.2] Identify impact of shared security responsibility models</w:t>
            </w:r>
          </w:p>
        </w:tc>
        <w:tc>
          <w:tcPr>
            <w:tcW w:type="dxa" w:w="5233"/>
          </w:tcPr>
          <w:p>
            <w:r>
              <w:t>A1</w:t>
            </w:r>
          </w:p>
        </w:tc>
      </w:tr>
      <w:tr>
        <w:tc>
          <w:tcPr>
            <w:tcW w:type="dxa" w:w="5233"/>
          </w:tcPr>
          <w:p>
            <w:r>
              <w:t>[ICTCLD401 PC 1.3] Select best cloud computing solution and service</w:t>
            </w:r>
          </w:p>
        </w:tc>
        <w:tc>
          <w:tcPr>
            <w:tcW w:type="dxa" w:w="5233"/>
          </w:tcPr>
          <w:p>
            <w:r>
              <w:t>A6</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A4</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A7</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A7</w:t>
            </w:r>
          </w:p>
        </w:tc>
      </w:tr>
      <w:tr>
        <w:tc>
          <w:tcPr>
            <w:tcW w:type="dxa" w:w="5233"/>
          </w:tcPr>
          <w:p>
            <w:r>
              <w:t>[ICTCLD401 PC 4.3] Save and store user documentation per organisational policies</w:t>
            </w:r>
          </w:p>
        </w:tc>
        <w:tc>
          <w:tcPr>
            <w:tcW w:type="dxa" w:w="5233"/>
          </w:tcPr>
          <w:p>
            <w:r>
              <w:t>A9</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A7</w:t>
            </w:r>
          </w:p>
        </w:tc>
      </w:tr>
      <w:tr>
        <w:tc>
          <w:tcPr>
            <w:tcW w:type="dxa" w:w="5233"/>
          </w:tcPr>
          <w:p>
            <w:r>
              <w:t>[ICTCLD401 KE 5] VM/networking/scaling features (VM sizing, load balancing, autoscaling, monitoring, storage backups, virtual networks/traffic routing)</w:t>
            </w:r>
          </w:p>
        </w:tc>
        <w:tc>
          <w:tcPr>
            <w:tcW w:type="dxa" w:w="5233"/>
          </w:tcPr>
          <w:p>
            <w:r>
              <w:t>A8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[ICTCLD401 KE 7] User, business and vendor responsibilities according to shared security responsibility models</w:t>
            </w:r>
          </w:p>
        </w:tc>
        <w:tc>
          <w:tcPr>
            <w:tcW w:type="dxa" w:w="5233"/>
          </w:tcPr>
          <w:p>
            <w:r>
              <w:t>A8 (Q3)</w:t>
            </w:r>
          </w:p>
        </w:tc>
      </w:tr>
      <w:tr>
        <w:tc>
          <w:tcPr>
            <w:tcW w:type="dxa" w:w="5233"/>
          </w:tcPr>
          <w:p>
            <w:r>
              <w:t>[ICTCLD401 KE 8] User access protocols and policies according to organisation hierarchy and job function</w:t>
            </w:r>
          </w:p>
        </w:tc>
        <w:tc>
          <w:tcPr>
            <w:tcW w:type="dxa" w:w="5233"/>
          </w:tcPr>
          <w:p>
            <w:r>
              <w:t>A8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A8 (Q5)</w:t>
            </w:r>
          </w:p>
        </w:tc>
      </w:tr>
      <w:tr>
        <w:tc>
          <w:tcPr>
            <w:tcW w:type="dxa" w:w="5233"/>
          </w:tcPr>
          <w:p>
            <w:r>
              <w:t>[ICTCLD401 KE 10] Purpose of DNS for connecting remote servers when web browsing</w:t>
            </w:r>
          </w:p>
        </w:tc>
        <w:tc>
          <w:tcPr>
            <w:tcW w:type="dxa" w:w="5233"/>
          </w:tcPr>
          <w:p>
            <w:r>
              <w:t>A8 (Q6)</w:t>
            </w:r>
          </w:p>
        </w:tc>
      </w:tr>
      <w:tr>
        <w:tc>
          <w:tcPr>
            <w:tcW w:type="dxa" w:w="5233"/>
          </w:tcPr>
          <w:p>
            <w:r>
              <w:t>[ICTCLD401 FS Reading]</w:t>
            </w:r>
          </w:p>
        </w:tc>
        <w:tc>
          <w:tcPr>
            <w:tcW w:type="dxa" w:w="5233"/>
          </w:tcPr>
          <w:p>
            <w:r>
              <w:t>A8</w:t>
            </w:r>
          </w:p>
        </w:tc>
      </w:tr>
      <w:tr>
        <w:tc>
          <w:tcPr>
            <w:tcW w:type="dxa" w:w="5233"/>
          </w:tcPr>
          <w:p>
            <w:r>
              <w:t>[ICTCLD401 FS Writing]</w:t>
            </w:r>
          </w:p>
        </w:tc>
        <w:tc>
          <w:tcPr>
            <w:tcW w:type="dxa" w:w="5233"/>
          </w:tcPr>
          <w:p>
            <w:r>
              <w:t>A8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A7</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