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ICTCLD503 Implement web-scale cloud infrastructure</w:t>
            </w:r>
          </w:p>
          <w:p>
            <w:pPr/>
            <w:r>
              <w:t>ICTCLD505 Deploy infrastructure as code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AT2 — Cloud Microservice &amp; IaC Implementation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2 of 2</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implementing the audit-log microservice approved in AT1, and on provisioning it as infrastructure as code. AT2 is the second of two assessment tasks in the S1-CL2 Cloud Disaster Recovery cluster and closes the Website Global Expansion engagement.</w:t>
            </w:r>
          </w:p>
          <w:p>
            <w:pPr>
              <w:pStyle w:val="Assessortext"/>
            </w:pPr>
            <w:r>
              <w:t>The assessment is one guided workbook of twenty-two build tasks and three knowledge questions, submitted as a single document together with the student's own template files. The student analyses why infrastructure as code suits the engagement, operates a template written by someone else (including diagnosing why it fails), authors and deploys their own, tests the microservice end to end, parameterises it for a second environment, adds a resource by update, configures monitoring, writes the user documentation, tears the environment down, and obtains build sign-off.</w:t>
            </w:r>
          </w:p>
          <w:p>
            <w:pPr>
              <w:pStyle w:val="Assessortext"/>
            </w:pPr>
            <w:r>
              <w:t>THE PROVIDED TEMPLATE DOES NOT DEPLOY AS SUPPLIED. Its AttributeDefinitions declares an attribute named `id` while its KeySchema uses `event_id`, so CloudFormation rejects it. This is deliberate and it is the evidence for [ICTCLD505 PC 2.6] and [ICTCLD505 KE 7]. Do not correct the supplied file, and do not tell a student what the fault is — task 7 exists so they diagnose it. A student who fixed it before deploying has skipped the evidence and should be asked to deploy it as supplied.</w:t>
            </w:r>
          </w:p>
          <w:p>
            <w:pPr>
              <w:pStyle w:val="Assessortext"/>
            </w:pPr>
            <w:r>
              <w:t>WHAT IS BEING MARKED. Every settings table and worked answer contains values we chose so there is a concrete task. Each element carries two assessor-only lines: 'Evidences', naming the UoC items, and 'Satisfactory when', naming what has to be true for them to be met. Mark the second.</w:t>
            </w:r>
          </w:p>
          <w:p>
            <w:pPr>
              <w:pStyle w:val="Assessortext"/>
            </w:pPr>
            <w:r>
              <w:t>WHAT IS SUBMITTED. The completed workbook, and the student's own infrastructure-as-code template files in whatever form they kept them. Task 20's user documentation is written in the workbook; the templates it refers to are attached.</w:t>
            </w:r>
          </w:p>
          <w:p>
            <w:pPr>
              <w:pStyle w:val="Assessortext"/>
            </w:pPr>
            <w:r>
              <w:t>This is an open-book assessment. Students may use the YAT intranet, AWS documentation, course materials and external research (which must be cited). They may not use another student.</w:t>
            </w:r>
          </w:p>
          <w:p>
            <w:pPr>
              <w:pStyle w:val="Assessortext"/>
            </w:pPr>
            <w:r>
              <w:t>Reasonable adjustment may include extending the build window, providing one-on-one verbal explanation of the supplied files, allowing alternative evidence formats where assistive technology requires it, or splitting the work across more sittings.</w:t>
            </w:r>
          </w:p>
          <w:p>
            <w:pPr>
              <w:pStyle w:val="Assessortext"/>
            </w:pPr>
            <w:r>
              <w:t>Teacher/assessor support level: the assessor may clarify what a task is asking and explain the supplied code and contract, but must not diagnose the planted fault, write template syntax for the student, or debug their template for them.</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The design and disaster recovery plan for the YAT website global expansion were approved in AT1. This is the implementation phase: the student builds the audit-log microservice that design calls for, as code, so YAT can reproduce it.</w:t>
            </w:r>
          </w:p>
          <w:p>
            <w:pPr>
              <w:pStyle w:val="Assessortext"/>
            </w:pPr>
            <w:r>
              <w:t>Tasks 1–4 establish why the work is being done as code, what automation the platform supplies, what can go wrong with the approach, and which infrastructure-as-code service is selected.</w:t>
            </w:r>
          </w:p>
          <w:p>
            <w:pPr>
              <w:pStyle w:val="Assessortext"/>
            </w:pPr>
            <w:r>
              <w:t>Tasks 5–10 operate a template the student did not write: read it and determine what it creates and depends on, deploy it, diagnose and fix the failure it produces, confirm the resource, update a parameter and observe that the update REPLACES the table rather than renaming it, and return the store to a known state.</w:t>
            </w:r>
          </w:p>
          <w:p>
            <w:pPr>
              <w:pStyle w:val="Assessortext"/>
            </w:pPr>
            <w:r>
              <w:t>Tasks 11–19 are the student's own build: read the provided handler and contract to determine what the infrastructure must supply, author a template provisioning the API, queue, function and permissions, deploy it, confirm the wiring, test a valid event, a duplicate and an invalid one end to end, record the troubleshooting, parameterise for a second environment, add a dead-letter queue by update, and configure a metric and alarm.</w:t>
            </w:r>
          </w:p>
          <w:p>
            <w:pPr>
              <w:pStyle w:val="Assessortext"/>
            </w:pPr>
            <w:r>
              <w:t>Tasks 20–22 close the engagement: user documentation written for the YAT operator who inherits the stack, teardown through the tooling, and build sign-off.</w:t>
            </w:r>
          </w:p>
          <w:p>
            <w:pPr>
              <w:pStyle w:val="Assessortext"/>
            </w:pPr>
            <w:r>
              <w:t>The provided data-store template, the microservice handler and the webhook contract are supplied inline in the workbook — deliberately not as a lab-pack, because authoring and operating the deployment templates is the assessed skill.</w:t>
            </w:r>
          </w:p>
          <w:p>
            <w:pPr>
              <w:pStyle w:val="Assessortext"/>
            </w:pPr>
            <w:r>
              <w:t>Lab environment: AWS Academy Learner Lab, deploying to us-east-1. The approved design places the audit store in India — [scenario: ap-south-1 | deploy: us-east-1].</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t>A 12-hour build window across sessions, plus the handover session with the assessor.</w:t>
            </w:r>
          </w:p>
          <w:p>
            <w:pPr>
              <w:pStyle w:val="Assessortext"/>
            </w:pPr>
            <w:r>
              <w:t>Deployments fail and get fixed — that is the work, not lost time. Time is indicative; a student who needs longer continues in the next session.</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AWS Academy Learner Lab access — providing the cloud vendor service provider, the infrastructure-as-code service, the serverless environment, the managed data store, and console / CLI / SDK tooling</w:t>
            </w:r>
          </w:p>
          <w:p>
            <w:pPr>
              <w:pStyle w:val="Assessortext"/>
            </w:pPr>
            <w:r>
              <w:t>The two provided files as downloads — datastore.yaml (carrying the deliberate fault) and handler.py. Both are reproduced in full in the workbook; the downloads save retyping</w:t>
            </w:r>
          </w:p>
          <w:p>
            <w:pPr>
              <w:pStyle w:val="Assessortext"/>
            </w:pPr>
            <w:r>
              <w:t>Access to the YAT scenario site / intranet — the engagement requirements, the residency requirements, the industry-standards reference and the change-management procedure</w:t>
            </w:r>
          </w:p>
          <w:p>
            <w:pPr>
              <w:pStyle w:val="Assessortext"/>
            </w:pPr>
            <w:r>
              <w:t>A person to role-play Sam Walker, YAT ICT Manager, for the build sign-off — normally the assessor</w:t>
            </w:r>
          </w:p>
          <w:p>
            <w:pPr>
              <w:pStyle w:val="Assessortext"/>
            </w:pPr>
            <w:r>
              <w:t>The worked workbook later in this document — model answers, per-element UoC mapping, and the standard each element is marked against</w:t>
            </w:r>
          </w:p>
          <w:p>
            <w:pPr>
              <w:pStyle w:val="Assessortext"/>
            </w:pPr>
            <w:r>
              <w:t>Student supplied resources</w:t>
            </w:r>
          </w:p>
          <w:p>
            <w:pPr>
              <w:pStyle w:val="Assessortext"/>
            </w:pPr>
            <w:r>
              <w:t>Computer with web browser</w:t>
            </w:r>
          </w:p>
          <w:p>
            <w:pPr>
              <w:pStyle w:val="Assessortext"/>
            </w:pPr>
            <w:r>
              <w:t>A code editor or IDE</w:t>
            </w:r>
          </w:p>
          <w:p>
            <w:pPr>
              <w:pStyle w:val="Assessortext"/>
            </w:pPr>
            <w:r>
              <w:t>A screenshot tool</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Marking Guide below</w:t>
            </w:r>
          </w:p>
          <w:p>
            <w:pPr/>
            <w:r>
              <w:t>Submit the completed workbook (.docx) with every task and question answered and every evidence box populated</w:t>
            </w:r>
          </w:p>
          <w:p>
            <w:pPr/>
            <w:r>
              <w:t>Submit their own infrastructure-as-code template files</w:t>
            </w:r>
          </w:p>
          <w:p>
            <w:pPr/>
            <w:r>
              <w:t>Obtain build sign-off at task 22</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These are conditions the assessor verifies as present before marking begins. They are not student-performance criteria — they are the conditions under which the assessment can validly be conducted.</w:t>
            </w:r>
          </w:p>
          <w:p>
            <w:pPr/>
            <w:r>
              <w:t>C1 Lab environment is accessible to the student throughout the assessment — AWS Academy Learner Lab — providing cloud vendor service provider access, a cloud managed database service, a serverless environment, an infrastructure-as-code service, console / CLI / SDK tooling, an SSH or RDP client, and internet and web browser access</w:t>
            </w:r>
          </w:p>
          <w:p>
            <w:pPr/>
            <w:r>
              <w:t>C2 The two provided files have been made available to the student — datastore.yaml with its deliberate fault intact, and handler.py</w:t>
            </w:r>
          </w:p>
          <w:p>
            <w:pPr/>
            <w:r>
              <w:t>C3 The YAT scenario site / intranet is accessible to the student throughout the assessment — supplying the engagement requirements, the residency requirements, the organisational procedures and the industry-standards reference</w:t>
            </w:r>
          </w:p>
          <w:p>
            <w:pPr/>
            <w:r>
              <w:t>C4 A code editor or IDE is available to the student for authoring templates</w:t>
            </w:r>
          </w:p>
          <w:p>
            <w:pPr/>
            <w:r>
              <w:t>C5 A person is available to role-play Sam Walker, YAT ICT Manager, for the build sign-off</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t>M1 Infrastructure as code assessed and selected (tasks 1–4) — the student ties the benefits to this engagement's stated needs rather than listing them generically, identifies what the platform automates beyond provisioning, assesses what can go wrong including the destructive-update risk, and selects a service against real alternatives</w:t>
            </w:r>
          </w:p>
          <w:p>
            <w:pPr/>
            <w:r>
              <w:t>[ICTCLD505 PC 1.1] · [ICTCLD505 KE 3] · [ICTCLD505 FS Reading] · [ICTCLD505 PC 1.2] · [ICTCLD505 PC 1.3] · [ICTCLD505 KE 7] · [ICTCLD505 PC 1.4] · [ICTCLD505 KE 4]</w:t>
            </w:r>
          </w:p>
        </w:tc>
        <w:tc>
          <w:tcPr>
            <w:tcW w:type="dxa" w:w="1934"/>
          </w:tcPr>
          <w:p>
            <w:r>
              <w:t>☐ Yes  ☐ No</w:t>
            </w:r>
          </w:p>
        </w:tc>
      </w:tr>
      <w:tr>
        <w:tc>
          <w:tcPr>
            <w:tcW w:type="dxa" w:w="8697"/>
          </w:tcPr>
          <w:p>
            <w:r>
              <w:t>M2 Provided template reviewed and deployed (tasks 5–6) — the student determines what the template creates and what depends on it, including the export their own stack will consume, then deploys it with the service's own tooling and captures the failure rather than pre-emptively fixing it</w:t>
            </w:r>
          </w:p>
          <w:p>
            <w:pPr/>
            <w:r>
              <w:t>[ICTCLD505 PC 2.1] · [ICTCLD505 PC 2.2] · [ICTCLD505 KE 5] · [ICTCLD505 FS Reading] · [ICTCLD505 PC 2.3] · [ICTCLD505 PE 1] · [ICTCLD505 PE 3] · [ICTCLD505 KE 6] · [ICTCLD503 PE 4]</w:t>
            </w:r>
          </w:p>
        </w:tc>
        <w:tc>
          <w:tcPr>
            <w:tcW w:type="dxa" w:w="1934"/>
          </w:tcPr>
          <w:p>
            <w:r>
              <w:t>☐ Yes  ☐ No</w:t>
            </w:r>
          </w:p>
        </w:tc>
      </w:tr>
      <w:tr>
        <w:tc>
          <w:tcPr>
            <w:tcW w:type="dxa" w:w="8697"/>
          </w:tcPr>
          <w:p>
            <w:r>
              <w:t>M3 Fault diagnosed and fixed (task 7) — the student reads the error, identifies the mismatch between the attribute definition and the key schema, and records the diagnosis rather than a sequence of guesses</w:t>
            </w:r>
          </w:p>
          <w:p>
            <w:pPr/>
            <w:r>
              <w:t>[ICTCLD505 PC 2.6] · [ICTCLD505 KE 7] · [ICTCLD505 FS Problem solving] · [ICTCLD503 KE 5]</w:t>
            </w:r>
          </w:p>
        </w:tc>
        <w:tc>
          <w:tcPr>
            <w:tcW w:type="dxa" w:w="1934"/>
          </w:tcPr>
          <w:p>
            <w:r>
              <w:t>☐ Yes  ☐ No</w:t>
            </w:r>
          </w:p>
        </w:tc>
      </w:tr>
      <w:tr>
        <w:tc>
          <w:tcPr>
            <w:tcW w:type="dxa" w:w="8697"/>
          </w:tcPr>
          <w:p>
            <w:r>
              <w:t>M4 Deployment confirmed, updated and returned to a known state (tasks 8–10) — the student inspects the created resource itself rather than the stack message, redeploys with a changed parameter and observes what the update did to the existing resource, and verifies the state the rest of the build needs</w:t>
            </w:r>
          </w:p>
          <w:p>
            <w:pPr/>
            <w:r>
              <w:t>[ICTCLD505 PC 2.4] · [ICTCLD505 PE 3] · [ICTCLD503 PE 4] · [ICTCLD505 PC 2.3] · [ICTCLD505 PE 1] · [ICTCLD505 KE 10]</w:t>
            </w:r>
          </w:p>
        </w:tc>
        <w:tc>
          <w:tcPr>
            <w:tcW w:type="dxa" w:w="1934"/>
          </w:tcPr>
          <w:p>
            <w:r>
              <w:t>☐ Yes  ☐ No</w:t>
            </w:r>
          </w:p>
        </w:tc>
      </w:tr>
      <w:tr>
        <w:tc>
          <w:tcPr>
            <w:tcW w:type="dxa" w:w="8697"/>
          </w:tcPr>
          <w:p>
            <w:r>
              <w:t>M5 Microservice code and contract reviewed (task 11) — the student extracts the infrastructure requirements from the provided code: the queue trigger, the environment variable, the write permission and the runtime</w:t>
            </w:r>
          </w:p>
          <w:p>
            <w:pPr/>
            <w:r>
              <w:t>[ICTCLD503 PC 3.1] · [ICTCLD505 FS Reading]</w:t>
            </w:r>
          </w:p>
        </w:tc>
        <w:tc>
          <w:tcPr>
            <w:tcW w:type="dxa" w:w="1934"/>
          </w:tcPr>
          <w:p>
            <w:r>
              <w:t>☐ Yes  ☐ No</w:t>
            </w:r>
          </w:p>
        </w:tc>
      </w:tr>
      <w:tr>
        <w:tc>
          <w:tcPr>
            <w:tcW w:type="dxa" w:w="8697"/>
          </w:tcPr>
          <w:p>
            <w:r>
              <w:t>M6 Own template authored, deployed and confirmed (tasks 12–14) — the template provisions a set of related resources and connects to the provided store through its export rather than a hard-coded name; it deploys successfully; and the student confirms the wiring including the environment variable</w:t>
            </w:r>
          </w:p>
          <w:p>
            <w:pPr/>
            <w:r>
              <w:t>[ICTCLD505 PC 3.1] · [ICTCLD505 PC 3.2] · [ICTCLD505 KE 5] · [ICTCLD505 KE 9] · [ICTCLD505 PE 2] · [ICTCLD503 PC 3.2] · [ICTCLD503 PE 3] · [ICTCLD505 PC 3.4] · [ICTCLD505 PE 3] · [ICTCLD503 PE 4]</w:t>
            </w:r>
          </w:p>
        </w:tc>
        <w:tc>
          <w:tcPr>
            <w:tcW w:type="dxa" w:w="1934"/>
          </w:tcPr>
          <w:p>
            <w:r>
              <w:t>☐ Yes  ☐ No</w:t>
            </w:r>
          </w:p>
        </w:tc>
      </w:tr>
      <w:tr>
        <w:tc>
          <w:tcPr>
            <w:tcW w:type="dxa" w:w="8697"/>
          </w:tcPr>
          <w:p>
            <w:r>
              <w:t>M7 Microservice tested end to end (task 15) — a valid event is posted and the record shown in the store, a duplicate is shown not to create a second record, and an invalid event is shown rejected and logged</w:t>
            </w:r>
          </w:p>
          <w:p>
            <w:pPr/>
            <w:r>
              <w:t>[ICTCLD503 PC 3.3] · [ICTCLD503 PE 3] · [ICTCLD505 PE 3]</w:t>
            </w:r>
          </w:p>
        </w:tc>
        <w:tc>
          <w:tcPr>
            <w:tcW w:type="dxa" w:w="1934"/>
          </w:tcPr>
          <w:p>
            <w:r>
              <w:t>☐ Yes  ☐ No</w:t>
            </w:r>
          </w:p>
        </w:tc>
      </w:tr>
      <w:tr>
        <w:tc>
          <w:tcPr>
            <w:tcW w:type="dxa" w:w="8697"/>
          </w:tcPr>
          <w:p>
            <w:r>
              <w:t>M8 Troubleshooting recorded (task 16) — at least two genuine problems with the symptom, the diagnosis and the fix, showing a method rather than trial and error</w:t>
            </w:r>
          </w:p>
          <w:p>
            <w:pPr/>
            <w:r>
              <w:t>[ICTCLD505 PC 3.7] · [ICTCLD503 PC 3.4] · [ICTCLD505 KE 7] · [ICTCLD503 KE 5] · [ICTCLD505 FS Problem solving]</w:t>
            </w:r>
          </w:p>
        </w:tc>
        <w:tc>
          <w:tcPr>
            <w:tcW w:type="dxa" w:w="1934"/>
          </w:tcPr>
          <w:p>
            <w:r>
              <w:t>☐ Yes  ☐ No</w:t>
            </w:r>
          </w:p>
        </w:tc>
      </w:tr>
      <w:tr>
        <w:tc>
          <w:tcPr>
            <w:tcW w:type="dxa" w:w="8697"/>
          </w:tcPr>
          <w:p>
            <w:r>
              <w:t>M9 Parameterised and updated (tasks 17–18) — a second environment deployed from the same template by changing configuration only, and a new resource added by updating the existing stack rather than replacing it</w:t>
            </w:r>
          </w:p>
          <w:p>
            <w:pPr/>
            <w:r>
              <w:t>[ICTCLD505 PC 3.5] · [ICTCLD505 KE 8] · [ICTCLD505 PC 3.3] · [ICTCLD505 KE 10]</w:t>
            </w:r>
          </w:p>
        </w:tc>
        <w:tc>
          <w:tcPr>
            <w:tcW w:type="dxa" w:w="1934"/>
          </w:tcPr>
          <w:p>
            <w:r>
              <w:t>☐ Yes  ☐ No</w:t>
            </w:r>
          </w:p>
        </w:tc>
      </w:tr>
      <w:tr>
        <w:tc>
          <w:tcPr>
            <w:tcW w:type="dxa" w:w="8697"/>
          </w:tcPr>
          <w:p>
            <w:r>
              <w:t>M10 Monitoring configured (task 19) — a metric and a working alarm, with the student able to say what condition it detects and why that condition matters to YAT</w:t>
            </w:r>
          </w:p>
          <w:p>
            <w:pPr/>
            <w:r>
              <w:t>[ICTCLD503 PC 4.1]</w:t>
            </w:r>
          </w:p>
        </w:tc>
        <w:tc>
          <w:tcPr>
            <w:tcW w:type="dxa" w:w="1934"/>
          </w:tcPr>
          <w:p>
            <w:r>
              <w:t>☐ Yes  ☐ No</w:t>
            </w:r>
          </w:p>
        </w:tc>
      </w:tr>
      <w:tr>
        <w:tc>
          <w:tcPr>
            <w:tcW w:type="dxa" w:w="8697"/>
          </w:tcPr>
          <w:p>
            <w:r>
              <w:t>M11 User documentation created (task 20) — documentation written for the operator who inherits the stack: what it is, deployment order, every parameter and what changing it does, how to update and remove, what the alarm means, and the templates themselves included</w:t>
            </w:r>
          </w:p>
          <w:p>
            <w:pPr/>
            <w:r>
              <w:t>[ICTCLD505 PC 4.1] · [ICTCLD505 PE 4] · [ICTCLD505 FS Writing] · [ICTCLD503 FS Writing]</w:t>
            </w:r>
          </w:p>
        </w:tc>
        <w:tc>
          <w:tcPr>
            <w:tcW w:type="dxa" w:w="1934"/>
          </w:tcPr>
          <w:p>
            <w:r>
              <w:t>☐ Yes  ☐ No</w:t>
            </w:r>
          </w:p>
        </w:tc>
      </w:tr>
      <w:tr>
        <w:tc>
          <w:tcPr>
            <w:tcW w:type="dxa" w:w="8697"/>
          </w:tcPr>
          <w:p>
            <w:r>
              <w:t>M12 Environment removed (task 21) — all stacks removed through the infrastructure-as-code tooling rather than by hand, and confirmed gone</w:t>
            </w:r>
          </w:p>
          <w:p>
            <w:pPr/>
            <w:r>
              <w:t>[ICTCLD505 PC 2.5] · [ICTCLD505 PC 3.6] · [ICTCLD505 PE 1]</w:t>
            </w:r>
          </w:p>
        </w:tc>
        <w:tc>
          <w:tcPr>
            <w:tcW w:type="dxa" w:w="1934"/>
          </w:tcPr>
          <w:p>
            <w:r>
              <w:t>☐ Yes  ☐ No</w:t>
            </w:r>
          </w:p>
        </w:tc>
      </w:tr>
      <w:tr>
        <w:tc>
          <w:tcPr>
            <w:tcW w:type="dxa" w:w="8697"/>
          </w:tcPr>
          <w:p>
            <w:r>
              <w:t>M13 Build confirmed and signed off (task 22) — the student confirms the build against the approved design, seeks feedback, responds to it, and obtains recorded sign-off</w:t>
            </w:r>
          </w:p>
          <w:p>
            <w:pPr/>
            <w:r>
              <w:t>[ICTCLD503 PC 4.2] · [ICTCLD503 PC 4.3] · [ICTCLD505 PC 4.2] · [ICTCLD505 FS Oral communication]</w:t>
            </w:r>
          </w:p>
        </w:tc>
        <w:tc>
          <w:tcPr>
            <w:tcW w:type="dxa" w:w="1934"/>
          </w:tcPr>
          <w:p>
            <w:r>
              <w:t>☐ Yes  ☐ No</w:t>
            </w:r>
          </w:p>
        </w:tc>
      </w:tr>
      <w:tr>
        <w:tc>
          <w:tcPr>
            <w:tcW w:type="dxa" w:w="8697"/>
          </w:tcPr>
          <w:p>
            <w:r>
              <w:t>M14 Knowledge (questions 1–3) — industry standards and standard products including storage technology, the testing and debugging techniques actually used, and how the templates would be managed and measured over their life</w:t>
            </w:r>
          </w:p>
          <w:p>
            <w:pPr/>
            <w:r>
              <w:t>[ICTCLD505 KE 1] · [ICTCLD505 KE 2] · [ICTCLD503 KE 1] · [ICTCLD503 KE 2] · [ICTCLD505 KE 7] · [ICTCLD503 KE 5] · [ICTCLD505 FS Self-management] · [ICTCLD505 KE 10] · [ICTCLD505 KE 11]</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Scenario</w:t>
      </w:r>
    </w:p>
    <w:p>
      <w:pPr>
        <w:spacing w:after="160"/>
      </w:pPr>
      <w:r>
        <w:rPr>
          <w:b w:val="0"/>
          <w:i w:val="0"/>
          <w:sz w:val="21"/>
        </w:rPr>
        <w:t>The Website Global Expansion engagement has been approved. The design and the disaster recovery plan were produced in the previous phase and signed off by Sam Walker (YAT ICT Manager), and this is the implementation phase.</w:t>
      </w:r>
    </w:p>
    <w:p>
      <w:pPr>
        <w:spacing w:after="160"/>
      </w:pPr>
      <w:r>
        <w:rPr>
          <w:b w:val="0"/>
          <w:i w:val="0"/>
          <w:sz w:val="21"/>
        </w:rPr>
        <w:t>You remain an MTS Consultant reporting to Pat Lin (MTS Senior Consultant), with Sam Walker as the person who accepts the build. Your job is to stand up the audit-log microservice that the approved design calls for, and to do it as code so YAT can reproduce it.</w:t>
      </w:r>
    </w:p>
    <w:p>
      <w:pPr>
        <w:spacing w:after="160"/>
      </w:pPr>
      <w:r>
        <w:rPr>
          <w:b w:val="0"/>
          <w:i w:val="0"/>
          <w:sz w:val="21"/>
        </w:rPr>
        <w:t>You are building the design that was approved — not a fresh one. Where this run sheet gives you settings, they come from that design.</w:t>
      </w:r>
    </w:p>
    <w:p>
      <w:pPr>
        <w:pStyle w:val="Heading1"/>
      </w:pPr>
      <w:r>
        <w:t>Required resources (assessment conditions)</w:t>
      </w:r>
    </w:p>
    <w:p>
      <w:pPr>
        <w:spacing w:after="120"/>
        <w:ind w:left="340"/>
      </w:pPr>
      <w:r>
        <w:rPr>
          <w:sz w:val="21"/>
        </w:rPr>
        <w:t xml:space="preserve">•  </w:t>
      </w:r>
      <w:hyperlink r:id="rId17">
        <w:r>
          <w:rPr>
            <w:sz w:val="21"/>
            <w:color w:val="0563C1"/>
            <w:u w:val="single"/>
          </w:rPr>
          <w:t>Website Global Expansion — Functional &amp; Non-Functional Requirements — the requirement the microservice exists to satisfy</w:t>
        </w:r>
      </w:hyperlink>
    </w:p>
    <w:p>
      <w:pPr>
        <w:spacing w:after="120"/>
        <w:ind w:left="340"/>
      </w:pPr>
      <w:r>
        <w:rPr>
          <w:sz w:val="21"/>
        </w:rPr>
        <w:t xml:space="preserve">•  </w:t>
      </w:r>
      <w:hyperlink r:id="rId18">
        <w:r>
          <w:rPr>
            <w:sz w:val="21"/>
            <w:color w:val="0563C1"/>
            <w:u w:val="single"/>
          </w:rPr>
          <w:t>Data Residency &amp; Sovereignty Requirements — why the store is in India and why it is parameterised</w:t>
        </w:r>
      </w:hyperlink>
    </w:p>
    <w:p>
      <w:pPr>
        <w:spacing w:after="120"/>
        <w:ind w:left="340"/>
      </w:pPr>
      <w:r>
        <w:rPr>
          <w:sz w:val="21"/>
        </w:rPr>
        <w:t xml:space="preserve">•  </w:t>
      </w:r>
      <w:hyperlink r:id="rId19">
        <w:r>
          <w:rPr>
            <w:sz w:val="21"/>
            <w:color w:val="0563C1"/>
            <w:u w:val="single"/>
          </w:rPr>
          <w:t>Industry Standards — the standards and practices YAT works to</w:t>
        </w:r>
      </w:hyperlink>
    </w:p>
    <w:p>
      <w:pPr>
        <w:spacing w:after="120"/>
        <w:ind w:left="340"/>
      </w:pPr>
      <w:r>
        <w:rPr>
          <w:sz w:val="21"/>
        </w:rPr>
        <w:t xml:space="preserve">•  </w:t>
      </w:r>
      <w:hyperlink r:id="rId20">
        <w:r>
          <w:rPr>
            <w:sz w:val="21"/>
            <w:color w:val="0563C1"/>
            <w:u w:val="single"/>
          </w:rPr>
          <w:t>Change Management Procedure — the governance a production-affecting change sits under</w:t>
        </w:r>
      </w:hyperlink>
    </w:p>
    <w:p>
      <w:pPr>
        <w:spacing w:after="160"/>
      </w:pPr>
      <w:r>
        <w:rPr>
          <w:b w:val="0"/>
          <w:i/>
          <w:color w:val="6B6660"/>
          <w:sz w:val="19"/>
        </w:rPr>
        <w:t>Your assessor will tell you the current address of the YAT site, and will give you the two provided files reproduced below as downloads so you do not have to retype them.</w:t>
      </w:r>
    </w:p>
    <w:p>
      <w:pPr>
        <w:pStyle w:val="Heading1"/>
      </w:pPr>
      <w:r>
        <w:t>Instructions to Student</w:t>
      </w:r>
    </w:p>
    <w:p>
      <w:pPr>
        <w:spacing w:after="160"/>
      </w:pPr>
      <w:r>
        <w:rPr>
          <w:b w:val="0"/>
          <w:i w:val="0"/>
          <w:sz w:val="21"/>
        </w:rPr>
        <w:t>This is an open-book assessment. You may use the YAT intranet, AWS documentation, and anything you have from class. What you may not use is another student.</w:t>
      </w:r>
    </w:p>
    <w:p>
      <w:pPr>
        <w:spacing w:after="160"/>
      </w:pPr>
      <w:r>
        <w:rPr>
          <w:b w:val="0"/>
          <w:i w:val="0"/>
          <w:sz w:val="21"/>
        </w:rPr>
        <w:t>Work the tasks in order. Tasks 1 to 4 are the thinking you do before touching anything; tasks 5 to 10 operate a template someone else wrote; tasks 11 to 19 build your own.</w:t>
      </w:r>
    </w:p>
    <w:p>
      <w:pPr>
        <w:spacing w:after="160"/>
      </w:pPr>
      <w:r>
        <w:rPr>
          <w:b w:val="0"/>
          <w:i w:val="0"/>
          <w:sz w:val="21"/>
        </w:rPr>
        <w:t>Take each screenshot as you finish the task, not at the end. Recreating a screen after you have moved on is painful and sometimes impossible. A task you cannot evidence cannot be assessed as satisfactory.</w:t>
      </w:r>
    </w:p>
    <w:p>
      <w:pPr>
        <w:spacing w:after="160"/>
      </w:pPr>
      <w:r>
        <w:rPr>
          <w:b w:val="0"/>
          <w:i w:val="0"/>
          <w:sz w:val="21"/>
        </w:rPr>
        <w:t>Things will fail. That is not a problem with the assessment — troubleshooting is one of the things being assessed, and there is a task that exists specifically to capture it. Record what broke and what you did about it rather than quietly fixing it.</w:t>
      </w:r>
    </w:p>
    <w:p>
      <w:pPr>
        <w:spacing w:after="160"/>
      </w:pPr>
      <w:r>
        <w:rPr>
          <w:b w:val="0"/>
          <w:i w:val="0"/>
          <w:sz w:val="21"/>
        </w:rPr>
        <w:t>Answer the knowledge questions about your own build. Generic answers about infrastructure as code will not pass.</w:t>
      </w:r>
    </w:p>
    <w:p>
      <w:pPr>
        <w:spacing w:before="80" w:after="160"/>
        <w:ind w:left="227"/>
      </w:pPr>
      <w:r>
        <w:rPr>
          <w:b/>
          <w:color w:val="C5613B"/>
          <w:sz w:val="19"/>
        </w:rPr>
        <w:t xml:space="preserve">Environment constraint </w:t>
      </w:r>
      <w:r>
        <w:rPr>
          <w:i/>
          <w:color w:val="C5613B"/>
          <w:sz w:val="19"/>
        </w:rPr>
        <w:t>The approved design places the audit store in India — [scenario: ap-south-1 | deploy: us-east-1]. Build everything in us-east-1 in the AWS Academy Learner Lab, which does not offer the Indian regions. Where a task asks you to name the region the design calls for, name ap-south-1; where it asks what you deployed to, that is us-east-1. The work is identical either way, and the parameterisation in task 17 is exactly what makes the difference a parameter.</w:t>
      </w:r>
    </w:p>
    <w:p>
      <w:pPr>
        <w:pStyle w:val="Heading1"/>
      </w:pPr>
      <w:r>
        <w:t>What you are given</w:t>
      </w:r>
    </w:p>
    <w:p>
      <w:pPr>
        <w:spacing w:after="160"/>
      </w:pPr>
      <w:r>
        <w:rPr>
          <w:b w:val="0"/>
          <w:i w:val="0"/>
          <w:sz w:val="21"/>
        </w:rPr>
        <w:t>Two files are provided to you and are reproduced here in full. You do not write either of them. Read them both before you start — task 5 and task 11 depend on you having done so.</w:t>
      </w:r>
    </w:p>
    <w:p>
      <w:pPr>
        <w:pStyle w:val="Heading2"/>
      </w:pPr>
      <w:r>
        <w:rPr>
          <w:color w:val="1F5A5C"/>
        </w:rPr>
        <w:t>The data-store template — datastore.yaml</w:t>
      </w:r>
    </w:p>
    <w:p>
      <w:pPr>
        <w:spacing w:after="120"/>
      </w:pPr>
      <w:r>
        <w:rPr>
          <w:b w:val="0"/>
          <w:i/>
          <w:color w:val="6B6660"/>
          <w:sz w:val="19"/>
        </w:rPr>
        <w:t>PROVIDED. You operate this template; you do not author it. It may not deploy as supplied.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AWSTemplateFormatVersion: '2010-09-09'</w:t>
            </w:r>
          </w:p>
          <w:p>
            <w:pPr>
              <w:spacing w:after="0"/>
            </w:pPr>
            <w:r>
              <w:rPr>
                <w:rFonts w:ascii="Consolas" w:hAnsi="Consolas"/>
                <w:sz w:val="18"/>
              </w:rPr>
              <w:t>Description: &gt;-</w:t>
            </w:r>
          </w:p>
          <w:p>
            <w:pPr>
              <w:spacing w:after="0"/>
            </w:pPr>
            <w:r>
              <w:rPr>
                <w:rFonts w:ascii="Consolas" w:hAnsi="Consolas"/>
                <w:sz w:val="18"/>
              </w:rPr>
              <w:t xml:space="preserve">  YAT audit-log data store (PROVIDED - you operate this, you do not author it).</w:t>
            </w:r>
          </w:p>
          <w:p>
            <w:pPr>
              <w:spacing w:after="0"/>
            </w:pPr>
            <w:r>
              <w:rPr>
                <w:rFonts w:ascii="Consolas" w:hAnsi="Consolas"/>
                <w:sz w:val="18"/>
              </w:rPr>
              <w:t xml:space="preserve">  A single DynamoDB table that holds the append-only access-log records your</w:t>
            </w:r>
          </w:p>
          <w:p>
            <w:pPr>
              <w:spacing w:after="0"/>
            </w:pPr>
            <w:r>
              <w:rPr>
                <w:rFonts w:ascii="Consolas" w:hAnsi="Consolas"/>
                <w:sz w:val="18"/>
              </w:rPr>
              <w:t xml:space="preserve">  microservice writes. Operate it: review, deploy, update a parameter, and delete.</w:t>
            </w:r>
          </w:p>
          <w:p>
            <w:pPr>
              <w:spacing w:after="0"/>
            </w:pPr>
            <w:r>
              <w:rPr>
                <w:rFonts w:ascii="Consolas" w:hAnsi="Consolas"/>
                <w:sz w:val="18"/>
              </w:rPr>
              <w:t xml:space="preserve">  It may not deploy as supplied - if so, diagnose the error, fix it, and redeploy.</w:t>
            </w:r>
          </w:p>
          <w:p>
            <w:pPr>
              <w:spacing w:after="0"/>
            </w:pPr>
            <w:r>
              <w:rPr>
                <w:rFonts w:ascii="Consolas" w:hAnsi="Consolas"/>
                <w:sz w:val="18"/>
              </w:rPr>
            </w:r>
          </w:p>
          <w:p>
            <w:pPr>
              <w:spacing w:after="0"/>
            </w:pPr>
            <w:r>
              <w:rPr>
                <w:rFonts w:ascii="Consolas" w:hAnsi="Consolas"/>
                <w:sz w:val="18"/>
              </w:rPr>
              <w:t>Parameters:</w:t>
            </w:r>
          </w:p>
          <w:p>
            <w:pPr>
              <w:spacing w:after="0"/>
            </w:pPr>
            <w:r>
              <w:rPr>
                <w:rFonts w:ascii="Consolas" w:hAnsi="Consolas"/>
                <w:sz w:val="18"/>
              </w:rPr>
              <w:t xml:space="preserve">  EnvName:</w:t>
            </w:r>
          </w:p>
          <w:p>
            <w:pPr>
              <w:spacing w:after="0"/>
            </w:pPr>
            <w:r>
              <w:rPr>
                <w:rFonts w:ascii="Consolas" w:hAnsi="Consolas"/>
                <w:sz w:val="18"/>
              </w:rPr>
              <w:t xml:space="preserve">    Type: String</w:t>
            </w:r>
          </w:p>
          <w:p>
            <w:pPr>
              <w:spacing w:after="0"/>
            </w:pPr>
            <w:r>
              <w:rPr>
                <w:rFonts w:ascii="Consolas" w:hAnsi="Consolas"/>
                <w:sz w:val="18"/>
              </w:rPr>
              <w:t xml:space="preserve">    Default: dev</w:t>
            </w:r>
          </w:p>
          <w:p>
            <w:pPr>
              <w:spacing w:after="0"/>
            </w:pPr>
            <w:r>
              <w:rPr>
                <w:rFonts w:ascii="Consolas" w:hAnsi="Consolas"/>
                <w:sz w:val="18"/>
              </w:rPr>
              <w:t xml:space="preserve">    AllowedValues: [dev, prod]</w:t>
            </w:r>
          </w:p>
          <w:p>
            <w:pPr>
              <w:spacing w:after="0"/>
            </w:pPr>
            <w:r>
              <w:rPr>
                <w:rFonts w:ascii="Consolas" w:hAnsi="Consolas"/>
                <w:sz w:val="18"/>
              </w:rPr>
              <w:t xml:space="preserve">    Description: Environment suffix used in the table name.</w:t>
            </w:r>
          </w:p>
          <w:p>
            <w:pPr>
              <w:spacing w:after="0"/>
            </w:pPr>
            <w:r>
              <w:rPr>
                <w:rFonts w:ascii="Consolas" w:hAnsi="Consolas"/>
                <w:sz w:val="18"/>
              </w:rPr>
            </w:r>
          </w:p>
          <w:p>
            <w:pPr>
              <w:spacing w:after="0"/>
            </w:pPr>
            <w:r>
              <w:rPr>
                <w:rFonts w:ascii="Consolas" w:hAnsi="Consolas"/>
                <w:sz w:val="18"/>
              </w:rPr>
              <w:t>Resources:</w:t>
            </w:r>
          </w:p>
          <w:p>
            <w:pPr>
              <w:spacing w:after="0"/>
            </w:pPr>
            <w:r>
              <w:rPr>
                <w:rFonts w:ascii="Consolas" w:hAnsi="Consolas"/>
                <w:sz w:val="18"/>
              </w:rPr>
              <w:t xml:space="preserve">  AuditTable:</w:t>
            </w:r>
          </w:p>
          <w:p>
            <w:pPr>
              <w:spacing w:after="0"/>
            </w:pPr>
            <w:r>
              <w:rPr>
                <w:rFonts w:ascii="Consolas" w:hAnsi="Consolas"/>
                <w:sz w:val="18"/>
              </w:rPr>
              <w:t xml:space="preserve">    Type: AWS::DynamoDB::Table</w:t>
            </w:r>
          </w:p>
          <w:p>
            <w:pPr>
              <w:spacing w:after="0"/>
            </w:pPr>
            <w:r>
              <w:rPr>
                <w:rFonts w:ascii="Consolas" w:hAnsi="Consolas"/>
                <w:sz w:val="18"/>
              </w:rPr>
              <w:t xml:space="preserve">    Properties:</w:t>
            </w:r>
          </w:p>
          <w:p>
            <w:pPr>
              <w:spacing w:after="0"/>
            </w:pPr>
            <w:r>
              <w:rPr>
                <w:rFonts w:ascii="Consolas" w:hAnsi="Consolas"/>
                <w:sz w:val="18"/>
              </w:rPr>
              <w:t xml:space="preserve">      TableName: !Sub 'yat-audit-${EnvName}'</w:t>
            </w:r>
          </w:p>
          <w:p>
            <w:pPr>
              <w:spacing w:after="0"/>
            </w:pPr>
            <w:r>
              <w:rPr>
                <w:rFonts w:ascii="Consolas" w:hAnsi="Consolas"/>
                <w:sz w:val="18"/>
              </w:rPr>
              <w:t xml:space="preserve">      BillingMode: PAY_PER_REQUEST</w:t>
            </w:r>
          </w:p>
          <w:p>
            <w:pPr>
              <w:spacing w:after="0"/>
            </w:pPr>
            <w:r>
              <w:rPr>
                <w:rFonts w:ascii="Consolas" w:hAnsi="Consolas"/>
                <w:sz w:val="18"/>
              </w:rPr>
              <w:t xml:space="preserve">      AttributeDefinitions:</w:t>
            </w:r>
          </w:p>
          <w:p>
            <w:pPr>
              <w:spacing w:after="0"/>
            </w:pPr>
            <w:r>
              <w:rPr>
                <w:rFonts w:ascii="Consolas" w:hAnsi="Consolas"/>
                <w:sz w:val="18"/>
              </w:rPr>
              <w:t xml:space="preserve">        - { AttributeName: id, AttributeType: S }</w:t>
            </w:r>
          </w:p>
          <w:p>
            <w:pPr>
              <w:spacing w:after="0"/>
            </w:pPr>
            <w:r>
              <w:rPr>
                <w:rFonts w:ascii="Consolas" w:hAnsi="Consolas"/>
                <w:sz w:val="18"/>
              </w:rPr>
              <w:t xml:space="preserve">      KeySchema:</w:t>
            </w:r>
          </w:p>
          <w:p>
            <w:pPr>
              <w:spacing w:after="0"/>
            </w:pPr>
            <w:r>
              <w:rPr>
                <w:rFonts w:ascii="Consolas" w:hAnsi="Consolas"/>
                <w:sz w:val="18"/>
              </w:rPr>
              <w:t xml:space="preserve">        - { AttributeName: event_id, KeyType: HASH }</w:t>
            </w:r>
          </w:p>
          <w:p>
            <w:pPr>
              <w:spacing w:after="0"/>
            </w:pPr>
            <w:r>
              <w:rPr>
                <w:rFonts w:ascii="Consolas" w:hAnsi="Consolas"/>
                <w:sz w:val="18"/>
              </w:rPr>
              <w:t xml:space="preserve">      Tags:</w:t>
            </w:r>
          </w:p>
          <w:p>
            <w:pPr>
              <w:spacing w:after="0"/>
            </w:pPr>
            <w:r>
              <w:rPr>
                <w:rFonts w:ascii="Consolas" w:hAnsi="Consolas"/>
                <w:sz w:val="18"/>
              </w:rPr>
              <w:t xml:space="preserve">        - { Key: Project, Value: YAT-Website }</w:t>
            </w:r>
          </w:p>
          <w:p>
            <w:pPr>
              <w:spacing w:after="0"/>
            </w:pPr>
            <w:r>
              <w:rPr>
                <w:rFonts w:ascii="Consolas" w:hAnsi="Consolas"/>
                <w:sz w:val="18"/>
              </w:rPr>
              <w:t xml:space="preserve">        - { Key: Environment, Value: !Ref EnvName }</w:t>
            </w:r>
          </w:p>
          <w:p>
            <w:pPr>
              <w:spacing w:after="0"/>
            </w:pPr>
            <w:r>
              <w:rPr>
                <w:rFonts w:ascii="Consolas" w:hAnsi="Consolas"/>
                <w:sz w:val="18"/>
              </w:rPr>
              <w:t xml:space="preserve">        - { Key: DataClassification, Value: audit-log }</w:t>
            </w:r>
          </w:p>
          <w:p>
            <w:pPr>
              <w:spacing w:after="0"/>
            </w:pPr>
            <w:r>
              <w:rPr>
                <w:rFonts w:ascii="Consolas" w:hAnsi="Consolas"/>
                <w:sz w:val="18"/>
              </w:rPr>
            </w:r>
          </w:p>
          <w:p>
            <w:pPr>
              <w:spacing w:after="0"/>
            </w:pPr>
            <w:r>
              <w:rPr>
                <w:rFonts w:ascii="Consolas" w:hAnsi="Consolas"/>
                <w:sz w:val="18"/>
              </w:rPr>
              <w:t>Outputs:</w:t>
            </w:r>
          </w:p>
          <w:p>
            <w:pPr>
              <w:spacing w:after="0"/>
            </w:pPr>
            <w:r>
              <w:rPr>
                <w:rFonts w:ascii="Consolas" w:hAnsi="Consolas"/>
                <w:sz w:val="18"/>
              </w:rPr>
              <w:t xml:space="preserve">  AuditTableName:</w:t>
            </w:r>
          </w:p>
          <w:p>
            <w:pPr>
              <w:spacing w:after="0"/>
            </w:pPr>
            <w:r>
              <w:rPr>
                <w:rFonts w:ascii="Consolas" w:hAnsi="Consolas"/>
                <w:sz w:val="18"/>
              </w:rPr>
              <w:t xml:space="preserve">    Description: The audit table name - your microservice stack reads this.</w:t>
            </w:r>
          </w:p>
          <w:p>
            <w:pPr>
              <w:spacing w:after="0"/>
            </w:pPr>
            <w:r>
              <w:rPr>
                <w:rFonts w:ascii="Consolas" w:hAnsi="Consolas"/>
                <w:sz w:val="18"/>
              </w:rPr>
              <w:t xml:space="preserve">    Value: !Ref AuditTable</w:t>
            </w:r>
          </w:p>
          <w:p>
            <w:pPr>
              <w:spacing w:after="0"/>
            </w:pPr>
            <w:r>
              <w:rPr>
                <w:rFonts w:ascii="Consolas" w:hAnsi="Consolas"/>
                <w:sz w:val="18"/>
              </w:rPr>
              <w:t xml:space="preserve">    Export:</w:t>
            </w:r>
          </w:p>
          <w:p>
            <w:pPr>
              <w:spacing w:after="0"/>
            </w:pPr>
            <w:r>
              <w:rPr>
                <w:rFonts w:ascii="Consolas" w:hAnsi="Consolas"/>
                <w:sz w:val="18"/>
              </w:rPr>
              <w:t xml:space="preserve">      Name: !Sub 'yat-audit-table-${EnvName}'</w:t>
            </w:r>
          </w:p>
        </w:tc>
      </w:tr>
    </w:tbl>
    <w:p/>
    <w:p>
      <w:pPr>
        <w:pStyle w:val="Heading2"/>
      </w:pPr>
      <w:r>
        <w:rPr>
          <w:color w:val="1F5A5C"/>
        </w:rPr>
        <w:t>The microservice code — handler.py</w:t>
      </w:r>
    </w:p>
    <w:p>
      <w:pPr>
        <w:spacing w:after="120"/>
      </w:pPr>
      <w:r>
        <w:rPr>
          <w:b w:val="0"/>
          <w:i/>
          <w:color w:val="6B6660"/>
          <w:sz w:val="19"/>
        </w:rPr>
        <w:t>PROVIDED in full as a download. You deploy this code; you do not write it. What it needs from your infrastructure is summarised here and confirmed in task 11.</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it is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handler.py — an SQS-triggered Lambda written in Python 3.12. Provided to you in full as a download; you deploy it, you do not write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it does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reads access-event messages from the queue, validates each one, and writes it to the DynamoDB table as an immutable audit record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 flow</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HTTP API  →  SQS queue  →  this Lambda  →  DynamoDB table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Idempotency</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event_id is the partition key and the write is conditional, so a re-delivered message is skipped rather than duplicated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it needs from you</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 environment variable AUDIT_TABLE holding the table name, and permission to write to that table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Runtime note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boto3 is provided by the Lambda runtime — there are no dependencies to package</w:t>
            </w:r>
          </w:p>
        </w:tc>
      </w:tr>
    </w:tbl>
    <w:p/>
    <w:p>
      <w:pPr>
        <w:pStyle w:val="Heading2"/>
      </w:pPr>
      <w:r>
        <w:rPr>
          <w:color w:val="1F5A5C"/>
        </w:rPr>
        <w:t>The webhook contract</w:t>
      </w:r>
    </w:p>
    <w:p>
      <w:pPr>
        <w:spacing w:after="120"/>
      </w:pPr>
      <w:r>
        <w:rPr>
          <w:b w:val="0"/>
          <w:i/>
          <w:color w:val="6B6660"/>
          <w:sz w:val="19"/>
        </w:rPr>
        <w:t>The single integration point between the website and your service.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POST  {ApiEndpoint}              # an Output of your deployed stack</w:t>
            </w:r>
          </w:p>
          <w:p>
            <w:pPr>
              <w:spacing w:after="0"/>
            </w:pPr>
            <w:r>
              <w:rPr>
                <w:rFonts w:ascii="Consolas" w:hAnsi="Consolas"/>
                <w:sz w:val="18"/>
              </w:rPr>
              <w:t>Content-Type: application/json</w:t>
            </w:r>
          </w:p>
          <w:p>
            <w:pPr>
              <w:spacing w:after="0"/>
            </w:pPr>
            <w:r>
              <w:rPr>
                <w:rFonts w:ascii="Consolas" w:hAnsi="Consolas"/>
                <w:sz w:val="18"/>
              </w:rPr>
            </w:r>
          </w:p>
          <w:p>
            <w:pPr>
              <w:spacing w:after="0"/>
            </w:pPr>
            <w:r>
              <w:rPr>
                <w:rFonts w:ascii="Consolas" w:hAnsi="Consolas"/>
                <w:sz w:val="18"/>
              </w:rPr>
              <w:t>{</w:t>
            </w:r>
          </w:p>
          <w:p>
            <w:pPr>
              <w:spacing w:after="0"/>
            </w:pPr>
            <w:r>
              <w:rPr>
                <w:rFonts w:ascii="Consolas" w:hAnsi="Consolas"/>
                <w:sz w:val="18"/>
              </w:rPr>
              <w:t xml:space="preserve">  "event_id":    "3f9a1c2e-...",          # unique id (UUID) - the idempotency key</w:t>
            </w:r>
          </w:p>
          <w:p>
            <w:pPr>
              <w:spacing w:after="0"/>
            </w:pPr>
            <w:r>
              <w:rPr>
                <w:rFonts w:ascii="Consolas" w:hAnsi="Consolas"/>
                <w:sz w:val="18"/>
              </w:rPr>
              <w:t xml:space="preserve">  "occurred_at": "2026-06-07T01:23:45Z",  # ISO-8601 UTC timestamp</w:t>
            </w:r>
          </w:p>
          <w:p>
            <w:pPr>
              <w:spacing w:after="0"/>
            </w:pPr>
            <w:r>
              <w:rPr>
                <w:rFonts w:ascii="Consolas" w:hAnsi="Consolas"/>
                <w:sz w:val="18"/>
              </w:rPr>
              <w:t xml:space="preserve">  "user_ref":    "u-48217",               # opaque user reference, not a name</w:t>
            </w:r>
          </w:p>
          <w:p>
            <w:pPr>
              <w:spacing w:after="0"/>
            </w:pPr>
            <w:r>
              <w:rPr>
                <w:rFonts w:ascii="Consolas" w:hAnsi="Consolas"/>
                <w:sz w:val="18"/>
              </w:rPr>
              <w:t xml:space="preserve">  "cohort":      "IN",                    # "AU" or "IN"  (IN = the India cohort)</w:t>
            </w:r>
          </w:p>
          <w:p>
            <w:pPr>
              <w:spacing w:after="0"/>
            </w:pPr>
            <w:r>
              <w:rPr>
                <w:rFonts w:ascii="Consolas" w:hAnsi="Consolas"/>
                <w:sz w:val="18"/>
              </w:rPr>
              <w:t xml:space="preserve">  "event_type":  "login",                 # login | course_access | assessment_view</w:t>
            </w:r>
          </w:p>
          <w:p>
            <w:pPr>
              <w:spacing w:after="0"/>
            </w:pPr>
            <w:r>
              <w:rPr>
                <w:rFonts w:ascii="Consolas" w:hAnsi="Consolas"/>
                <w:sz w:val="18"/>
              </w:rPr>
              <w:t xml:space="preserve">  "source_ip":   "203.0.113.7"            # the client IP the event came from</w:t>
            </w:r>
          </w:p>
          <w:p>
            <w:pPr>
              <w:spacing w:after="0"/>
            </w:pPr>
            <w:r>
              <w:rPr>
                <w:rFonts w:ascii="Consolas" w:hAnsi="Consolas"/>
                <w:sz w:val="18"/>
              </w:rPr>
              <w:t>}</w:t>
            </w:r>
          </w:p>
          <w:p>
            <w:pPr>
              <w:spacing w:after="0"/>
            </w:pPr>
            <w:r>
              <w:rPr>
                <w:rFonts w:ascii="Consolas" w:hAnsi="Consolas"/>
                <w:sz w:val="18"/>
              </w:rPr>
            </w:r>
          </w:p>
          <w:p>
            <w:pPr>
              <w:spacing w:after="0"/>
            </w:pPr>
            <w:r>
              <w:rPr>
                <w:rFonts w:ascii="Consolas" w:hAnsi="Consolas"/>
                <w:sz w:val="18"/>
              </w:rPr>
              <w:t>Responses:   200 = accepted and queued for writing      400 = malformed request</w:t>
            </w:r>
          </w:p>
        </w:tc>
      </w:tr>
    </w:tbl>
    <w:p/>
    <w:p>
      <w:pPr>
        <w:pStyle w:val="Heading1"/>
      </w:pPr>
      <w:r>
        <w:t>The build</w:t>
      </w:r>
    </w:p>
    <w:p>
      <w:pPr>
        <w:spacing w:before="200" w:after="0"/>
      </w:pPr>
      <w:r>
        <w:rPr>
          <w:b/>
          <w:color w:val="1F5A5C"/>
          <w:sz w:val="16"/>
        </w:rPr>
        <w:t>TASK 1</w:t>
      </w:r>
    </w:p>
    <w:p>
      <w:pPr>
        <w:pStyle w:val="Heading2"/>
      </w:pPr>
      <w:r>
        <w:rPr>
          <w:color w:val="1F5A5C"/>
        </w:rPr>
        <w:t>Why infrastructure as code for this job</w:t>
      </w:r>
    </w:p>
    <w:p>
      <w:pPr>
        <w:spacing w:after="120"/>
      </w:pPr>
      <w:r>
        <w:rPr>
          <w:b w:val="0"/>
          <w:i w:val="0"/>
          <w:sz w:val="21"/>
        </w:rPr>
        <w:t>Before you build anything, establish why this is being built as code at all. Identify the benefits infrastructure as code brings to THIS engagement — not in general — and tie each one to a business need you can point at in the requirements.</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requirement that the changes be provisioned as code</w:t>
        </w:r>
      </w:hyperlink>
    </w:p>
    <w:p>
      <w:pPr>
        <w:spacing w:after="60"/>
        <w:ind w:left="340"/>
      </w:pPr>
      <w:r>
        <w:rPr>
          <w:sz w:val="19"/>
        </w:rPr>
        <w:t xml:space="preserve">•  </w:t>
      </w:r>
      <w:hyperlink r:id="rId18">
        <w:r>
          <w:rPr>
            <w:sz w:val="19"/>
            <w:color w:val="0563C1"/>
            <w:u w:val="single"/>
          </w:rPr>
          <w:t>Data Residency &amp; Sovereignty Requirements — DR-R4, keeping the Indian footprint extensible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Benefit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gives YAT here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business need it answers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Reproducible in another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Indian footprint can be stood up elsewhere by changing a parameter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DR-R4 — keep localisation extensible without re-architecture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Repeatable disaster recovery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second region is deployed from the same template during a recovery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4-hour RTO in the approved DR plan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Consistency between environments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dev and prod are the same definition with a different parameter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requirement that the environment be reproduced consistently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Reviewable change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infrastructure change is a file change someone can read before it happens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Change Management Procedure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undocumented drift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is deployed is what is in the template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 ICT has to operate this after MTS leaves</w:t>
            </w:r>
          </w:p>
        </w:tc>
      </w:tr>
    </w:tbl>
    <w:p/>
    <w:p>
      <w:pPr>
        <w:spacing w:after="40"/>
      </w:pPr>
      <w:r>
        <w:rPr>
          <w:b w:val="0"/>
          <w:i/>
          <w:color w:val="6B6660"/>
          <w:sz w:val="18"/>
        </w:rPr>
        <w:t>Evidences: [ICTCLD505 PC 1.1] · [ICTCLD505 KE 3] · [ICTCLD505 FS Reading]</w:t>
      </w:r>
    </w:p>
    <w:p>
      <w:pPr>
        <w:spacing w:after="120"/>
      </w:pPr>
      <w:r>
        <w:rPr>
          <w:b/>
          <w:color w:val="6B6660"/>
          <w:sz w:val="18"/>
        </w:rPr>
        <w:t xml:space="preserve">Satisfactory when </w:t>
      </w:r>
      <w:r>
        <w:rPr>
          <w:i/>
          <w:color w:val="6B6660"/>
          <w:sz w:val="18"/>
        </w:rPr>
        <w:t>the benefits are tied to this engagement's stated needs rather than listed generically. The residency requirement DR-R4 (keep localisation extensible) and the requirement to stand the environment up in another region by changing configuration are both in the supplied documents and both are answers. A list of generic IaC benefits with no business need beside it has not met PC 1.1, which says 'according to business needs'.</w:t>
      </w:r>
    </w:p>
    <w:p>
      <w:pPr>
        <w:spacing w:before="200" w:after="0"/>
      </w:pPr>
      <w:r>
        <w:rPr>
          <w:b/>
          <w:color w:val="1F5A5C"/>
          <w:sz w:val="16"/>
        </w:rPr>
        <w:t>TASK 2</w:t>
      </w:r>
    </w:p>
    <w:p>
      <w:pPr>
        <w:pStyle w:val="Heading2"/>
      </w:pPr>
      <w:r>
        <w:rPr>
          <w:color w:val="1F5A5C"/>
        </w:rPr>
        <w:t>What automation gives the platform</w:t>
      </w:r>
    </w:p>
    <w:p>
      <w:pPr>
        <w:spacing w:after="120"/>
      </w:pPr>
      <w:r>
        <w:rPr>
          <w:b w:val="0"/>
          <w:i w:val="0"/>
          <w:sz w:val="21"/>
        </w:rPr>
        <w:t>Infrastructure as code is one kind of automation. Determine what else about this build is automated rather than done by hand, and what YAT gets from each. Think about what happens without anyone present — at 2am, or when a message fails.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is automated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the platform does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YAT no longer does by hand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Provisioning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IaC service creates and orders the resources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clicking through the console and remembering the order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Retry on failure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queue redelivers a message the function did not process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noticing and replaying lost events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Scaling the processor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function runs per message, concurrently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sizing a server for peak event rate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Capacity for the store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on-demand billing scales with the write rate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provisioning throughput ahead of demand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Detection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alarm evaluates the metric and notifies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watching a dashboard</w:t>
            </w:r>
          </w:p>
        </w:tc>
      </w:tr>
    </w:tbl>
    <w:p/>
    <w:p>
      <w:pPr>
        <w:spacing w:after="40"/>
      </w:pPr>
      <w:r>
        <w:rPr>
          <w:b w:val="0"/>
          <w:i/>
          <w:color w:val="6B6660"/>
          <w:sz w:val="18"/>
        </w:rPr>
        <w:t>Evidences: [ICTCLD505 PC 1.2]</w:t>
      </w:r>
    </w:p>
    <w:p>
      <w:pPr>
        <w:spacing w:after="120"/>
      </w:pPr>
      <w:r>
        <w:rPr>
          <w:b/>
          <w:color w:val="6B6660"/>
          <w:sz w:val="18"/>
        </w:rPr>
        <w:t xml:space="preserve">Satisfactory when </w:t>
      </w:r>
      <w:r>
        <w:rPr>
          <w:i/>
          <w:color w:val="6B6660"/>
          <w:sz w:val="18"/>
        </w:rPr>
        <w:t>the student identifies automation beyond template deployment — the queue retrying a failed write, the function scaling with the event rate, the alarm raising itself — and says what each removes the need for a human to do. PC 1.2 is about how automation LEVERAGES the platform, so the answer should be about capability the platform supplies rather than scripts the student wrote.</w:t>
      </w:r>
    </w:p>
    <w:p>
      <w:pPr>
        <w:spacing w:before="200" w:after="0"/>
      </w:pPr>
      <w:r>
        <w:rPr>
          <w:b/>
          <w:color w:val="1F5A5C"/>
          <w:sz w:val="16"/>
        </w:rPr>
        <w:t>TASK 3</w:t>
      </w:r>
    </w:p>
    <w:p>
      <w:pPr>
        <w:pStyle w:val="Heading2"/>
      </w:pPr>
      <w:r>
        <w:rPr>
          <w:color w:val="1F5A5C"/>
        </w:rPr>
        <w:t>What can go wrong with infrastructure as code</w:t>
      </w:r>
    </w:p>
    <w:p>
      <w:pPr>
        <w:spacing w:after="120"/>
      </w:pPr>
      <w:r>
        <w:rPr>
          <w:b w:val="0"/>
          <w:i w:val="0"/>
          <w:sz w:val="21"/>
        </w:rPr>
        <w:t>Determine and assess what can go wrong when infrastructure is deployed this way. You are about to find at least one of these for real, so think about it now: what kinds of error does this approach produce, and how serious is each?</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can go wrong</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looks like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serious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Template syntax error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service rejects the file before doing anything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low — fast to find, nothing was created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Invalid or mismatched resource properties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stack fails during creation and rolls back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low to moderate — the error names the resource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Missing dependency or wrong ordering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resource is created before the thing it needs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moderate — the message can be indirect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Insufficient permissions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creation fails on one resource with an access error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moderate — easy to misread as a template fault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change that replaces rather than updates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update succeeds and the data is gone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high — this is the one that hurts in production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Drift from manual console changes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template no longer describes what is deployed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high over time — the template stops being the truth</w:t>
            </w:r>
          </w:p>
        </w:tc>
      </w:tr>
    </w:tbl>
    <w:p/>
    <w:p>
      <w:pPr>
        <w:spacing w:after="40"/>
      </w:pPr>
      <w:r>
        <w:rPr>
          <w:b w:val="0"/>
          <w:i/>
          <w:color w:val="6B6660"/>
          <w:sz w:val="18"/>
        </w:rPr>
        <w:t>Evidences: [ICTCLD505 PC 1.3] · [ICTCLD505 KE 7]</w:t>
      </w:r>
    </w:p>
    <w:p>
      <w:pPr>
        <w:spacing w:after="120"/>
      </w:pPr>
      <w:r>
        <w:rPr>
          <w:b/>
          <w:color w:val="6B6660"/>
          <w:sz w:val="18"/>
        </w:rPr>
        <w:t xml:space="preserve">Satisfactory when </w:t>
      </w:r>
      <w:r>
        <w:rPr>
          <w:i/>
          <w:color w:val="6B6660"/>
          <w:sz w:val="18"/>
        </w:rPr>
        <w:t>the student names error classes rather than one example — syntax errors, invalid resource properties, dependency and ordering failures, permission failures, and the destructive-update risk where a change replaces a resource rather than modifying it — and assesses severity. The last one is the mark of a student who has thought about it rather than listed.</w:t>
      </w:r>
    </w:p>
    <w:p>
      <w:pPr>
        <w:spacing w:before="200" w:after="0"/>
      </w:pPr>
      <w:r>
        <w:rPr>
          <w:b/>
          <w:color w:val="1F5A5C"/>
          <w:sz w:val="16"/>
        </w:rPr>
        <w:t>TASK 4</w:t>
      </w:r>
    </w:p>
    <w:p>
      <w:pPr>
        <w:pStyle w:val="Heading2"/>
      </w:pPr>
      <w:r>
        <w:rPr>
          <w:color w:val="1F5A5C"/>
        </w:rPr>
        <w:t>Select the infrastructure-as-code service</w:t>
      </w:r>
    </w:p>
    <w:p>
      <w:pPr>
        <w:spacing w:after="120"/>
      </w:pPr>
      <w:r>
        <w:rPr>
          <w:b w:val="0"/>
          <w:i w:val="0"/>
          <w:sz w:val="21"/>
        </w:rPr>
        <w:t>Evaluate the infrastructure-as-code services available for this platform and select one. Say what you compared it against and why your choice suits this engagement. A choice with no alternative beside it is not an evaluation.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Service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is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Suitability here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AWS CloudFormation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vendor's own declarative service, native to the platform</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extra tooling, available in the lab, and the provided template is already written in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Terraform</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third-party tool that works across multiple cloud platforms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strong, but its multi-cloud benefit is not one YAT needs here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AWS CDK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infrastructure defined in a general-purpose programming language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powerful, but adds a build step and a language YAT ICT may not maintain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Your selection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CloudFormation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matches the provided artefact, needs no extra tooling, and YAT ICT can read it</w:t>
            </w:r>
          </w:p>
        </w:tc>
      </w:tr>
    </w:tbl>
    <w:p/>
    <w:p>
      <w:pPr>
        <w:spacing w:after="40"/>
      </w:pPr>
      <w:r>
        <w:rPr>
          <w:b w:val="0"/>
          <w:i/>
          <w:color w:val="6B6660"/>
          <w:sz w:val="18"/>
        </w:rPr>
        <w:t>Evidences: [ICTCLD505 PC 1.4] · [ICTCLD505 KE 4]</w:t>
      </w:r>
    </w:p>
    <w:p>
      <w:pPr>
        <w:spacing w:after="120"/>
      </w:pPr>
      <w:r>
        <w:rPr>
          <w:b/>
          <w:color w:val="6B6660"/>
          <w:sz w:val="18"/>
        </w:rPr>
        <w:t xml:space="preserve">Satisfactory when </w:t>
      </w:r>
      <w:r>
        <w:rPr>
          <w:i/>
          <w:color w:val="6B6660"/>
          <w:sz w:val="18"/>
        </w:rPr>
        <w:t>at least two genuine alternatives are compared — CloudFormation, Terraform and the CDK are the recognised set and naming them satisfies KE 4 — and the selection is argued against this engagement's constraints (a single cloud platform, the Learner Lab environment, and YAT ICT operating it afterwards). Any of them is an acceptable choice if the reasoning holds.</w:t>
      </w:r>
    </w:p>
    <w:p>
      <w:pPr>
        <w:spacing w:before="200" w:after="0"/>
      </w:pPr>
      <w:r>
        <w:rPr>
          <w:b/>
          <w:color w:val="1F5A5C"/>
          <w:sz w:val="16"/>
        </w:rPr>
        <w:t>TASK 5</w:t>
      </w:r>
    </w:p>
    <w:p>
      <w:pPr>
        <w:pStyle w:val="Heading2"/>
      </w:pPr>
      <w:r>
        <w:rPr>
          <w:color w:val="1F5A5C"/>
        </w:rPr>
        <w:t>Review the provided data-store template</w:t>
      </w:r>
    </w:p>
    <w:p>
      <w:pPr>
        <w:spacing w:after="120"/>
      </w:pPr>
      <w:r>
        <w:rPr>
          <w:b w:val="0"/>
          <w:i w:val="0"/>
          <w:sz w:val="21"/>
        </w:rPr>
        <w:t>Read the provided template above, closely. Work out what it creates, what each part of it does, and what depends on what. Do not deploy it yet — the point of this task is that you can read a template someone else wrote before you run it.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Part of the template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depends on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Parameters — EnvName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supplies the environment suffix, constrained to dev or prod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table name and the export name are both built from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Resources — AuditTable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creates one DynamoDB table, billed per request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microservice writes to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TableName — !Sub</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builds the name from the parameter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how the two environments stay separate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Tags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project, environment and data classification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YAT's records and cost reporting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Outputs — AuditTableName with Export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publishes the table name for other stacks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your own template imports this in task 12</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it does NOT create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API, no queue, no function — those are yours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it is the boundary of the provided work</w:t>
            </w:r>
          </w:p>
        </w:tc>
      </w:tr>
    </w:tbl>
    <w:p/>
    <w:p>
      <w:pPr>
        <w:spacing w:after="40"/>
      </w:pPr>
      <w:r>
        <w:rPr>
          <w:b w:val="0"/>
          <w:i/>
          <w:color w:val="6B6660"/>
          <w:sz w:val="18"/>
        </w:rPr>
        <w:t>Evidences: [ICTCLD505 PC 2.1] · [ICTCLD505 PC 2.2] · [ICTCLD505 KE 5] · [ICTCLD505 FS Reading]</w:t>
      </w:r>
    </w:p>
    <w:p>
      <w:pPr>
        <w:spacing w:after="120"/>
      </w:pPr>
      <w:r>
        <w:rPr>
          <w:b/>
          <w:color w:val="6B6660"/>
          <w:sz w:val="18"/>
        </w:rPr>
        <w:t xml:space="preserve">Satisfactory when </w:t>
      </w:r>
      <w:r>
        <w:rPr>
          <w:i/>
          <w:color w:val="6B6660"/>
          <w:sz w:val="18"/>
        </w:rPr>
        <w:t>the student identifies the single DynamoDB table, the parameter that names it, the export that other stacks consume, and the section structure of the template itself (Parameters, Resources, Outputs). Recognising that the Export is the dependency their own stack will consume is what PC 2.2's 'any dependencies' is asking for.</w:t>
      </w:r>
    </w:p>
    <w:p>
      <w:pPr>
        <w:spacing w:before="200" w:after="0"/>
      </w:pPr>
      <w:r>
        <w:rPr>
          <w:b/>
          <w:color w:val="1F5A5C"/>
          <w:sz w:val="16"/>
        </w:rPr>
        <w:t>TASK 6</w:t>
      </w:r>
    </w:p>
    <w:p>
      <w:pPr>
        <w:pStyle w:val="Heading2"/>
      </w:pPr>
      <w:r>
        <w:rPr>
          <w:color w:val="1F5A5C"/>
        </w:rPr>
        <w:t>Deploy the provided template</w:t>
      </w:r>
    </w:p>
    <w:p>
      <w:pPr>
        <w:spacing w:after="120"/>
      </w:pPr>
      <w:r>
        <w:rPr>
          <w:b w:val="0"/>
          <w:i w:val="0"/>
          <w:sz w:val="21"/>
        </w:rPr>
        <w:t>Deploy the provided template using the infrastructure-as-code service's tooling. Use the console or the command line — your choice, but say which you used and why. It will not succeed. Capture what happens.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Tooling used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console or CLI — name it, and why you chose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Stack name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yat-audit-store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Parameter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EnvName=dev</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Result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stack did not reach CREATE_COMPLETE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[ICTCLD505 PC 2.3] · [ICTCLD505 PE 1] · [ICTCLD505 PE 3] · [ICTCLD505 KE 6] · [ICTCLD503 PE 4]</w:t>
      </w:r>
    </w:p>
    <w:p>
      <w:pPr>
        <w:spacing w:after="120"/>
      </w:pPr>
      <w:r>
        <w:rPr>
          <w:b/>
          <w:color w:val="6B6660"/>
          <w:sz w:val="18"/>
        </w:rPr>
        <w:t xml:space="preserve">Satisfactory when </w:t>
      </w:r>
      <w:r>
        <w:rPr>
          <w:i/>
          <w:color w:val="6B6660"/>
          <w:sz w:val="18"/>
        </w:rPr>
        <w:t>the student runs a real deployment with the service's own tooling and captures the failure rather than pre-emptively fixing the template. Naming the tool used (console, CLI, or SDK) satisfies KE 6 and the PE 3 items in both units. A student who fixed the fault before deploying has skipped the evidence for task 7 and should be sent back to deploy it as supplied.</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failed stack showing its status and the failure reason</w:t>
            </w:r>
          </w:p>
        </w:tc>
      </w:tr>
    </w:tbl>
    <w:p/>
    <w:p>
      <w:pPr>
        <w:spacing w:before="200" w:after="0"/>
      </w:pPr>
      <w:r>
        <w:rPr>
          <w:b/>
          <w:color w:val="1F5A5C"/>
          <w:sz w:val="16"/>
        </w:rPr>
        <w:t>TASK 7</w:t>
      </w:r>
    </w:p>
    <w:p>
      <w:pPr>
        <w:pStyle w:val="Heading2"/>
      </w:pPr>
      <w:r>
        <w:rPr>
          <w:color w:val="1F5A5C"/>
        </w:rPr>
        <w:t>Diagnose and fix the failure</w:t>
      </w:r>
    </w:p>
    <w:p>
      <w:pPr>
        <w:spacing w:after="120"/>
      </w:pPr>
      <w:r>
        <w:rPr>
          <w:b w:val="0"/>
          <w:i w:val="0"/>
          <w:sz w:val="21"/>
        </w:rPr>
        <w:t>The template does not deploy as supplied. Read the error before changing anything. Work out what is actually wrong, fix it, and redeploy. Record the error you saw, what you worked out, and the change you made — this task is about the diagnosis, not the fix.</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Diagnosis</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answer</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error message you saw</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key schema references an attribute not present in the attribute definitions</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you worked out it meant</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AttributeDefinitions declares `id`; KeySchema uses `event_id`; they must agree</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change you made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renamed the attribute definition to `event_id`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Why that fix and not the other one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provided handler and the webhook contract both use event_id, so the key must be event_id</w:t>
            </w:r>
          </w:p>
        </w:tc>
      </w:tr>
    </w:tbl>
    <w:p/>
    <w:p>
      <w:pPr>
        <w:spacing w:after="40"/>
      </w:pPr>
      <w:r>
        <w:rPr>
          <w:b w:val="0"/>
          <w:i/>
          <w:color w:val="6B6660"/>
          <w:sz w:val="18"/>
        </w:rPr>
        <w:t>Evidences: [ICTCLD505 PC 2.6] · [ICTCLD505 KE 7] · [ICTCLD505 FS Problem solving] · [ICTCLD503 KE 5]</w:t>
      </w:r>
    </w:p>
    <w:p>
      <w:pPr>
        <w:spacing w:after="120"/>
      </w:pPr>
      <w:r>
        <w:rPr>
          <w:b/>
          <w:color w:val="6B6660"/>
          <w:sz w:val="18"/>
        </w:rPr>
        <w:t xml:space="preserve">Satisfactory when </w:t>
      </w:r>
      <w:r>
        <w:rPr>
          <w:i/>
          <w:color w:val="6B6660"/>
          <w:sz w:val="18"/>
        </w:rPr>
        <w:t>the student identifies the real fault: the table declares an attribute named `id` in AttributeDefinitions but uses `event_id` as the key in KeySchema, and every attribute in the key schema must be defined. Either correction is acceptable — renaming the definition to `event_id` is the one that matches the webhook contract and the provided handler, and a student who notices that has read further than the error message. Guessing changes until it works, with no diagnosis recorded, has not met PC 2.6.</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stack reaching CREATE_COMPLETE after your fix</w:t>
            </w:r>
          </w:p>
        </w:tc>
      </w:tr>
    </w:tbl>
    <w:p/>
    <w:p>
      <w:pPr>
        <w:spacing w:before="200" w:after="0"/>
      </w:pPr>
      <w:r>
        <w:rPr>
          <w:b/>
          <w:color w:val="1F5A5C"/>
          <w:sz w:val="16"/>
        </w:rPr>
        <w:t>TASK 8</w:t>
      </w:r>
    </w:p>
    <w:p>
      <w:pPr>
        <w:pStyle w:val="Heading2"/>
      </w:pPr>
      <w:r>
        <w:rPr>
          <w:color w:val="1F5A5C"/>
        </w:rPr>
        <w:t>Confirm the deployment</w:t>
      </w:r>
    </w:p>
    <w:p>
      <w:pPr>
        <w:spacing w:after="120"/>
      </w:pPr>
      <w:r>
        <w:rPr>
          <w:b w:val="0"/>
          <w:i w:val="0"/>
          <w:sz w:val="21"/>
        </w:rPr>
        <w:t>Confirm the resources actually exist and are configured the way the template said. Do not take the stack's success message as proof — go and look at the resource itself, using the console or the command line.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confirmed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confirmed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saw</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table exists with the expected name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console or CLI</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yat-audit-dev</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partition key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table's key schema</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event_id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tags applied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table's tags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Project, Environment, DataClassification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stack output and export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stack's Outputs tab</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exported table name</w:t>
            </w:r>
          </w:p>
        </w:tc>
      </w:tr>
    </w:tbl>
    <w:p/>
    <w:p>
      <w:pPr>
        <w:spacing w:after="40"/>
      </w:pPr>
      <w:r>
        <w:rPr>
          <w:b w:val="0"/>
          <w:i/>
          <w:color w:val="6B6660"/>
          <w:sz w:val="18"/>
        </w:rPr>
        <w:t>Evidences: [ICTCLD505 PC 2.4] · [ICTCLD505 PE 3] · [ICTCLD503 PE 4]</w:t>
      </w:r>
    </w:p>
    <w:p>
      <w:pPr>
        <w:spacing w:after="120"/>
      </w:pPr>
      <w:r>
        <w:rPr>
          <w:b/>
          <w:color w:val="6B6660"/>
          <w:sz w:val="18"/>
        </w:rPr>
        <w:t xml:space="preserve">Satisfactory when </w:t>
      </w:r>
      <w:r>
        <w:rPr>
          <w:i/>
          <w:color w:val="6B6660"/>
          <w:sz w:val="18"/>
        </w:rPr>
        <w:t>the student inspects the created table itself rather than only the stack, and confirms the name, the key and the tags against the template. PC 2.4 says 'confirm deployments … using cloud platform console or command line tools', so the evidence must show the resource, not the stack event list.</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deployed table showing its name, key schema and tags</w:t>
            </w:r>
          </w:p>
        </w:tc>
      </w:tr>
    </w:tbl>
    <w:p/>
    <w:p>
      <w:pPr>
        <w:spacing w:before="200" w:after="0"/>
      </w:pPr>
      <w:r>
        <w:rPr>
          <w:b/>
          <w:color w:val="1F5A5C"/>
          <w:sz w:val="16"/>
        </w:rPr>
        <w:t>TASK 9</w:t>
      </w:r>
    </w:p>
    <w:p>
      <w:pPr>
        <w:pStyle w:val="Heading2"/>
      </w:pPr>
      <w:r>
        <w:rPr>
          <w:color w:val="1F5A5C"/>
        </w:rPr>
        <w:t>Update the provided template and redeploy</w:t>
      </w:r>
    </w:p>
    <w:p>
      <w:pPr>
        <w:spacing w:after="120"/>
      </w:pPr>
      <w:r>
        <w:rPr>
          <w:b w:val="0"/>
          <w:i w:val="0"/>
          <w:sz w:val="21"/>
        </w:rPr>
        <w:t>Change the parameter and redeploy the same template, so the stack modifies what is already there rather than creating something new. Record what changed and — more importantly — what happened to the resource that already existed.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change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redeployed with EnvName=prod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the service did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created a new table and removed the old one — the name is part of its identity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that means for real data</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update like this in production would destroy the audit records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Which task warned you</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3 — the replace-rather-than-update risk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[ICTCLD505 PC 2.3] · [ICTCLD505 PE 1] · [ICTCLD505 KE 10]</w:t>
      </w:r>
    </w:p>
    <w:p>
      <w:pPr>
        <w:spacing w:after="120"/>
      </w:pPr>
      <w:r>
        <w:rPr>
          <w:b/>
          <w:color w:val="6B6660"/>
          <w:sz w:val="18"/>
        </w:rPr>
        <w:t xml:space="preserve">Satisfactory when </w:t>
      </w:r>
      <w:r>
        <w:rPr>
          <w:i/>
          <w:color w:val="6B6660"/>
          <w:sz w:val="18"/>
        </w:rPr>
        <w:t>the student redeploys with EnvName=prod and observes what the platform does. The table name is part of the resource's identity, so this update REPLACES the table rather than renaming it — a student who notices that, and connects it to the destructive-update risk they identified in task 3, has understood something the task is really testing. Noticing is what is marked, not predicting it in advance.</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stack update, and the resulting table</w:t>
            </w:r>
          </w:p>
        </w:tc>
      </w:tr>
    </w:tbl>
    <w:p/>
    <w:p>
      <w:pPr>
        <w:spacing w:before="200" w:after="0"/>
      </w:pPr>
      <w:r>
        <w:rPr>
          <w:b/>
          <w:color w:val="1F5A5C"/>
          <w:sz w:val="16"/>
        </w:rPr>
        <w:t>TASK 10</w:t>
      </w:r>
    </w:p>
    <w:p>
      <w:pPr>
        <w:pStyle w:val="Heading2"/>
      </w:pPr>
      <w:r>
        <w:rPr>
          <w:color w:val="1F5A5C"/>
        </w:rPr>
        <w:t>Return the store to a known state</w:t>
      </w:r>
    </w:p>
    <w:p>
      <w:pPr>
        <w:spacing w:after="120"/>
      </w:pPr>
      <w:r>
        <w:rPr>
          <w:b w:val="0"/>
          <w:i w:val="0"/>
          <w:sz w:val="21"/>
        </w:rPr>
        <w:t>You need the data store running with EnvName=dev for the rest of this build. Put it back there, and confirm it. Say what you did — whether you updated again or removed and redeployed — and why that was the right way round.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Confirmed how</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Returned the store to EnvName=dev</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Confirmed the table name and key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Confirmed the export is available for your own stack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[ICTCLD505 PC 2.3] · [ICTCLD505 PC 2.4]</w:t>
      </w:r>
    </w:p>
    <w:p>
      <w:pPr>
        <w:spacing w:after="120"/>
      </w:pPr>
      <w:r>
        <w:rPr>
          <w:b/>
          <w:color w:val="6B6660"/>
          <w:sz w:val="18"/>
        </w:rPr>
        <w:t xml:space="preserve">Satisfactory when </w:t>
      </w:r>
      <w:r>
        <w:rPr>
          <w:i/>
          <w:color w:val="6B6660"/>
          <w:sz w:val="18"/>
        </w:rPr>
        <w:t>the store ends this task deployed at EnvName=dev and confirmed. Either route is acceptable; what is marked is that the student knew the state they needed and verified they had it, rather than assuming.</w:t>
      </w:r>
    </w:p>
    <w:p>
      <w:pPr>
        <w:spacing w:before="200" w:after="0"/>
      </w:pPr>
      <w:r>
        <w:rPr>
          <w:b/>
          <w:color w:val="1F5A5C"/>
          <w:sz w:val="16"/>
        </w:rPr>
        <w:t>TASK 11</w:t>
      </w:r>
    </w:p>
    <w:p>
      <w:pPr>
        <w:pStyle w:val="Heading2"/>
      </w:pPr>
      <w:r>
        <w:rPr>
          <w:color w:val="1F5A5C"/>
        </w:rPr>
        <w:t>Review the microservice code and contract</w:t>
      </w:r>
    </w:p>
    <w:p>
      <w:pPr>
        <w:spacing w:after="120"/>
      </w:pPr>
      <w:r>
        <w:rPr>
          <w:b w:val="0"/>
          <w:i w:val="0"/>
          <w:sz w:val="21"/>
        </w:rPr>
        <w:t>Read the provided handler and the webhook contract above. Work out what the code expects from the infrastructure you are about to build — what it reads, what it writes, what it needs to be told, and what permissions it will need. Everything your template has to provide is discoverable from these two things.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code needs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you found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your template must provide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To be triggered by queue messages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handler reads event['Records']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event source mapping from the queue to the function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table name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os.environ.get('AUDIT_TABLE')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environment variable set from the provided stack's export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Permission to write to the table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table.put_item(...)</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role allowing write access to that table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Python 3.12 runtime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module docstring; boto3 is supplied by the runtime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runtime setting — no dependency packaging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Something to receive the HTTP call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webhook contract — POST to an endpoint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HTTP API that puts the body on the queue</w:t>
            </w:r>
          </w:p>
        </w:tc>
      </w:tr>
    </w:tbl>
    <w:p/>
    <w:p>
      <w:pPr>
        <w:spacing w:after="40"/>
      </w:pPr>
      <w:r>
        <w:rPr>
          <w:b w:val="0"/>
          <w:i/>
          <w:color w:val="6B6660"/>
          <w:sz w:val="18"/>
        </w:rPr>
        <w:t>Evidences: [ICTCLD503 PC 3.1] · [ICTCLD505 FS Reading]</w:t>
      </w:r>
    </w:p>
    <w:p>
      <w:pPr>
        <w:spacing w:after="120"/>
      </w:pPr>
      <w:r>
        <w:rPr>
          <w:b/>
          <w:color w:val="6B6660"/>
          <w:sz w:val="18"/>
        </w:rPr>
        <w:t xml:space="preserve">Satisfactory when </w:t>
      </w:r>
      <w:r>
        <w:rPr>
          <w:i/>
          <w:color w:val="6B6660"/>
          <w:sz w:val="18"/>
        </w:rPr>
        <w:t>the student extracts the infrastructure requirements from the code rather than guessing: the function is triggered by the queue, it reads the table name from an AUDIT_TABLE environment variable, and it needs write permission on that table. PC 3.1 is 'review microservice design and code components' — a student who starts authoring without this task has nothing to build against.</w:t>
      </w:r>
    </w:p>
    <w:p>
      <w:pPr>
        <w:spacing w:before="200" w:after="0"/>
      </w:pPr>
      <w:r>
        <w:rPr>
          <w:b/>
          <w:color w:val="1F5A5C"/>
          <w:sz w:val="16"/>
        </w:rPr>
        <w:t>TASK 12</w:t>
      </w:r>
    </w:p>
    <w:p>
      <w:pPr>
        <w:pStyle w:val="Heading2"/>
      </w:pPr>
      <w:r>
        <w:rPr>
          <w:color w:val="1F5A5C"/>
        </w:rPr>
        <w:t>Author your template</w:t>
      </w:r>
    </w:p>
    <w:p>
      <w:pPr>
        <w:spacing w:after="120"/>
      </w:pPr>
      <w:r>
        <w:rPr>
          <w:b w:val="0"/>
          <w:i w:val="0"/>
          <w:sz w:val="21"/>
        </w:rPr>
        <w:t>Write the infrastructure-as-code template that deploys the microservice. It provisions the API, the queue and the function, sets the function's environment variable from the provided stack's export, and grants the permissions the function needs. Record the structure of what you wrote — the actual file is submitted with this worksheet.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Section of your template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put in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Parameters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EnvName, matching the provided stack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two stacks have to agree on which environment they are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HTTP API</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endpoint that accepts POST and puts the body on the queue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single integration point the contract defines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queue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standard queue between the API and the function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decoupling — the website is not waiting on the write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function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Python 3.12, running the provided handler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processor; the code is provided, the infrastructure is yours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Environment variable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AUDIT_TABLE, from the provided stack's export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how the function finds the table without it being hard-coded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Permissions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write access to the table, and read from the queue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least privilege — only what the handler actually does</w:t>
            </w:r>
          </w:p>
        </w:tc>
      </w:tr>
    </w:tbl>
    <w:p/>
    <w:p>
      <w:pPr>
        <w:spacing w:after="40"/>
      </w:pPr>
      <w:r>
        <w:rPr>
          <w:b w:val="0"/>
          <w:i/>
          <w:color w:val="6B6660"/>
          <w:sz w:val="18"/>
        </w:rPr>
        <w:t>Evidences: [ICTCLD505 PC 3.1] · [ICTCLD505 PC 3.2] · [ICTCLD505 KE 5] · [ICTCLD505 KE 9]</w:t>
      </w:r>
    </w:p>
    <w:p>
      <w:pPr>
        <w:spacing w:after="120"/>
      </w:pPr>
      <w:r>
        <w:rPr>
          <w:b/>
          <w:color w:val="6B6660"/>
          <w:sz w:val="18"/>
        </w:rPr>
        <w:t xml:space="preserve">Satisfactory when </w:t>
      </w:r>
      <w:r>
        <w:rPr>
          <w:i/>
          <w:color w:val="6B6660"/>
          <w:sz w:val="18"/>
        </w:rPr>
        <w:t>the template provisions a set of RELATED resources — API, queue, function, permissions — rather than one resource, and connects to the provided store through its export or an equivalent parameter. KE 9 (industry standard practices) is evidenced by the template being structured and readable: named parameters, sensible logical IDs, described outputs. A template that hard-codes the table name has not connected to the provided stack the way task 11 established.</w:t>
      </w:r>
    </w:p>
    <w:p>
      <w:pPr>
        <w:spacing w:before="200" w:after="0"/>
      </w:pPr>
      <w:r>
        <w:rPr>
          <w:b/>
          <w:color w:val="1F5A5C"/>
          <w:sz w:val="16"/>
        </w:rPr>
        <w:t>TASK 13</w:t>
      </w:r>
    </w:p>
    <w:p>
      <w:pPr>
        <w:pStyle w:val="Heading2"/>
      </w:pPr>
      <w:r>
        <w:rPr>
          <w:color w:val="1F5A5C"/>
        </w:rPr>
        <w:t>Deploy your template</w:t>
      </w:r>
    </w:p>
    <w:p>
      <w:pPr>
        <w:spacing w:after="120"/>
      </w:pPr>
      <w:r>
        <w:rPr>
          <w:b w:val="0"/>
          <w:i w:val="0"/>
          <w:sz w:val="21"/>
        </w:rPr>
        <w:t>Deploy your own template. Expect it to take more than one attempt — that is normal for a first template and it is not a mark against you. Record the attempts.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Attempt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changed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1</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2</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3</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Final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stack reached CREATE_COMPLETE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t>
            </w:r>
          </w:p>
        </w:tc>
      </w:tr>
    </w:tbl>
    <w:p/>
    <w:p>
      <w:pPr>
        <w:spacing w:after="40"/>
      </w:pPr>
      <w:r>
        <w:rPr>
          <w:b w:val="0"/>
          <w:i/>
          <w:color w:val="6B6660"/>
          <w:sz w:val="18"/>
        </w:rPr>
        <w:t>Evidences: [ICTCLD505 PC 3.2] · [ICTCLD505 PE 2] · [ICTCLD503 PC 3.2] · [ICTCLD503 PE 3]</w:t>
      </w:r>
    </w:p>
    <w:p>
      <w:pPr>
        <w:spacing w:after="120"/>
      </w:pPr>
      <w:r>
        <w:rPr>
          <w:b/>
          <w:color w:val="6B6660"/>
          <w:sz w:val="18"/>
        </w:rPr>
        <w:t xml:space="preserve">Satisfactory when </w:t>
      </w:r>
      <w:r>
        <w:rPr>
          <w:i/>
          <w:color w:val="6B6660"/>
          <w:sz w:val="18"/>
        </w:rPr>
        <w:t>the student's own template reaches a successful deployment and the stack creates the API, the queue and the function. PE 2 requires the student to create and run at least one template of their own — this task is where that is evidenced, and it must be the student's own file, not the provided one modified.</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your stack showing CREATE_COMPLETE and the resources it created</w:t>
            </w:r>
          </w:p>
        </w:tc>
      </w:tr>
    </w:tbl>
    <w:p/>
    <w:p>
      <w:pPr>
        <w:spacing w:before="200" w:after="0"/>
      </w:pPr>
      <w:r>
        <w:rPr>
          <w:b/>
          <w:color w:val="1F5A5C"/>
          <w:sz w:val="16"/>
        </w:rPr>
        <w:t>TASK 14</w:t>
      </w:r>
    </w:p>
    <w:p>
      <w:pPr>
        <w:pStyle w:val="Heading2"/>
      </w:pPr>
      <w:r>
        <w:rPr>
          <w:color w:val="1F5A5C"/>
        </w:rPr>
        <w:t>Confirm your deployment</w:t>
      </w:r>
    </w:p>
    <w:p>
      <w:pPr>
        <w:spacing w:after="120"/>
      </w:pPr>
      <w:r>
        <w:rPr>
          <w:b w:val="0"/>
          <w:i w:val="0"/>
          <w:sz w:val="21"/>
        </w:rPr>
        <w:t>Confirm the resources your template created, using the console or the command line. Check the wiring, not just the existence — the function has to be connected to the queue, and it has to know the table name.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Resource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checked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saw</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HTTP API</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endpoint URL exists and is an output of your stack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Queue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created, and named as your template said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created, Python 3.12, running the provided handler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Trigger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queue is an event source for the function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Environment variable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AUDIT_TABLE holds the real table name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[ICTCLD505 PC 3.4] · [ICTCLD505 PE 3] · [ICTCLD503 PE 4]</w:t>
      </w:r>
    </w:p>
    <w:p>
      <w:pPr>
        <w:spacing w:after="120"/>
      </w:pPr>
      <w:r>
        <w:rPr>
          <w:b/>
          <w:color w:val="6B6660"/>
          <w:sz w:val="18"/>
        </w:rPr>
        <w:t xml:space="preserve">Satisfactory when </w:t>
      </w:r>
      <w:r>
        <w:rPr>
          <w:i/>
          <w:color w:val="6B6660"/>
          <w:sz w:val="18"/>
        </w:rPr>
        <w:t>the student confirms the API endpoint, the queue, the function, the event source mapping between queue and function, and the AUDIT_TABLE environment variable holding the real table name. Checking the environment variable is the one that separates a student who confirmed from one who glanced.</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function's configuration showing its trigger and environment variable</w:t>
            </w:r>
          </w:p>
        </w:tc>
      </w:tr>
    </w:tbl>
    <w:p/>
    <w:p>
      <w:pPr>
        <w:spacing w:before="200" w:after="0"/>
      </w:pPr>
      <w:r>
        <w:rPr>
          <w:b/>
          <w:color w:val="1F5A5C"/>
          <w:sz w:val="16"/>
        </w:rPr>
        <w:t>TASK 15</w:t>
      </w:r>
    </w:p>
    <w:p>
      <w:pPr>
        <w:pStyle w:val="Heading2"/>
      </w:pPr>
      <w:r>
        <w:rPr>
          <w:color w:val="1F5A5C"/>
        </w:rPr>
        <w:t>Test the microservice end to end</w:t>
      </w:r>
    </w:p>
    <w:p>
      <w:pPr>
        <w:spacing w:after="120"/>
      </w:pPr>
      <w:r>
        <w:rPr>
          <w:b w:val="0"/>
          <w:i w:val="0"/>
          <w:sz w:val="21"/>
        </w:rPr>
        <w:t>Send a real event through the contract and confirm it arrives in the store. Use the payload shape from the webhook contract above. Then send one that breaks the contract — a missing field or an invalid cohort — and record what happens to it.</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Test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sent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expected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Valid event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 complete payload per the contract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200 accepted, and one record in the table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record itself</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all six fields present and correct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Duplicate event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same payload again, same event_id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 second record — the write is conditional</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Invalid event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 payload missing a required field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rejected and logged; nothing written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[ICTCLD503 PC 3.3] · [ICTCLD503 PE 3] · [ICTCLD505 PE 3]</w:t>
      </w:r>
    </w:p>
    <w:p>
      <w:pPr>
        <w:spacing w:after="120"/>
      </w:pPr>
      <w:r>
        <w:rPr>
          <w:b/>
          <w:color w:val="6B6660"/>
          <w:sz w:val="18"/>
        </w:rPr>
        <w:t xml:space="preserve">Satisfactory when </w:t>
      </w:r>
      <w:r>
        <w:rPr>
          <w:i/>
          <w:color w:val="6B6660"/>
          <w:sz w:val="18"/>
        </w:rPr>
        <w:t>a valid event is posted and the resulting record is shown in the table; an invalid event is posted and the student can say what became of it (the handler rejects it and logs the reason — it is not written). Testing only the happy path has half-met PC 3.3, which asks the student to confirm the application is functioning.</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request and its response</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record in the table</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function log showing the rejection of the invalid event</w:t>
            </w:r>
          </w:p>
        </w:tc>
      </w:tr>
    </w:tbl>
    <w:p/>
    <w:p>
      <w:pPr>
        <w:spacing w:before="200" w:after="0"/>
      </w:pPr>
      <w:r>
        <w:rPr>
          <w:b/>
          <w:color w:val="1F5A5C"/>
          <w:sz w:val="16"/>
        </w:rPr>
        <w:t>TASK 16</w:t>
      </w:r>
    </w:p>
    <w:p>
      <w:pPr>
        <w:pStyle w:val="Heading2"/>
      </w:pPr>
      <w:r>
        <w:rPr>
          <w:color w:val="1F5A5C"/>
        </w:rPr>
        <w:t>Troubleshoot what went wrong</w:t>
      </w:r>
    </w:p>
    <w:p>
      <w:pPr>
        <w:spacing w:after="120"/>
      </w:pPr>
      <w:r>
        <w:rPr>
          <w:b w:val="0"/>
          <w:i w:val="0"/>
          <w:sz w:val="21"/>
        </w:rPr>
        <w:t>Record what actually broke during tasks 12 to 15 and what you did about it. Every real build has these. An empty table here is not a sign of a perfect build — it is a sign you did not write them down as you went.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Symptom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diagnosed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fix</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Events accepted by the API but no record appears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checked the function log — an access-denied error on the write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added write permission on the table to the function's role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invokes the function at all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queue has messages; the function has no invocations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event source mapping between queue and function was missing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stack fails on the import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export name does not match what the provided stack published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corrected the import to the exact exported name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[ICTCLD505 PC 3.7] · [ICTCLD503 PC 3.4] · [ICTCLD505 KE 7] · [ICTCLD503 KE 5] · [ICTCLD505 FS Problem solving]</w:t>
      </w:r>
    </w:p>
    <w:p>
      <w:pPr>
        <w:spacing w:after="120"/>
      </w:pPr>
      <w:r>
        <w:rPr>
          <w:b/>
          <w:color w:val="6B6660"/>
          <w:sz w:val="18"/>
        </w:rPr>
        <w:t xml:space="preserve">Satisfactory when </w:t>
      </w:r>
      <w:r>
        <w:rPr>
          <w:i/>
          <w:color w:val="6B6660"/>
          <w:sz w:val="18"/>
        </w:rPr>
        <w:t>at least two genuine problems are recorded with the symptom, the diagnosis and the fix, and the diagnosis shows a method — reading the log, checking the permission, testing the piece in isolation. Common real ones: the function lacks write permission, the event source mapping is missing so nothing is consumed, or the import name does not match the provided stack's export.</w:t>
      </w:r>
    </w:p>
    <w:p>
      <w:pPr>
        <w:spacing w:before="200" w:after="0"/>
      </w:pPr>
      <w:r>
        <w:rPr>
          <w:b/>
          <w:color w:val="1F5A5C"/>
          <w:sz w:val="16"/>
        </w:rPr>
        <w:t>TASK 17</w:t>
      </w:r>
    </w:p>
    <w:p>
      <w:pPr>
        <w:pStyle w:val="Heading2"/>
      </w:pPr>
      <w:r>
        <w:rPr>
          <w:color w:val="1F5A5C"/>
        </w:rPr>
        <w:t>Parameterise for a second environment</w:t>
      </w:r>
    </w:p>
    <w:p>
      <w:pPr>
        <w:spacing w:after="120"/>
      </w:pPr>
      <w:r>
        <w:rPr>
          <w:b w:val="0"/>
          <w:i w:val="0"/>
          <w:sz w:val="21"/>
        </w:rPr>
        <w:t>Redeploy your template as a second, separate environment by changing configuration only — not by editing resource definitions. This is the thing that makes the India region a parameter rather than a rebuild, which is what the residency requirement asked for. Confirm the two environments are genuinely separate.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Result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Second deployment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same template, different EnvName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you did NOT change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template file itself</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Confirmed separate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distinct API endpoints, queues, functions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this proves for the design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region would be a parameter too — DR-R4 stays open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[ICTCLD505 PC 3.5] · [ICTCLD505 KE 8]</w:t>
      </w:r>
    </w:p>
    <w:p>
      <w:pPr>
        <w:spacing w:after="120"/>
      </w:pPr>
      <w:r>
        <w:rPr>
          <w:b/>
          <w:color w:val="6B6660"/>
          <w:sz w:val="18"/>
        </w:rPr>
        <w:t xml:space="preserve">Satisfactory when </w:t>
      </w:r>
      <w:r>
        <w:rPr>
          <w:i/>
          <w:color w:val="6B6660"/>
          <w:sz w:val="18"/>
        </w:rPr>
        <w:t>the student deploys a second stack from the same template with a different parameter, and both exist independently with distinct resource names. KE 8 (parameterisation to support configuration and code reuse) is evidenced by the template being reused unchanged — a student who copied the file and edited it has not parameterised anything.</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both stacks existing side by side</w:t>
            </w:r>
          </w:p>
        </w:tc>
      </w:tr>
    </w:tbl>
    <w:p/>
    <w:p>
      <w:pPr>
        <w:spacing w:before="200" w:after="0"/>
      </w:pPr>
      <w:r>
        <w:rPr>
          <w:b/>
          <w:color w:val="1F5A5C"/>
          <w:sz w:val="16"/>
        </w:rPr>
        <w:t>TASK 18</w:t>
      </w:r>
    </w:p>
    <w:p>
      <w:pPr>
        <w:pStyle w:val="Heading2"/>
      </w:pPr>
      <w:r>
        <w:rPr>
          <w:color w:val="1F5A5C"/>
        </w:rPr>
        <w:t>Update your template to add a resource</w:t>
      </w:r>
    </w:p>
    <w:p>
      <w:pPr>
        <w:spacing w:after="120"/>
      </w:pPr>
      <w:r>
        <w:rPr>
          <w:b w:val="0"/>
          <w:i w:val="0"/>
          <w:sz w:val="21"/>
        </w:rPr>
        <w:t>Modify your template to add a new resource, and redeploy so the existing stack is updated rather than replaced. A dead-letter queue for messages the function could not process is the sensible addition — it is what the DR plan's retention argument assumed. Record what the update did to what was already there.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Change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added or modified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update did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New resource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dead-letter queue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Modified resource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main queue, to redrive to it after N failures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API and the function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Why this addition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failed events are retained rather than lost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[ICTCLD505 PC 3.3] · [ICTCLD505 KE 10]</w:t>
      </w:r>
    </w:p>
    <w:p>
      <w:pPr>
        <w:spacing w:after="120"/>
      </w:pPr>
      <w:r>
        <w:rPr>
          <w:b/>
          <w:color w:val="6B6660"/>
          <w:sz w:val="18"/>
        </w:rPr>
        <w:t xml:space="preserve">Satisfactory when </w:t>
      </w:r>
      <w:r>
        <w:rPr>
          <w:i/>
          <w:color w:val="6B6660"/>
          <w:sz w:val="18"/>
        </w:rPr>
        <w:t>a new resource is added by updating the existing stack, and the student can say which existing resources were modified and which were left alone. PC 3.3 is specifically 'update and redeploy … to modify previously deployed resources AND add new resources', so both halves must appear.</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updated stack showing the new resource</w:t>
            </w:r>
          </w:p>
        </w:tc>
      </w:tr>
    </w:tbl>
    <w:p/>
    <w:p>
      <w:pPr>
        <w:spacing w:before="200" w:after="0"/>
      </w:pPr>
      <w:r>
        <w:rPr>
          <w:b/>
          <w:color w:val="1F5A5C"/>
          <w:sz w:val="16"/>
        </w:rPr>
        <w:t>TASK 19</w:t>
      </w:r>
    </w:p>
    <w:p>
      <w:pPr>
        <w:pStyle w:val="Heading2"/>
      </w:pPr>
      <w:r>
        <w:rPr>
          <w:color w:val="1F5A5C"/>
        </w:rPr>
        <w:t>Set up a metric and an alarm</w:t>
      </w:r>
    </w:p>
    <w:p>
      <w:pPr>
        <w:spacing w:after="120"/>
      </w:pPr>
      <w:r>
        <w:rPr>
          <w:b w:val="0"/>
          <w:i w:val="0"/>
          <w:sz w:val="21"/>
        </w:rPr>
        <w:t>Set up monitoring for the service you have built: a metric that tells you it is healthy, and an alarm that fires when it is not. Say what the alarm means in business terms — what has actually gone wrong for YAT when it fires.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Metric</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Alarm condition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means has gone wrong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Age of the oldest message on the queue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older than a threshold you set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events are arriving but not being written — the residency obligation is at risk</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 errors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any errors in a period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writer is failing; messages will end up in the dead-letter queue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Dead-letter queue depth</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greater than zero</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events have been abandoned after retries and need manual attention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Who is notified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on-call YAT ICT address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t>
            </w:r>
          </w:p>
        </w:tc>
      </w:tr>
    </w:tbl>
    <w:p/>
    <w:p>
      <w:pPr>
        <w:spacing w:after="40"/>
      </w:pPr>
      <w:r>
        <w:rPr>
          <w:b w:val="0"/>
          <w:i/>
          <w:color w:val="6B6660"/>
          <w:sz w:val="18"/>
        </w:rPr>
        <w:t>Evidences: [ICTCLD503 PC 4.1]</w:t>
      </w:r>
    </w:p>
    <w:p>
      <w:pPr>
        <w:spacing w:after="120"/>
      </w:pPr>
      <w:r>
        <w:rPr>
          <w:b/>
          <w:color w:val="6B6660"/>
          <w:sz w:val="18"/>
        </w:rPr>
        <w:t xml:space="preserve">Satisfactory when </w:t>
      </w:r>
      <w:r>
        <w:rPr>
          <w:i/>
          <w:color w:val="6B6660"/>
          <w:sz w:val="18"/>
        </w:rPr>
        <w:t>a metric and a working alarm are configured, and the student can say what condition it detects and why that condition matters. Sensible answers: queue depth or message age rising (events are not being written), function errors, or dead-letter queue depth above zero. An alarm on something that does not indicate a problem has not met the item.</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alarm you created, showing its condition and its state</w:t>
            </w:r>
          </w:p>
        </w:tc>
      </w:tr>
    </w:tbl>
    <w:p/>
    <w:p>
      <w:pPr>
        <w:spacing w:before="200" w:after="0"/>
      </w:pPr>
      <w:r>
        <w:rPr>
          <w:b/>
          <w:color w:val="1F5A5C"/>
          <w:sz w:val="16"/>
        </w:rPr>
        <w:t>TASK 20</w:t>
      </w:r>
    </w:p>
    <w:p>
      <w:pPr>
        <w:pStyle w:val="Heading2"/>
      </w:pPr>
      <w:r>
        <w:rPr>
          <w:color w:val="1F5A5C"/>
        </w:rPr>
        <w:t>Write the user documentation</w:t>
      </w:r>
    </w:p>
    <w:p>
      <w:pPr>
        <w:spacing w:after="120"/>
      </w:pPr>
      <w:r>
        <w:rPr>
          <w:b w:val="0"/>
          <w:i w:val="0"/>
          <w:sz w:val="21"/>
        </w:rPr>
        <w:t>Write the user documentation for what you have built. Its reader is the YAT ICT person who has to operate this after you leave and who was not here while you built it. Include your templates — documentation for infrastructure as code that does not contain the code is not documentation. Write it in the box below; attach your template files with this worksheet.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what the service is and what it is for, in two or three sentences an operator can use</w:t>
            </w:r>
          </w:p>
          <w:p>
            <w:pPr>
              <w:jc w:val="left"/>
            </w:pPr>
            <w:r>
              <w:rPr>
                <w:b w:val="0"/>
                <w:i w:val="0"/>
                <w:color w:val="1F5A5C"/>
                <w:sz w:val="19"/>
              </w:rPr>
              <w:t>•  the two stacks, which order they deploy in, and why the store goes first</w:t>
            </w:r>
          </w:p>
          <w:p>
            <w:pPr>
              <w:jc w:val="left"/>
            </w:pPr>
            <w:r>
              <w:rPr>
                <w:b w:val="0"/>
                <w:i w:val="0"/>
                <w:color w:val="1F5A5C"/>
                <w:sz w:val="19"/>
              </w:rPr>
              <w:t>•  every parameter, its allowed values, and what changing it does — including the warning from task 9 that changing EnvName replaces the table</w:t>
            </w:r>
          </w:p>
          <w:p>
            <w:pPr>
              <w:jc w:val="left"/>
            </w:pPr>
            <w:r>
              <w:rPr>
                <w:b w:val="0"/>
                <w:i w:val="0"/>
                <w:color w:val="1F5A5C"/>
                <w:sz w:val="19"/>
              </w:rPr>
              <w:t>•  how to deploy, how to update, and how to remove, with the actual commands</w:t>
            </w:r>
          </w:p>
          <w:p>
            <w:pPr>
              <w:jc w:val="left"/>
            </w:pPr>
            <w:r>
              <w:rPr>
                <w:b w:val="0"/>
                <w:i w:val="0"/>
                <w:color w:val="1F5A5C"/>
                <w:sz w:val="19"/>
              </w:rPr>
              <w:t>•  the templates themselves, included or attached</w:t>
            </w:r>
          </w:p>
          <w:p>
            <w:pPr>
              <w:jc w:val="left"/>
            </w:pPr>
            <w:r>
              <w:rPr>
                <w:b w:val="0"/>
                <w:i w:val="0"/>
                <w:color w:val="1F5A5C"/>
                <w:sz w:val="19"/>
              </w:rPr>
              <w:t>•  what the alarm means when it fires, and the first thing to check</w:t>
            </w:r>
          </w:p>
          <w:p>
            <w:pPr>
              <w:jc w:val="left"/>
            </w:pPr>
            <w:r>
              <w:rPr>
                <w:b w:val="0"/>
                <w:i w:val="0"/>
                <w:color w:val="1F5A5C"/>
                <w:sz w:val="19"/>
              </w:rPr>
              <w:t>•  known limitations — what this does not do</w:t>
            </w:r>
          </w:p>
        </w:tc>
      </w:tr>
    </w:tbl>
    <w:p/>
    <w:p>
      <w:pPr>
        <w:spacing w:after="40"/>
      </w:pPr>
      <w:r>
        <w:rPr>
          <w:b w:val="0"/>
          <w:i/>
          <w:color w:val="6B6660"/>
          <w:sz w:val="18"/>
        </w:rPr>
        <w:t>Evidences: [ICTCLD505 PC 4.1] · [ICTCLD505 PE 4] · [ICTCLD505 FS Writing] · [ICTCLD503 FS Writing]</w:t>
      </w:r>
    </w:p>
    <w:p>
      <w:pPr>
        <w:spacing w:after="120"/>
      </w:pPr>
      <w:r>
        <w:rPr>
          <w:b/>
          <w:color w:val="6B6660"/>
          <w:sz w:val="18"/>
        </w:rPr>
        <w:t xml:space="preserve">Satisfactory when </w:t>
      </w:r>
      <w:r>
        <w:rPr>
          <w:i/>
          <w:color w:val="6B6660"/>
          <w:sz w:val="18"/>
        </w:rPr>
        <w:t>the documentation is written FOR AN OPERATOR, not for the assessor: it says what the service is, how to deploy it, what the parameters mean, how to update it, how to tear it down, and what to do when the alarm fires — and the templates are included. PC 4.1 says 'including cloud infrastructure as code templates', so documentation without them has not met the item. Prose that narrates what the student did during the assessment is a build log, not user documentation.</w:t>
      </w:r>
    </w:p>
    <w:p>
      <w:pPr>
        <w:spacing w:before="200" w:after="0"/>
      </w:pPr>
      <w:r>
        <w:rPr>
          <w:b/>
          <w:color w:val="1F5A5C"/>
          <w:sz w:val="16"/>
        </w:rPr>
        <w:t>TASK 21</w:t>
      </w:r>
    </w:p>
    <w:p>
      <w:pPr>
        <w:pStyle w:val="Heading2"/>
      </w:pPr>
      <w:r>
        <w:rPr>
          <w:color w:val="1F5A5C"/>
        </w:rPr>
        <w:t>Remove what you deployed</w:t>
      </w:r>
    </w:p>
    <w:p>
      <w:pPr>
        <w:spacing w:after="120"/>
      </w:pPr>
      <w:r>
        <w:rPr>
          <w:b w:val="0"/>
          <w:i w:val="0"/>
          <w:sz w:val="21"/>
        </w:rPr>
        <w:t>Tear down everything you created, using the infrastructure-as-code tooling rather than deleting resources by hand. Confirm it is gone. This is part of the lifecycle, not housekeeping — and doing it by hand would leave the templates describing resources that no longer exist.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removed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Confirmed gone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Your second environment stack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via the IaC 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Your microservice stack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via the IaC 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provided data-store stack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via the IaC 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Anything left behind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checked for orphaned resources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[ICTCLD505 PC 2.5] · [ICTCLD505 PC 3.6] · [ICTCLD505 PE 1]</w:t>
      </w:r>
    </w:p>
    <w:p>
      <w:pPr>
        <w:spacing w:after="120"/>
      </w:pPr>
      <w:r>
        <w:rPr>
          <w:b/>
          <w:color w:val="6B6660"/>
          <w:sz w:val="18"/>
        </w:rPr>
        <w:t xml:space="preserve">Satisfactory when </w:t>
      </w:r>
      <w:r>
        <w:rPr>
          <w:i/>
          <w:color w:val="6B6660"/>
          <w:sz w:val="18"/>
        </w:rPr>
        <w:t>both the student's stacks and the provided stack are removed through the service, and the student confirms the resources are gone rather than trusting the delete command. Removing resources by hand in the console has not met the item, which specifies removal using the infrastructure-as-code tools.</w:t>
      </w:r>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SCREENSHOT — the stacks removed, and the resource list showing nothing left behind</w:t>
            </w:r>
          </w:p>
        </w:tc>
      </w:tr>
    </w:tbl>
    <w:p/>
    <w:p>
      <w:pPr>
        <w:spacing w:before="200" w:after="0"/>
      </w:pPr>
      <w:r>
        <w:rPr>
          <w:b/>
          <w:color w:val="1F5A5C"/>
          <w:sz w:val="16"/>
        </w:rPr>
        <w:t>TASK 22</w:t>
      </w:r>
    </w:p>
    <w:p>
      <w:pPr>
        <w:pStyle w:val="Heading2"/>
      </w:pPr>
      <w:r>
        <w:rPr>
          <w:color w:val="1F5A5C"/>
        </w:rPr>
        <w:t>Confirm the build and obtain sign-off</w:t>
      </w:r>
    </w:p>
    <w:p>
      <w:pPr>
        <w:spacing w:after="120"/>
      </w:pPr>
      <w:r>
        <w:rPr>
          <w:b w:val="0"/>
          <w:i w:val="0"/>
          <w:sz w:val="21"/>
        </w:rPr>
        <w:t>Walk Sam Walker (role-played by your assessor) through what you built, confirm it meets what was approved in AT1, ask for feedback, respond to it, and obtain sign-off. Record the conversation and the decision.</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you confirmed against the approved design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microservice matches the AT1 Part A design: API, queue, function, in-region store</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Feedback you sought and were given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How you responded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Approved / Approved with conditions / Not approved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Signed by, and date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Sam Walker, YAT ICT Manager</w:t>
            </w:r>
          </w:p>
        </w:tc>
      </w:tr>
    </w:tbl>
    <w:p/>
    <w:p>
      <w:pPr>
        <w:spacing w:after="40"/>
      </w:pPr>
      <w:r>
        <w:rPr>
          <w:b w:val="0"/>
          <w:i/>
          <w:color w:val="6B6660"/>
          <w:sz w:val="18"/>
        </w:rPr>
        <w:t>Evidences: [ICTCLD503 PC 4.2] · [ICTCLD503 PC 4.3] · [ICTCLD505 PC 4.2] · [ICTCLD505 FS Oral communication]</w:t>
      </w:r>
    </w:p>
    <w:p>
      <w:pPr>
        <w:spacing w:after="120"/>
      </w:pPr>
      <w:r>
        <w:rPr>
          <w:b/>
          <w:color w:val="6B6660"/>
          <w:sz w:val="18"/>
        </w:rPr>
        <w:t xml:space="preserve">Satisfactory when </w:t>
      </w:r>
      <w:r>
        <w:rPr>
          <w:i/>
          <w:color w:val="6B6660"/>
          <w:sz w:val="18"/>
        </w:rPr>
        <w:t>the student confirms the build against the approved design, actively seeks feedback and responds to it with a decision, and obtains recorded sign-off from the required person. PC 4.2 in 503 has three verbs — confirm, seek, respond — and all three must appear. A record showing only 'signed off' has not evidenced the feedback half.</w:t>
      </w:r>
    </w:p>
    <w:p>
      <w:pPr>
        <w:pStyle w:val="Heading1"/>
      </w:pPr>
      <w:r>
        <w:t>Knowledge questions</w:t>
      </w:r>
    </w:p>
    <w:p>
      <w:pPr>
        <w:spacing w:after="200"/>
      </w:pPr>
      <w:r>
        <w:rPr>
          <w:b w:val="0"/>
          <w:i/>
          <w:color w:val="6B6660"/>
          <w:sz w:val="19"/>
        </w:rPr>
        <w:t>Answer these about your own build. Generic answers about infrastructure as code will not pass.</w:t>
      </w:r>
    </w:p>
    <w:p>
      <w:pPr>
        <w:spacing w:before="200" w:after="0"/>
      </w:pPr>
      <w:r>
        <w:rPr>
          <w:b/>
          <w:color w:val="1F5A5C"/>
          <w:sz w:val="16"/>
        </w:rPr>
        <w:t>QUESTION 1</w:t>
      </w:r>
    </w:p>
    <w:p>
      <w:pPr>
        <w:pStyle w:val="Heading2"/>
      </w:pPr>
      <w:r>
        <w:rPr>
          <w:color w:val="1F5A5C"/>
        </w:rPr>
        <w:t>Which industry standards and standard products does your build rely on?</w:t>
      </w:r>
    </w:p>
    <w:p>
      <w:pPr>
        <w:spacing w:after="120"/>
      </w:pPr>
      <w:r>
        <w:rPr>
          <w:b w:val="0"/>
          <w:i w:val="0"/>
          <w:sz w:val="21"/>
        </w:rPr>
        <w:t>Name the industry technology standards your build uses, and the standard products you deployed — including the storage technology. For each, say what it is and why it was the right sort of thing for this job.</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HTTP and REST for the webhook, and JSON as the payload format — the contract is built on both</w:t>
            </w:r>
          </w:p>
          <w:p>
            <w:pPr>
              <w:jc w:val="left"/>
            </w:pPr>
            <w:r>
              <w:rPr>
                <w:b w:val="0"/>
                <w:i w:val="0"/>
                <w:color w:val="1F5A5C"/>
                <w:sz w:val="19"/>
              </w:rPr>
              <w:t>•  YAML for the templates; ISO-8601 for timestamps; UUIDs as the idempotency key</w:t>
            </w:r>
          </w:p>
          <w:p>
            <w:pPr>
              <w:jc w:val="left"/>
            </w:pPr>
            <w:r>
              <w:rPr>
                <w:b w:val="0"/>
                <w:i w:val="0"/>
                <w:color w:val="1F5A5C"/>
                <w:sz w:val="19"/>
              </w:rPr>
              <w:t>•  TLS on the API endpoint — the events carry an opaque user reference and a source IP</w:t>
            </w:r>
          </w:p>
          <w:p>
            <w:pPr>
              <w:jc w:val="left"/>
            </w:pPr>
            <w:r>
              <w:rPr>
                <w:b w:val="0"/>
                <w:i w:val="0"/>
                <w:color w:val="1F5A5C"/>
                <w:sz w:val="19"/>
              </w:rPr>
              <w:t>•  managed NoSQL storage: key-accessed, append-only, scales with write rate without provisioning</w:t>
            </w:r>
          </w:p>
          <w:p>
            <w:pPr>
              <w:jc w:val="left"/>
            </w:pPr>
            <w:r>
              <w:rPr>
                <w:b w:val="0"/>
                <w:i w:val="0"/>
                <w:color w:val="1F5A5C"/>
                <w:sz w:val="19"/>
              </w:rPr>
              <w:t>•  managed queuing and serverless compute as the standard products for event-driven work</w:t>
            </w:r>
          </w:p>
          <w:p>
            <w:pPr>
              <w:jc w:val="left"/>
            </w:pPr>
            <w:r>
              <w:rPr>
                <w:b w:val="0"/>
                <w:i w:val="0"/>
                <w:color w:val="1F5A5C"/>
                <w:sz w:val="19"/>
              </w:rPr>
              <w:t>•  why NoSQL and not the website's relational database — different access pattern, and it must sit in a different region</w:t>
            </w:r>
          </w:p>
        </w:tc>
      </w:tr>
    </w:tbl>
    <w:p/>
    <w:p>
      <w:pPr>
        <w:spacing w:after="40"/>
      </w:pPr>
      <w:r>
        <w:rPr>
          <w:b w:val="0"/>
          <w:i/>
          <w:color w:val="6B6660"/>
          <w:sz w:val="18"/>
        </w:rPr>
        <w:t>Evidences: [ICTCLD505 KE 1] · [ICTCLD505 KE 2] · [ICTCLD503 KE 1] · [ICTCLD503 KE 2]</w:t>
      </w:r>
    </w:p>
    <w:p>
      <w:pPr>
        <w:spacing w:after="120"/>
      </w:pPr>
      <w:r>
        <w:rPr>
          <w:b/>
          <w:color w:val="6B6660"/>
          <w:sz w:val="18"/>
        </w:rPr>
        <w:t xml:space="preserve">Satisfactory when </w:t>
      </w:r>
      <w:r>
        <w:rPr>
          <w:i/>
          <w:color w:val="6B6660"/>
          <w:sz w:val="18"/>
        </w:rPr>
        <w:t>the student names real standards (HTTP and REST, JSON, YAML, TLS, ISO-8601 timestamps, UUIDs) and real product categories (managed NoSQL storage, managed queuing, serverless compute), and explains the storage choice specifically — KE 2 in both units names storage technology explicitly. This question carries four KE items across two units, so all of standards, products and storage must be addressed.</w:t>
      </w:r>
    </w:p>
    <w:p>
      <w:pPr>
        <w:spacing w:before="200" w:after="0"/>
      </w:pPr>
      <w:r>
        <w:rPr>
          <w:b/>
          <w:color w:val="1F5A5C"/>
          <w:sz w:val="16"/>
        </w:rPr>
        <w:t>QUESTION 2</w:t>
      </w:r>
    </w:p>
    <w:p>
      <w:pPr>
        <w:pStyle w:val="Heading2"/>
      </w:pPr>
      <w:r>
        <w:rPr>
          <w:color w:val="1F5A5C"/>
        </w:rPr>
        <w:t>How did you test and debug your work?</w:t>
      </w:r>
    </w:p>
    <w:p>
      <w:pPr>
        <w:spacing w:after="120"/>
      </w:pPr>
      <w:r>
        <w:rPr>
          <w:b w:val="0"/>
          <w:i w:val="0"/>
          <w:sz w:val="21"/>
        </w:rPr>
        <w:t>Describe the techniques you actually used to test and debug both the templates and the microservice. Point at specific things you found with each technique.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read the stack's failure reason first — that is what found the key-schema fault in task 7</w:t>
            </w:r>
          </w:p>
          <w:p>
            <w:pPr>
              <w:jc w:val="left"/>
            </w:pPr>
            <w:r>
              <w:rPr>
                <w:b w:val="0"/>
                <w:i w:val="0"/>
                <w:color w:val="1F5A5C"/>
                <w:sz w:val="19"/>
              </w:rPr>
              <w:t>•  validating or linting the template before deploying, to catch syntax before it costs a deployment cycle</w:t>
            </w:r>
          </w:p>
          <w:p>
            <w:pPr>
              <w:jc w:val="left"/>
            </w:pPr>
            <w:r>
              <w:rPr>
                <w:b w:val="0"/>
                <w:i w:val="0"/>
                <w:color w:val="1F5A5C"/>
                <w:sz w:val="19"/>
              </w:rPr>
              <w:t>•  function logs to see what the code did with a message</w:t>
            </w:r>
          </w:p>
          <w:p>
            <w:pPr>
              <w:jc w:val="left"/>
            </w:pPr>
            <w:r>
              <w:rPr>
                <w:b w:val="0"/>
                <w:i w:val="0"/>
                <w:color w:val="1F5A5C"/>
                <w:sz w:val="19"/>
              </w:rPr>
              <w:t>•  testing pieces in isolation — put a message on the queue directly, without the API</w:t>
            </w:r>
          </w:p>
          <w:p>
            <w:pPr>
              <w:jc w:val="left"/>
            </w:pPr>
            <w:r>
              <w:rPr>
                <w:b w:val="0"/>
                <w:i w:val="0"/>
                <w:color w:val="1F5A5C"/>
                <w:sz w:val="19"/>
              </w:rPr>
              <w:t>•  a deliberately invalid payload to prove the rejection path works, not just the happy path</w:t>
            </w:r>
          </w:p>
        </w:tc>
      </w:tr>
    </w:tbl>
    <w:p/>
    <w:p>
      <w:pPr>
        <w:spacing w:after="40"/>
      </w:pPr>
      <w:r>
        <w:rPr>
          <w:b w:val="0"/>
          <w:i/>
          <w:color w:val="6B6660"/>
          <w:sz w:val="18"/>
        </w:rPr>
        <w:t>Evidences: [ICTCLD505 KE 7] · [ICTCLD503 KE 5] · [ICTCLD505 FS Self-management]</w:t>
      </w:r>
    </w:p>
    <w:p>
      <w:pPr>
        <w:spacing w:after="120"/>
      </w:pPr>
      <w:r>
        <w:rPr>
          <w:b/>
          <w:color w:val="6B6660"/>
          <w:sz w:val="18"/>
        </w:rPr>
        <w:t xml:space="preserve">Satisfactory when </w:t>
      </w:r>
      <w:r>
        <w:rPr>
          <w:i/>
          <w:color w:val="6B6660"/>
          <w:sz w:val="18"/>
        </w:rPr>
        <w:t>the student describes real techniques — reading stack events and failure reasons, linting or validating the template before deploying, checking function logs, testing components in isolation, sending a deliberately invalid payload — and ties each to something they actually found in tasks 7, 15 or 16. A list of techniques with no findings attached has not met the contextual bar.</w:t>
      </w:r>
    </w:p>
    <w:p>
      <w:pPr>
        <w:spacing w:before="200" w:after="0"/>
      </w:pPr>
      <w:r>
        <w:rPr>
          <w:b/>
          <w:color w:val="1F5A5C"/>
          <w:sz w:val="16"/>
        </w:rPr>
        <w:t>QUESTION 3</w:t>
      </w:r>
    </w:p>
    <w:p>
      <w:pPr>
        <w:pStyle w:val="Heading2"/>
      </w:pPr>
      <w:r>
        <w:rPr>
          <w:color w:val="1F5A5C"/>
        </w:rPr>
        <w:t>How would you manage these templates over time?</w:t>
      </w:r>
    </w:p>
    <w:p>
      <w:pPr>
        <w:spacing w:after="120"/>
      </w:pPr>
      <w:r>
        <w:rPr>
          <w:b w:val="0"/>
          <w:i w:val="0"/>
          <w:sz w:val="21"/>
        </w:rPr>
        <w:t>You are handing this to YAT ICT. Explain how templates like these are managed, provisioned and updated over their life, and what signals or measures would tell YAT whether it is going well.</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templates live in version control; a change is a reviewed change</w:t>
            </w:r>
          </w:p>
          <w:p>
            <w:pPr>
              <w:jc w:val="left"/>
            </w:pPr>
            <w:r>
              <w:rPr>
                <w:b w:val="0"/>
                <w:i w:val="0"/>
                <w:color w:val="1F5A5C"/>
                <w:sz w:val="19"/>
              </w:rPr>
              <w:t>•  preview the effect of an update before applying it, so a replace-not-update is caught before it destroys data</w:t>
            </w:r>
          </w:p>
          <w:p>
            <w:pPr>
              <w:jc w:val="left"/>
            </w:pPr>
            <w:r>
              <w:rPr>
                <w:b w:val="0"/>
                <w:i w:val="0"/>
                <w:color w:val="1F5A5C"/>
                <w:sz w:val="19"/>
              </w:rPr>
              <w:t>•  promote the same template between environments by parameter, never by editing</w:t>
            </w:r>
          </w:p>
          <w:p>
            <w:pPr>
              <w:jc w:val="left"/>
            </w:pPr>
            <w:r>
              <w:rPr>
                <w:b w:val="0"/>
                <w:i w:val="0"/>
                <w:color w:val="1F5A5C"/>
                <w:sz w:val="19"/>
              </w:rPr>
              <w:t>•  measures: deployment success rate, how long a deployment takes, how often a change fails and has to roll back</w:t>
            </w:r>
          </w:p>
          <w:p>
            <w:pPr>
              <w:jc w:val="left"/>
            </w:pPr>
            <w:r>
              <w:rPr>
                <w:b w:val="0"/>
                <w:i w:val="0"/>
                <w:color w:val="1F5A5C"/>
                <w:sz w:val="19"/>
              </w:rPr>
              <w:t>•  drift detection — whether what is deployed still matches the template</w:t>
            </w:r>
          </w:p>
          <w:p>
            <w:pPr>
              <w:jc w:val="left"/>
            </w:pPr>
            <w:r>
              <w:rPr>
                <w:b w:val="0"/>
                <w:i w:val="0"/>
                <w:color w:val="1F5A5C"/>
                <w:sz w:val="19"/>
              </w:rPr>
              <w:t>•  the alarm from task 19 is the operational signal; these are the delivery signals</w:t>
            </w:r>
          </w:p>
        </w:tc>
      </w:tr>
    </w:tbl>
    <w:p/>
    <w:p>
      <w:pPr>
        <w:spacing w:after="40"/>
      </w:pPr>
      <w:r>
        <w:rPr>
          <w:b w:val="0"/>
          <w:i/>
          <w:color w:val="6B6660"/>
          <w:sz w:val="18"/>
        </w:rPr>
        <w:t>Evidences: [ICTCLD505 KE 10] · [ICTCLD505 KE 11]</w:t>
      </w:r>
    </w:p>
    <w:p>
      <w:pPr>
        <w:spacing w:after="120"/>
      </w:pPr>
      <w:r>
        <w:rPr>
          <w:b/>
          <w:color w:val="6B6660"/>
          <w:sz w:val="18"/>
        </w:rPr>
        <w:t xml:space="preserve">Satisfactory when </w:t>
      </w:r>
      <w:r>
        <w:rPr>
          <w:i/>
          <w:color w:val="6B6660"/>
          <w:sz w:val="18"/>
        </w:rPr>
        <w:t>the student addresses the template lifecycle — version control, review before deployment, change sets or plans to preview an update, environment promotion — and names measures that indicate health (deployment success rate, time to deploy, drift between template and deployed state, failed-change rate). KE 11 asks for industry standard metrics, so at least one real measure must appear.</w:t>
      </w:r>
    </w:p>
    <w:p>
      <w:pPr>
        <w:pStyle w:val="Heading1"/>
        <w:spacing w:before="280" w:after="120"/>
      </w:pPr>
      <w:r>
        <w:t>Marking Benchmark — UoC traceability (reverse map)</w:t>
      </w:r>
    </w:p>
    <w:p>
      <w:pPr>
        <w:pStyle w:val="Assessortext"/>
        <w:spacing w:after="160"/>
      </w:pPr>
      <w:r>
        <w:t>Every UoC requirement AT2 claims to evidence, with the marking criterion that evidences it. Each workbook element also carries its own 'Evidences' line, where the work is done. Both this table and the criteria lines are generated from those element tags, so they cannot drift from the workbook.</w:t>
      </w:r>
    </w:p>
    <w:p>
      <w:pPr>
        <w:pStyle w:val="Assessortext"/>
        <w:spacing w:after="160"/>
      </w:pPr>
      <w:r>
        <w:t>ICTCLD503 — Implement web-scale cloud infrastructure (AT2-evidenced items; elements 1–2 are evidenced in AT1)</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[ICTCLD503 PC 3.1] 3.1 Review microservice design and code components for application</w:t>
            </w:r>
          </w:p>
        </w:tc>
        <w:tc>
          <w:tcPr>
            <w:tcW w:type="dxa" w:w="5233"/>
          </w:tcPr>
          <w:p>
            <w:r>
              <w:t>M5</w:t>
            </w:r>
          </w:p>
        </w:tc>
      </w:tr>
      <w:tr>
        <w:tc>
          <w:tcPr>
            <w:tcW w:type="dxa" w:w="5233"/>
          </w:tcPr>
          <w:p>
            <w:r>
              <w:t>[ICTCLD503 PC 3.2] 3.2 Deploy and configure cloud services to implement the application</w:t>
            </w:r>
          </w:p>
        </w:tc>
        <w:tc>
          <w:tcPr>
            <w:tcW w:type="dxa" w:w="5233"/>
          </w:tcPr>
          <w:p>
            <w:r>
              <w:t>M6</w:t>
            </w:r>
          </w:p>
        </w:tc>
      </w:tr>
      <w:tr>
        <w:tc>
          <w:tcPr>
            <w:tcW w:type="dxa" w:w="5233"/>
          </w:tcPr>
          <w:p>
            <w:r>
              <w:t>[ICTCLD503 PC 3.3] 3.3 Test microservice components and confirm that the application is functioning</w:t>
            </w:r>
          </w:p>
        </w:tc>
        <w:tc>
          <w:tcPr>
            <w:tcW w:type="dxa" w:w="5233"/>
          </w:tcPr>
          <w:p>
            <w:r>
              <w:t>M7</w:t>
            </w:r>
          </w:p>
        </w:tc>
      </w:tr>
      <w:tr>
        <w:tc>
          <w:tcPr>
            <w:tcW w:type="dxa" w:w="5233"/>
          </w:tcPr>
          <w:p>
            <w:r>
              <w:t>[ICTCLD503 PC 3.4] 3.4 Troubleshooting and fix errors as required</w:t>
            </w:r>
          </w:p>
        </w:tc>
        <w:tc>
          <w:tcPr>
            <w:tcW w:type="dxa" w:w="5233"/>
          </w:tcPr>
          <w:p>
            <w:r>
              <w:t>M8</w:t>
            </w:r>
          </w:p>
        </w:tc>
      </w:tr>
      <w:tr>
        <w:tc>
          <w:tcPr>
            <w:tcW w:type="dxa" w:w="5233"/>
          </w:tcPr>
          <w:p>
            <w:r>
              <w:t>[ICTCLD503 PC 4.1] 4.1 Set up metrics and trigger scaling alarms according to design specifications</w:t>
            </w:r>
          </w:p>
        </w:tc>
        <w:tc>
          <w:tcPr>
            <w:tcW w:type="dxa" w:w="5233"/>
          </w:tcPr>
          <w:p>
            <w:r>
              <w:t>M10</w:t>
            </w:r>
          </w:p>
        </w:tc>
      </w:tr>
      <w:tr>
        <w:tc>
          <w:tcPr>
            <w:tcW w:type="dxa" w:w="5233"/>
          </w:tcPr>
          <w:p>
            <w:r>
              <w:t>[ICTCLD503 PC 4.2] 4.2 Confirm, seek and respond to feedback with required personnel</w:t>
            </w:r>
          </w:p>
        </w:tc>
        <w:tc>
          <w:tcPr>
            <w:tcW w:type="dxa" w:w="5233"/>
          </w:tcPr>
          <w:p>
            <w:r>
              <w:t>M13</w:t>
            </w:r>
          </w:p>
        </w:tc>
      </w:tr>
      <w:tr>
        <w:tc>
          <w:tcPr>
            <w:tcW w:type="dxa" w:w="5233"/>
          </w:tcPr>
          <w:p>
            <w:r>
              <w:t>[ICTCLD503 PC 4.3] 4.3 Obtain final sign off from required personnel</w:t>
            </w:r>
          </w:p>
        </w:tc>
        <w:tc>
          <w:tcPr>
            <w:tcW w:type="dxa" w:w="5233"/>
          </w:tcPr>
          <w:p>
            <w:r>
              <w:t>M13</w:t>
            </w:r>
          </w:p>
        </w:tc>
      </w:tr>
      <w:tr>
        <w:tc>
          <w:tcPr>
            <w:tcW w:type="dxa" w:w="5233"/>
          </w:tcPr>
          <w:p>
            <w:r>
              <w:t>[ICTCLD503 PE 3] deploy a microservice application utilising cloud serverless technologies.</w:t>
            </w:r>
          </w:p>
        </w:tc>
        <w:tc>
          <w:tcPr>
            <w:tcW w:type="dxa" w:w="5233"/>
          </w:tcPr>
          <w:p>
            <w:r>
              <w:t>M6 · M7</w:t>
            </w:r>
          </w:p>
        </w:tc>
      </w:tr>
      <w:tr>
        <w:tc>
          <w:tcPr>
            <w:tcW w:type="dxa" w:w="5233"/>
          </w:tcPr>
          <w:p>
            <w:r>
              <w:t>[ICTCLD503 PE 4] use cloud management consoles, software development kits or command line tools</w:t>
            </w:r>
          </w:p>
        </w:tc>
        <w:tc>
          <w:tcPr>
            <w:tcW w:type="dxa" w:w="5233"/>
          </w:tcPr>
          <w:p>
            <w:r>
              <w:t>M2 · M4 · M6</w:t>
            </w:r>
          </w:p>
        </w:tc>
      </w:tr>
      <w:tr>
        <w:tc>
          <w:tcPr>
            <w:tcW w:type="dxa" w:w="5233"/>
          </w:tcPr>
          <w:p>
            <w:r>
              <w:t>[ICTCLD503 KE 1] industry technology standards used in cloud computing solutions and services</w:t>
            </w:r>
          </w:p>
        </w:tc>
        <w:tc>
          <w:tcPr>
            <w:tcW w:type="dxa" w:w="5233"/>
          </w:tcPr>
          <w:p>
            <w:r>
              <w:t>M14</w:t>
            </w:r>
          </w:p>
        </w:tc>
      </w:tr>
      <w:tr>
        <w:tc>
          <w:tcPr>
            <w:tcW w:type="dxa" w:w="5233"/>
          </w:tcPr>
          <w:p>
            <w:r>
              <w:t>[ICTCLD503 KE 2] industry standard hardware and software products, their general features, capabilities and application, including storage technology</w:t>
            </w:r>
          </w:p>
        </w:tc>
        <w:tc>
          <w:tcPr>
            <w:tcW w:type="dxa" w:w="5233"/>
          </w:tcPr>
          <w:p>
            <w:r>
              <w:t>M14</w:t>
            </w:r>
          </w:p>
        </w:tc>
      </w:tr>
      <w:tr>
        <w:tc>
          <w:tcPr>
            <w:tcW w:type="dxa" w:w="5233"/>
          </w:tcPr>
          <w:p>
            <w:r>
              <w:t>[ICTCLD503 KE 5] testing and debugging techniques</w:t>
            </w:r>
          </w:p>
        </w:tc>
        <w:tc>
          <w:tcPr>
            <w:tcW w:type="dxa" w:w="5233"/>
          </w:tcPr>
          <w:p>
            <w:r>
              <w:t>M3 · M8 · M14</w:t>
            </w:r>
          </w:p>
        </w:tc>
      </w:tr>
      <w:tr>
        <w:tc>
          <w:tcPr>
            <w:tcW w:type="dxa" w:w="5233"/>
          </w:tcPr>
          <w:p>
            <w:r>
              <w:t>[ICTCLD503 FS Writing] Writing — Develops complex documentation in required formats using clear and detailed language to convey explicit information, requirements and recommendations Writes and edits code, and technical data in a logical manner using required syntax and ensuring flow</w:t>
            </w:r>
          </w:p>
        </w:tc>
        <w:tc>
          <w:tcPr>
            <w:tcW w:type="dxa" w:w="5233"/>
          </w:tcPr>
          <w:p>
            <w:r>
              <w:t>M11</w:t>
            </w:r>
          </w:p>
        </w:tc>
      </w:tr>
      <w:tr>
        <w:tc>
          <w:tcPr>
            <w:tcW w:type="dxa" w:w="5233"/>
          </w:tcPr>
          <w:p>
            <w:r>
              <w:t>[ICTCLD503 AC 1] cloud vendor service provider</w:t>
            </w:r>
          </w:p>
        </w:tc>
        <w:tc>
          <w:tcPr>
            <w:tcW w:type="dxa" w:w="5233"/>
          </w:tcPr>
          <w:p>
            <w:r>
              <w:t>C1 (pre-condition)</w:t>
            </w:r>
          </w:p>
        </w:tc>
      </w:tr>
      <w:tr>
        <w:tc>
          <w:tcPr>
            <w:tcW w:type="dxa" w:w="5233"/>
          </w:tcPr>
          <w:p>
            <w:r>
              <w:t>[ICTCLD503 AC 2] cloud managed database service</w:t>
            </w:r>
          </w:p>
        </w:tc>
        <w:tc>
          <w:tcPr>
            <w:tcW w:type="dxa" w:w="5233"/>
          </w:tcPr>
          <w:p>
            <w:r>
              <w:t>C1 (pre-condition)</w:t>
            </w:r>
          </w:p>
        </w:tc>
      </w:tr>
      <w:tr>
        <w:tc>
          <w:tcPr>
            <w:tcW w:type="dxa" w:w="5233"/>
          </w:tcPr>
          <w:p>
            <w:r>
              <w:t>[ICTCLD503 AC 3] cloud serverless environment</w:t>
            </w:r>
          </w:p>
        </w:tc>
        <w:tc>
          <w:tcPr>
            <w:tcW w:type="dxa" w:w="5233"/>
          </w:tcPr>
          <w:p>
            <w:r>
              <w:t>C1 (pre-condition)</w:t>
            </w:r>
          </w:p>
        </w:tc>
      </w:tr>
      <w:tr>
        <w:tc>
          <w:tcPr>
            <w:tcW w:type="dxa" w:w="5233"/>
          </w:tcPr>
          <w:p>
            <w:r>
              <w:t>[ICTCLD503 AC 4] pre-prepared code elements for microservice deployment</w:t>
            </w:r>
          </w:p>
        </w:tc>
        <w:tc>
          <w:tcPr>
            <w:tcW w:type="dxa" w:w="5233"/>
          </w:tcPr>
          <w:p>
            <w:r>
              <w:t>C2 (pre-condition)</w:t>
            </w:r>
          </w:p>
        </w:tc>
      </w:tr>
      <w:tr>
        <w:tc>
          <w:tcPr>
            <w:tcW w:type="dxa" w:w="5233"/>
          </w:tcPr>
          <w:p>
            <w:r>
              <w:t>[ICTCLD503 AC 5] information and data sources required to design and implement cloud infrastructure</w:t>
            </w:r>
          </w:p>
        </w:tc>
        <w:tc>
          <w:tcPr>
            <w:tcW w:type="dxa" w:w="5233"/>
          </w:tcPr>
          <w:p>
            <w:r>
              <w:t>C3 (pre-condition)</w:t>
            </w:r>
          </w:p>
        </w:tc>
      </w:tr>
      <w:tr>
        <w:tc>
          <w:tcPr>
            <w:tcW w:type="dxa" w:w="5233"/>
          </w:tcPr>
          <w:p>
            <w:r>
              <w:t>[ICTCLD503 AC 6] integrated development environment (IDE)</w:t>
            </w:r>
          </w:p>
        </w:tc>
        <w:tc>
          <w:tcPr>
            <w:tcW w:type="dxa" w:w="5233"/>
          </w:tcPr>
          <w:p>
            <w:r>
              <w:t>C4 (pre-condition)</w:t>
            </w:r>
          </w:p>
        </w:tc>
      </w:tr>
      <w:tr>
        <w:tc>
          <w:tcPr>
            <w:tcW w:type="dxa" w:w="5233"/>
          </w:tcPr>
          <w:p>
            <w:r>
              <w:t>[ICTCLD503 AC 7] specific requirements and industry standards, organisational procedures and legislative requirements, including business and functionality requirements, as required</w:t>
            </w:r>
          </w:p>
        </w:tc>
        <w:tc>
          <w:tcPr>
            <w:tcW w:type="dxa" w:w="5233"/>
          </w:tcPr>
          <w:p>
            <w:r>
              <w:t>C3 (pre-condition)</w:t>
            </w:r>
          </w:p>
        </w:tc>
      </w:tr>
      <w:tr>
        <w:tc>
          <w:tcPr>
            <w:tcW w:type="dxa" w:w="5233"/>
          </w:tcPr>
          <w:p>
            <w:r>
              <w:t>[ICTCLD503 AC 8] internet and web browser</w:t>
            </w:r>
          </w:p>
        </w:tc>
        <w:tc>
          <w:tcPr>
            <w:tcW w:type="dxa" w:w="5233"/>
          </w:tcPr>
          <w:p>
            <w:r>
              <w:t>C1 (pre-condition)</w:t>
            </w:r>
          </w:p>
        </w:tc>
      </w:tr>
      <w:tr>
        <w:tc>
          <w:tcPr>
            <w:tcW w:type="dxa" w:w="5233"/>
          </w:tcPr>
          <w:p>
            <w:r>
              <w:t>[ICTCLD503 AC 9] data to gather information from to determine output and user requirements, including user access and business protocols.</w:t>
            </w:r>
          </w:p>
        </w:tc>
        <w:tc>
          <w:tcPr>
            <w:tcW w:type="dxa" w:w="5233"/>
          </w:tcPr>
          <w:p>
            <w:r>
              <w:t>C3 (pre-condition)</w:t>
            </w:r>
          </w:p>
        </w:tc>
      </w:tr>
    </w:tbl>
    <w:p/>
    <w:p>
      <w:pPr>
        <w:pStyle w:val="Assessortext"/>
        <w:spacing w:after="160"/>
      </w:pPr>
      <w:r>
        <w:t>ICTCLD505 — Deploy infrastructure as code</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[ICTCLD505 PC 1.1] 1.1 Identify and review benefits of infrastructure as code according to business needs</w:t>
            </w:r>
          </w:p>
        </w:tc>
        <w:tc>
          <w:tcPr>
            <w:tcW w:type="dxa" w:w="5233"/>
          </w:tcPr>
          <w:p>
            <w:r>
              <w:t>M1</w:t>
            </w:r>
          </w:p>
        </w:tc>
      </w:tr>
      <w:tr>
        <w:tc>
          <w:tcPr>
            <w:tcW w:type="dxa" w:w="5233"/>
          </w:tcPr>
          <w:p>
            <w:r>
              <w:t>[ICTCLD505 PC 1.2] 1.2 Determine ways automation leverages cloud platforms according to business needs</w:t>
            </w:r>
          </w:p>
        </w:tc>
        <w:tc>
          <w:tcPr>
            <w:tcW w:type="dxa" w:w="5233"/>
          </w:tcPr>
          <w:p>
            <w:r>
              <w:t>M1</w:t>
            </w:r>
          </w:p>
        </w:tc>
      </w:tr>
      <w:tr>
        <w:tc>
          <w:tcPr>
            <w:tcW w:type="dxa" w:w="5233"/>
          </w:tcPr>
          <w:p>
            <w:r>
              <w:t>[ICTCLD505 PC 1.3] 1.3 Determine and assess potential issues and errors when implementing infrastructure as code</w:t>
            </w:r>
          </w:p>
        </w:tc>
        <w:tc>
          <w:tcPr>
            <w:tcW w:type="dxa" w:w="5233"/>
          </w:tcPr>
          <w:p>
            <w:r>
              <w:t>M1</w:t>
            </w:r>
          </w:p>
        </w:tc>
      </w:tr>
      <w:tr>
        <w:tc>
          <w:tcPr>
            <w:tcW w:type="dxa" w:w="5233"/>
          </w:tcPr>
          <w:p>
            <w:r>
              <w:t>[ICTCLD505 PC 1.4] 1.4 Evaluate and select infrastructure as code service compatible with selected cloud platform and business requirements</w:t>
            </w:r>
          </w:p>
        </w:tc>
        <w:tc>
          <w:tcPr>
            <w:tcW w:type="dxa" w:w="5233"/>
          </w:tcPr>
          <w:p>
            <w:r>
              <w:t>M1</w:t>
            </w:r>
          </w:p>
        </w:tc>
      </w:tr>
      <w:tr>
        <w:tc>
          <w:tcPr>
            <w:tcW w:type="dxa" w:w="5233"/>
          </w:tcPr>
          <w:p>
            <w:r>
              <w:t>[ICTCLD505 PC 2.1] 2.1 Learn template syntax of selected cloud infrastructure as code service</w:t>
            </w:r>
          </w:p>
        </w:tc>
        <w:tc>
          <w:tcPr>
            <w:tcW w:type="dxa" w:w="5233"/>
          </w:tcPr>
          <w:p>
            <w:r>
              <w:t>M2</w:t>
            </w:r>
          </w:p>
        </w:tc>
      </w:tr>
      <w:tr>
        <w:tc>
          <w:tcPr>
            <w:tcW w:type="dxa" w:w="5233"/>
          </w:tcPr>
          <w:p>
            <w:r>
              <w:t>[ICTCLD505 PC 2.2] 2.2 Review pre-defined templates and determine what resources they create and any dependencies</w:t>
            </w:r>
          </w:p>
        </w:tc>
        <w:tc>
          <w:tcPr>
            <w:tcW w:type="dxa" w:w="5233"/>
          </w:tcPr>
          <w:p>
            <w:r>
              <w:t>M2</w:t>
            </w:r>
          </w:p>
        </w:tc>
      </w:tr>
      <w:tr>
        <w:tc>
          <w:tcPr>
            <w:tcW w:type="dxa" w:w="5233"/>
          </w:tcPr>
          <w:p>
            <w:r>
              <w:t>[ICTCLD505 PC 2.3] 2.3 Utilise the cloud infrastructure as code service tools to deploy, update and delete resources using predefined templates as required</w:t>
            </w:r>
          </w:p>
        </w:tc>
        <w:tc>
          <w:tcPr>
            <w:tcW w:type="dxa" w:w="5233"/>
          </w:tcPr>
          <w:p>
            <w:r>
              <w:t>M2 · M4</w:t>
            </w:r>
          </w:p>
        </w:tc>
      </w:tr>
      <w:tr>
        <w:tc>
          <w:tcPr>
            <w:tcW w:type="dxa" w:w="5233"/>
          </w:tcPr>
          <w:p>
            <w:r>
              <w:t>[ICTCLD505 PC 2.4] 2.4 Confirm deployments of cloud resources and configure resources using cloud platform console or command line tools</w:t>
            </w:r>
          </w:p>
        </w:tc>
        <w:tc>
          <w:tcPr>
            <w:tcW w:type="dxa" w:w="5233"/>
          </w:tcPr>
          <w:p>
            <w:r>
              <w:t>M4</w:t>
            </w:r>
          </w:p>
        </w:tc>
      </w:tr>
      <w:tr>
        <w:tc>
          <w:tcPr>
            <w:tcW w:type="dxa" w:w="5233"/>
          </w:tcPr>
          <w:p>
            <w:r>
              <w:t>[ICTCLD505 PC 2.5] 2.5 Remove deployed resources using cloud infrastructure as code tools and delete templates as required</w:t>
            </w:r>
          </w:p>
        </w:tc>
        <w:tc>
          <w:tcPr>
            <w:tcW w:type="dxa" w:w="5233"/>
          </w:tcPr>
          <w:p>
            <w:r>
              <w:t>M12</w:t>
            </w:r>
          </w:p>
        </w:tc>
      </w:tr>
      <w:tr>
        <w:tc>
          <w:tcPr>
            <w:tcW w:type="dxa" w:w="5233"/>
          </w:tcPr>
          <w:p>
            <w:r>
              <w:t>[ICTCLD505 PC 2.6] 2.6 Test and troubleshoot template errors as required</w:t>
            </w:r>
          </w:p>
        </w:tc>
        <w:tc>
          <w:tcPr>
            <w:tcW w:type="dxa" w:w="5233"/>
          </w:tcPr>
          <w:p>
            <w:r>
              <w:t>M3</w:t>
            </w:r>
          </w:p>
        </w:tc>
      </w:tr>
      <w:tr>
        <w:tc>
          <w:tcPr>
            <w:tcW w:type="dxa" w:w="5233"/>
          </w:tcPr>
          <w:p>
            <w:r>
              <w:t>[ICTCLD505 PC 3.1] 3.1 Learn template syntax of selected cloud infrastructure as code service</w:t>
            </w:r>
          </w:p>
        </w:tc>
        <w:tc>
          <w:tcPr>
            <w:tcW w:type="dxa" w:w="5233"/>
          </w:tcPr>
          <w:p>
            <w:r>
              <w:t>M6</w:t>
            </w:r>
          </w:p>
        </w:tc>
      </w:tr>
      <w:tr>
        <w:tc>
          <w:tcPr>
            <w:tcW w:type="dxa" w:w="5233"/>
          </w:tcPr>
          <w:p>
            <w:r>
              <w:t>[ICTCLD505 PC 3.2] 3.2 Create and deploy template to provision a set of related cloud resources according to business needs</w:t>
            </w:r>
          </w:p>
        </w:tc>
        <w:tc>
          <w:tcPr>
            <w:tcW w:type="dxa" w:w="5233"/>
          </w:tcPr>
          <w:p>
            <w:r>
              <w:t>M6</w:t>
            </w:r>
          </w:p>
        </w:tc>
      </w:tr>
      <w:tr>
        <w:tc>
          <w:tcPr>
            <w:tcW w:type="dxa" w:w="5233"/>
          </w:tcPr>
          <w:p>
            <w:r>
              <w:t>[ICTCLD505 PC 3.3] 3.3 Update and redeploy template to modify previously deployed resources and add new resources</w:t>
            </w:r>
          </w:p>
        </w:tc>
        <w:tc>
          <w:tcPr>
            <w:tcW w:type="dxa" w:w="5233"/>
          </w:tcPr>
          <w:p>
            <w:r>
              <w:t>M9</w:t>
            </w:r>
          </w:p>
        </w:tc>
      </w:tr>
      <w:tr>
        <w:tc>
          <w:tcPr>
            <w:tcW w:type="dxa" w:w="5233"/>
          </w:tcPr>
          <w:p>
            <w:r>
              <w:t>[ICTCLD505 PC 3.4] 3.4 Confirm deployment of cloud resources and configure resources using the cloud platform console or command line tools</w:t>
            </w:r>
          </w:p>
        </w:tc>
        <w:tc>
          <w:tcPr>
            <w:tcW w:type="dxa" w:w="5233"/>
          </w:tcPr>
          <w:p>
            <w:r>
              <w:t>M6</w:t>
            </w:r>
          </w:p>
        </w:tc>
      </w:tr>
      <w:tr>
        <w:tc>
          <w:tcPr>
            <w:tcW w:type="dxa" w:w="5233"/>
          </w:tcPr>
          <w:p>
            <w:r>
              <w:t>[ICTCLD505 PC 3.5] 3.5 Parameterise and deploy template to reuse configuration with a modified resource configuration</w:t>
            </w:r>
          </w:p>
        </w:tc>
        <w:tc>
          <w:tcPr>
            <w:tcW w:type="dxa" w:w="5233"/>
          </w:tcPr>
          <w:p>
            <w:r>
              <w:t>M9</w:t>
            </w:r>
          </w:p>
        </w:tc>
      </w:tr>
      <w:tr>
        <w:tc>
          <w:tcPr>
            <w:tcW w:type="dxa" w:w="5233"/>
          </w:tcPr>
          <w:p>
            <w:r>
              <w:t>[ICTCLD505 PC 3.6] 3.6 Remove deployed resources using cloud infrastructure as code tools and delete templates as required</w:t>
            </w:r>
          </w:p>
        </w:tc>
        <w:tc>
          <w:tcPr>
            <w:tcW w:type="dxa" w:w="5233"/>
          </w:tcPr>
          <w:p>
            <w:r>
              <w:t>M12</w:t>
            </w:r>
          </w:p>
        </w:tc>
      </w:tr>
      <w:tr>
        <w:tc>
          <w:tcPr>
            <w:tcW w:type="dxa" w:w="5233"/>
          </w:tcPr>
          <w:p>
            <w:r>
              <w:t>[ICTCLD505 PC 3.7] 3.7 Test and troubleshoot template errors</w:t>
            </w:r>
          </w:p>
        </w:tc>
        <w:tc>
          <w:tcPr>
            <w:tcW w:type="dxa" w:w="5233"/>
          </w:tcPr>
          <w:p>
            <w:r>
              <w:t>M8</w:t>
            </w:r>
          </w:p>
        </w:tc>
      </w:tr>
      <w:tr>
        <w:tc>
          <w:tcPr>
            <w:tcW w:type="dxa" w:w="5233"/>
          </w:tcPr>
          <w:p>
            <w:r>
              <w:t>[ICTCLD505 PC 4.1] 4.1 Create user documentation including cloud infrastructure as code templates</w:t>
            </w:r>
          </w:p>
        </w:tc>
        <w:tc>
          <w:tcPr>
            <w:tcW w:type="dxa" w:w="5233"/>
          </w:tcPr>
          <w:p>
            <w:r>
              <w:t>M11</w:t>
            </w:r>
          </w:p>
        </w:tc>
      </w:tr>
      <w:tr>
        <w:tc>
          <w:tcPr>
            <w:tcW w:type="dxa" w:w="5233"/>
          </w:tcPr>
          <w:p>
            <w:r>
              <w:t>[ICTCLD505 PC 4.2] 4.2 Obtain final sign off from required personnel</w:t>
            </w:r>
          </w:p>
        </w:tc>
        <w:tc>
          <w:tcPr>
            <w:tcW w:type="dxa" w:w="5233"/>
          </w:tcPr>
          <w:p>
            <w:r>
              <w:t>M13</w:t>
            </w:r>
          </w:p>
        </w:tc>
      </w:tr>
      <w:tr>
        <w:tc>
          <w:tcPr>
            <w:tcW w:type="dxa" w:w="5233"/>
          </w:tcPr>
          <w:p>
            <w:r>
              <w:t>[ICTCLD505 PE 1] deploy, update and remove cloud infrastructure using cloud platform templates</w:t>
            </w:r>
          </w:p>
        </w:tc>
        <w:tc>
          <w:tcPr>
            <w:tcW w:type="dxa" w:w="5233"/>
          </w:tcPr>
          <w:p>
            <w:r>
              <w:t>M2 · M4 · M12</w:t>
            </w:r>
          </w:p>
        </w:tc>
      </w:tr>
      <w:tr>
        <w:tc>
          <w:tcPr>
            <w:tcW w:type="dxa" w:w="5233"/>
          </w:tcPr>
          <w:p>
            <w:r>
              <w:t>[ICTCLD505 PE 2] create, run and update at least one own template required to deploy and modify cloud infrastructure.</w:t>
            </w:r>
          </w:p>
        </w:tc>
        <w:tc>
          <w:tcPr>
            <w:tcW w:type="dxa" w:w="5233"/>
          </w:tcPr>
          <w:p>
            <w:r>
              <w:t>M6</w:t>
            </w:r>
          </w:p>
        </w:tc>
      </w:tr>
      <w:tr>
        <w:tc>
          <w:tcPr>
            <w:tcW w:type="dxa" w:w="5233"/>
          </w:tcPr>
          <w:p>
            <w:r>
              <w:t>[ICTCLD505 PE 3] use cloud management console, cloud software development kits or command line tools</w:t>
            </w:r>
          </w:p>
        </w:tc>
        <w:tc>
          <w:tcPr>
            <w:tcW w:type="dxa" w:w="5233"/>
          </w:tcPr>
          <w:p>
            <w:r>
              <w:t>M2 · M4 · M6 · M7</w:t>
            </w:r>
          </w:p>
        </w:tc>
      </w:tr>
      <w:tr>
        <w:tc>
          <w:tcPr>
            <w:tcW w:type="dxa" w:w="5233"/>
          </w:tcPr>
          <w:p>
            <w:r>
              <w:t>[ICTCLD505 PE 4] create user documentation.</w:t>
            </w:r>
          </w:p>
        </w:tc>
        <w:tc>
          <w:tcPr>
            <w:tcW w:type="dxa" w:w="5233"/>
          </w:tcPr>
          <w:p>
            <w:r>
              <w:t>M11</w:t>
            </w:r>
          </w:p>
        </w:tc>
      </w:tr>
      <w:tr>
        <w:tc>
          <w:tcPr>
            <w:tcW w:type="dxa" w:w="5233"/>
          </w:tcPr>
          <w:p>
            <w:r>
              <w:t>[ICTCLD505 KE 1] industry technology standards used in cloud computing solutions and services</w:t>
            </w:r>
          </w:p>
        </w:tc>
        <w:tc>
          <w:tcPr>
            <w:tcW w:type="dxa" w:w="5233"/>
          </w:tcPr>
          <w:p>
            <w:r>
              <w:t>M14</w:t>
            </w:r>
          </w:p>
        </w:tc>
      </w:tr>
      <w:tr>
        <w:tc>
          <w:tcPr>
            <w:tcW w:type="dxa" w:w="5233"/>
          </w:tcPr>
          <w:p>
            <w:r>
              <w:t>[ICTCLD505 KE 2] industry standard hardware and software products, their general features, capabilities and application, including storage technology</w:t>
            </w:r>
          </w:p>
        </w:tc>
        <w:tc>
          <w:tcPr>
            <w:tcW w:type="dxa" w:w="5233"/>
          </w:tcPr>
          <w:p>
            <w:r>
              <w:t>M14</w:t>
            </w:r>
          </w:p>
        </w:tc>
      </w:tr>
      <w:tr>
        <w:tc>
          <w:tcPr>
            <w:tcW w:type="dxa" w:w="5233"/>
          </w:tcPr>
          <w:p>
            <w:r>
              <w:t>[ICTCLD505 KE 3] benefits of deploying infrastructure as code compared to manual provisioning in a console</w:t>
            </w:r>
          </w:p>
        </w:tc>
        <w:tc>
          <w:tcPr>
            <w:tcW w:type="dxa" w:w="5233"/>
          </w:tcPr>
          <w:p>
            <w:r>
              <w:t>M1</w:t>
            </w:r>
          </w:p>
        </w:tc>
      </w:tr>
      <w:tr>
        <w:tc>
          <w:tcPr>
            <w:tcW w:type="dxa" w:w="5233"/>
          </w:tcPr>
          <w:p>
            <w:r>
              <w:t>[ICTCLD505 KE 4] different infrastructure as code services that can be used on a cloud platform</w:t>
            </w:r>
          </w:p>
        </w:tc>
        <w:tc>
          <w:tcPr>
            <w:tcW w:type="dxa" w:w="5233"/>
          </w:tcPr>
          <w:p>
            <w:r>
              <w:t>M1</w:t>
            </w:r>
          </w:p>
        </w:tc>
      </w:tr>
      <w:tr>
        <w:tc>
          <w:tcPr>
            <w:tcW w:type="dxa" w:w="5233"/>
          </w:tcPr>
          <w:p>
            <w:r>
              <w:t>[ICTCLD505 KE 5] syntax of selected infrastructure as code service templates</w:t>
            </w:r>
          </w:p>
        </w:tc>
        <w:tc>
          <w:tcPr>
            <w:tcW w:type="dxa" w:w="5233"/>
          </w:tcPr>
          <w:p>
            <w:r>
              <w:t>M2 · M6</w:t>
            </w:r>
          </w:p>
        </w:tc>
      </w:tr>
      <w:tr>
        <w:tc>
          <w:tcPr>
            <w:tcW w:type="dxa" w:w="5233"/>
          </w:tcPr>
          <w:p>
            <w:r>
              <w:t>[ICTCLD505 KE 6] tooling required to execute cloud infrastructure templates</w:t>
            </w:r>
          </w:p>
        </w:tc>
        <w:tc>
          <w:tcPr>
            <w:tcW w:type="dxa" w:w="5233"/>
          </w:tcPr>
          <w:p>
            <w:r>
              <w:t>M2</w:t>
            </w:r>
          </w:p>
        </w:tc>
      </w:tr>
      <w:tr>
        <w:tc>
          <w:tcPr>
            <w:tcW w:type="dxa" w:w="5233"/>
          </w:tcPr>
          <w:p>
            <w:r>
              <w:t>[ICTCLD505 KE 7] testing and debugging techniques, including common issues and errors relating to deploying cloud infrastructure as code</w:t>
            </w:r>
          </w:p>
        </w:tc>
        <w:tc>
          <w:tcPr>
            <w:tcW w:type="dxa" w:w="5233"/>
          </w:tcPr>
          <w:p>
            <w:r>
              <w:t>M1 · M3 · M8 · M14</w:t>
            </w:r>
          </w:p>
        </w:tc>
      </w:tr>
      <w:tr>
        <w:tc>
          <w:tcPr>
            <w:tcW w:type="dxa" w:w="5233"/>
          </w:tcPr>
          <w:p>
            <w:r>
              <w:t>[ICTCLD505 KE 8] parameterisation of templates to support configuration and code reuse</w:t>
            </w:r>
          </w:p>
        </w:tc>
        <w:tc>
          <w:tcPr>
            <w:tcW w:type="dxa" w:w="5233"/>
          </w:tcPr>
          <w:p>
            <w:r>
              <w:t>M9</w:t>
            </w:r>
          </w:p>
        </w:tc>
      </w:tr>
      <w:tr>
        <w:tc>
          <w:tcPr>
            <w:tcW w:type="dxa" w:w="5233"/>
          </w:tcPr>
          <w:p>
            <w:r>
              <w:t>[ICTCLD505 KE 9] industry standard practices to define infrastructure as code</w:t>
            </w:r>
          </w:p>
        </w:tc>
        <w:tc>
          <w:tcPr>
            <w:tcW w:type="dxa" w:w="5233"/>
          </w:tcPr>
          <w:p>
            <w:r>
              <w:t>M6</w:t>
            </w:r>
          </w:p>
        </w:tc>
      </w:tr>
      <w:tr>
        <w:tc>
          <w:tcPr>
            <w:tcW w:type="dxa" w:w="5233"/>
          </w:tcPr>
          <w:p>
            <w:r>
              <w:t>[ICTCLD505 KE 10] uses and methods to create, manage, provision and update cloud resources and templates</w:t>
            </w:r>
          </w:p>
        </w:tc>
        <w:tc>
          <w:tcPr>
            <w:tcW w:type="dxa" w:w="5233"/>
          </w:tcPr>
          <w:p>
            <w:r>
              <w:t>M4 · M9 · M14</w:t>
            </w:r>
          </w:p>
        </w:tc>
      </w:tr>
      <w:tr>
        <w:tc>
          <w:tcPr>
            <w:tcW w:type="dxa" w:w="5233"/>
          </w:tcPr>
          <w:p>
            <w:r>
              <w:t>[ICTCLD505 KE 11] techniques, methods and industry standard metrics used to leverage cloud platform capabilities and deploy and manage templates.</w:t>
            </w:r>
          </w:p>
        </w:tc>
        <w:tc>
          <w:tcPr>
            <w:tcW w:type="dxa" w:w="5233"/>
          </w:tcPr>
          <w:p>
            <w:r>
              <w:t>M14</w:t>
            </w:r>
          </w:p>
        </w:tc>
      </w:tr>
      <w:tr>
        <w:tc>
          <w:tcPr>
            <w:tcW w:type="dxa" w:w="5233"/>
          </w:tcPr>
          <w:p>
            <w:r>
              <w:t>[ICTCLD505 FS Oral communication] Oral communication — Uses listening and questioning techniques to confirm requirements and articulate complex concepts and matters using relevant industry for intended audience</w:t>
            </w:r>
          </w:p>
        </w:tc>
        <w:tc>
          <w:tcPr>
            <w:tcW w:type="dxa" w:w="5233"/>
          </w:tcPr>
          <w:p>
            <w:r>
              <w:t>M13</w:t>
            </w:r>
          </w:p>
        </w:tc>
      </w:tr>
      <w:tr>
        <w:tc>
          <w:tcPr>
            <w:tcW w:type="dxa" w:w="5233"/>
          </w:tcPr>
          <w:p>
            <w:r>
              <w:t>[ICTCLD505 FS Problem solving] Problem solving — 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type="dxa" w:w="5233"/>
          </w:tcPr>
          <w:p>
            <w:r>
              <w:t>M3 · M8</w:t>
            </w:r>
          </w:p>
        </w:tc>
      </w:tr>
      <w:tr>
        <w:tc>
          <w:tcPr>
            <w:tcW w:type="dxa" w:w="5233"/>
          </w:tcPr>
          <w:p>
            <w:r>
              <w:t>[ICTCLD505 FS Reading] Reading — Interprets complex technical and operational documentation to determine and confirm job requirements</w:t>
            </w:r>
          </w:p>
        </w:tc>
        <w:tc>
          <w:tcPr>
            <w:tcW w:type="dxa" w:w="5233"/>
          </w:tcPr>
          <w:p>
            <w:r>
              <w:t>M1 · M2 · M5</w:t>
            </w:r>
          </w:p>
        </w:tc>
      </w:tr>
      <w:tr>
        <w:tc>
          <w:tcPr>
            <w:tcW w:type="dxa" w:w="5233"/>
          </w:tcPr>
          <w:p>
            <w:r>
              <w:t>[ICTCLD505 FS Self-management] Self-management — Demonstrates a sophisticated knowledge of principles, concepts, language and practices associated with cloud computing and the digital world and uses them to troubleshoot and understand the uses and potential of new technology</w:t>
            </w:r>
          </w:p>
        </w:tc>
        <w:tc>
          <w:tcPr>
            <w:tcW w:type="dxa" w:w="5233"/>
          </w:tcPr>
          <w:p>
            <w:r>
              <w:t>M14</w:t>
            </w:r>
          </w:p>
        </w:tc>
      </w:tr>
      <w:tr>
        <w:tc>
          <w:tcPr>
            <w:tcW w:type="dxa" w:w="5233"/>
          </w:tcPr>
          <w:p>
            <w:r>
              <w:t>[ICTCLD505 FS Writing] Writing — Prepares user documentation detailing developed cloud infrastructure in a logical manner using required syntax and language</w:t>
            </w:r>
          </w:p>
        </w:tc>
        <w:tc>
          <w:tcPr>
            <w:tcW w:type="dxa" w:w="5233"/>
          </w:tcPr>
          <w:p>
            <w:r>
              <w:t>M11</w:t>
            </w:r>
          </w:p>
        </w:tc>
      </w:tr>
      <w:tr>
        <w:tc>
          <w:tcPr>
            <w:tcW w:type="dxa" w:w="5233"/>
          </w:tcPr>
          <w:p>
            <w:r>
              <w:t>[ICTCLD505 AC 1] cloud vendor service provider</w:t>
            </w:r>
          </w:p>
        </w:tc>
        <w:tc>
          <w:tcPr>
            <w:tcW w:type="dxa" w:w="5233"/>
          </w:tcPr>
          <w:p>
            <w:r>
              <w:t>C1 (pre-condition)</w:t>
            </w:r>
          </w:p>
        </w:tc>
      </w:tr>
      <w:tr>
        <w:tc>
          <w:tcPr>
            <w:tcW w:type="dxa" w:w="5233"/>
          </w:tcPr>
          <w:p>
            <w:r>
              <w:t>[ICTCLD505 AC 2] cloud vendor or 3rd party infrastructure as code service</w:t>
            </w:r>
          </w:p>
        </w:tc>
        <w:tc>
          <w:tcPr>
            <w:tcW w:type="dxa" w:w="5233"/>
          </w:tcPr>
          <w:p>
            <w:r>
              <w:t>C1 (pre-condition)</w:t>
            </w:r>
          </w:p>
        </w:tc>
      </w:tr>
      <w:tr>
        <w:tc>
          <w:tcPr>
            <w:tcW w:type="dxa" w:w="5233"/>
          </w:tcPr>
          <w:p>
            <w:r>
              <w:t>[ICTCLD505 AC 3] specific requirements and industry standards, organisational procedures and legislative requirements, including business and functionality requirements, as required</w:t>
            </w:r>
          </w:p>
        </w:tc>
        <w:tc>
          <w:tcPr>
            <w:tcW w:type="dxa" w:w="5233"/>
          </w:tcPr>
          <w:p>
            <w:r>
              <w:t>C3 (pre-condition)</w:t>
            </w:r>
          </w:p>
        </w:tc>
      </w:tr>
      <w:tr>
        <w:tc>
          <w:tcPr>
            <w:tcW w:type="dxa" w:w="5233"/>
          </w:tcPr>
          <w:p>
            <w:r>
              <w:t>[ICTCLD505 AC 4] information and data sources required to design and implement cloud infrastructure</w:t>
            </w:r>
          </w:p>
        </w:tc>
        <w:tc>
          <w:tcPr>
            <w:tcW w:type="dxa" w:w="5233"/>
          </w:tcPr>
          <w:p>
            <w:r>
              <w:t>C3 (pre-condition)</w:t>
            </w:r>
          </w:p>
        </w:tc>
      </w:tr>
      <w:tr>
        <w:tc>
          <w:tcPr>
            <w:tcW w:type="dxa" w:w="5233"/>
          </w:tcPr>
          <w:p>
            <w:r>
              <w:t>[ICTCLD505 AC 5] integrated development environment (IDE)</w:t>
            </w:r>
          </w:p>
        </w:tc>
        <w:tc>
          <w:tcPr>
            <w:tcW w:type="dxa" w:w="5233"/>
          </w:tcPr>
          <w:p>
            <w:r>
              <w:t>C4 (pre-condition)</w:t>
            </w:r>
          </w:p>
        </w:tc>
      </w:tr>
      <w:tr>
        <w:tc>
          <w:tcPr>
            <w:tcW w:type="dxa" w:w="5233"/>
          </w:tcPr>
          <w:p>
            <w:r>
              <w:t>[ICTCLD505 AC 6] internet and web browser</w:t>
            </w:r>
          </w:p>
        </w:tc>
        <w:tc>
          <w:tcPr>
            <w:tcW w:type="dxa" w:w="5233"/>
          </w:tcPr>
          <w:p>
            <w:r>
              <w:t>C1 (pre-condition)</w:t>
            </w:r>
          </w:p>
        </w:tc>
      </w:tr>
      <w:tr>
        <w:tc>
          <w:tcPr>
            <w:tcW w:type="dxa" w:w="5233"/>
          </w:tcPr>
          <w:p>
            <w:r>
              <w:t>[ICTCLD505 AC 7] secure shell (SSH) or remote desktop protocol (RDP) client to connect to cloud-hosted instances</w:t>
            </w:r>
          </w:p>
        </w:tc>
        <w:tc>
          <w:tcPr>
            <w:tcW w:type="dxa" w:w="5233"/>
          </w:tcPr>
          <w:p>
            <w:r>
              <w:t>C1 (pre-condition)</w:t>
            </w:r>
          </w:p>
        </w:tc>
      </w:tr>
      <w:tr>
        <w:tc>
          <w:tcPr>
            <w:tcW w:type="dxa" w:w="5233"/>
          </w:tcPr>
          <w:p>
            <w:r>
              <w:t>[ICTCLD505 AC 8] cloud management console, cloud software development kit or command line tools.</w:t>
            </w:r>
          </w:p>
        </w:tc>
        <w:tc>
          <w:tcPr>
            <w:tcW w:type="dxa" w:w="5233"/>
          </w:tcPr>
          <w:p>
            <w:r>
              <w:t>C1 (pre-condition)</w:t>
            </w:r>
          </w:p>
        </w:tc>
      </w:tr>
    </w:tbl>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2-at2/projects/website-global-expansion/requirements" TargetMode="External"/><Relationship Id="rId18" Type="http://schemas.openxmlformats.org/officeDocument/2006/relationships/hyperlink" Target="https://yat.timbaird.com/intranet/s1-cl2-at2/projects/website-global-expansion/data-residency-requirements" TargetMode="External"/><Relationship Id="rId19" Type="http://schemas.openxmlformats.org/officeDocument/2006/relationships/hyperlink" Target="https://yat.timbaird.com/intranet/s1-cl2-at2/reference/industry-standards" TargetMode="External"/><Relationship Id="rId20" Type="http://schemas.openxmlformats.org/officeDocument/2006/relationships/hyperlink" Target="https://yat.timbaird.com/intranet/s1-cl2-at2/policies/chang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