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ICTCLD501</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Develop cloud disaster recovery plans</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required to assess current and future risk events in specified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legislation applicable to risk type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reporting standards for documenting and communicating disaster recovery plan.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develop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disaster recovery plan requirements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existing organisational recovery plans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vendor disaster recovery plan and service level agreements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Conduct impact analysis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Determine time and recovery point objectives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Assess potential risks plan exclusions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Estimate amount of data and security level of data managed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Evaluate severity of impact and disruption of risk events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Document outcomes of impact analysis according to organisational policies and procedures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disaster recovery solutions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Develop range of disaster recovery solutions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Determine vendor protections and prioritise risks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Assess external insurance protection levels and their suitability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Identify other disaster recovery solution components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Align disaster recovery risk potential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Outline steps of disaster recovery plan including timelines, key features, service providers and any other aspect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Document disaster recovery plan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5. Test cloud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5.1 Conduct verbal walkthrough of cloud disaster recovery plan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5.2 Seek and respond to feedback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5.3 Lodge cloud disaster recovery plan according to organisation and legislative protocol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5.4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develop and evaluate a cloud disaster recovery plan that includes at least three major risk events.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likelihood and impact of risk event to assist in the development of one cloud disaster recovery plan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document disaster recovery plan and ways the plan reaches Recovery Time Objective (RTO) and Recovery Point Objective (RPO) targets.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A15</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risk environments in cloud/ICT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data analysis methodologies to determine risk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disaster recovery techniques applicable to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A14,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ISO270001, ISO27002 and ISO 27031 standards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A16</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Recovery Time Objective (RTO) and Recovery Point Objective (RPO) standards and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A15,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and methods to monitor and create alerts in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B1</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articulate complex concepts and requirements using industry language in cloud computing and risk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C6</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the cloud and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Planning and organising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broad range of strategies to evaluate and resolve risk events in cloud and technical environment and demonstrates the knowledge that design choices will influence the security of virtually stored information</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 alternative strategies, anticipate consequences and consider implementation issues and contingencies Uses knowledge of context to address common threats in the cloud and technical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B5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