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ICTICT517 Match ICT needs with the strategic direction of the organisation</w:t>
            </w:r>
          </w:p>
          <w:p>
            <w:pPr/>
            <w:r>
              <w:t>ICTCLD401 Configure cloud services</w:t>
            </w:r>
          </w:p>
          <w:p>
            <w:pPr/>
            <w: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Cloud Foundation Build: YAT LMS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implementation of a supplied AWS cloud architecture for the YAT LMS migration, and the production of a Deployment Report documenting the build.</w:t>
            </w:r>
          </w:p>
          <w:p>
            <w:pPr>
              <w:pStyle w:val="Assessortext"/>
            </w:pPr>
            <w:r>
              <w:t>The assessment is a single-task project delivered as one written artefact (the Deployment Report) with one populated appendix. Implementation occurs in the AWS Academy lab environment authorised for this cluster. There is no presentation or observation event — all assessment evidence is captured in the Deployment Report and its appendices.</w:t>
            </w:r>
          </w:p>
          <w:p>
            <w:pPr>
              <w:pStyle w:val="Assessortext"/>
            </w:pPr>
            <w:r>
              <w:t>This is an open-book practical assessment. Students may use the YAT intranet, the AWS Pricing Calculator, AWS Academy lab environments, AWS documentation, course reference materials, and external research (which must be cited) throughout.</w:t>
            </w:r>
          </w:p>
          <w:p>
            <w:pPr>
              <w:pStyle w:val="Assessortext"/>
            </w:pPr>
            <w:r>
              <w:t>AT2 is the second of three assessment tasks in the S1-CL1 Cloud Design and Build cluster. It builds on AT1 (Business Case + presentation event) and feeds into AT3 (HA hardening + project closure). The student remains in the same MTS consultant role across all three.</w:t>
            </w:r>
          </w:p>
          <w:p>
            <w:pPr>
              <w:pStyle w:val="Assessortext"/>
            </w:pPr>
            <w:r>
              <w:t>Reasonable adjustment for this assessment may include extending the time allowed, varying the lab access arrangement (e.g. extended lab hours), allowing alternative screenshot-evidence formats where assistive technology requires it, or providing one-on-one verbal explanation of the supplied design where needed.</w:t>
            </w:r>
          </w:p>
          <w:p>
            <w:pPr>
              <w:pStyle w:val="Assessortext"/>
            </w:pPr>
            <w:r>
              <w:t>Teacher/assessor support level: the teacher/assessor may clarify task requirements, scenario context, or the supplied design but must not guide students to specific configuration decisions or correct knowledge-evidence answers. The two Configuration Decisions left to the implementer (per the supplied design §4.16) must be made by the student.</w:t>
            </w:r>
          </w:p>
          <w:p>
            <w:pPr>
              <w:pStyle w:val="Assessortext"/>
            </w:pPr>
            <w:r>
              <w:t>Submission: the completed Deployment Report (.docx) with the evidence appendix populated is submitted via the LMS.</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Following the YAT board's approval of the action plan in the student's AT1 Business Case engagement, the student took a period of planned annual leave (in-scenario narrative).</w:t>
            </w:r>
          </w:p>
          <w:p>
            <w:pPr>
              <w:pStyle w:val="Assessortext"/>
            </w:pPr>
            <w:r>
              <w:t>During that time MTS Senior Architecture worked with YAT IT to translate the approved direction into a detailed technical design — the YAT LMS Cloud Architecture — Baseline Design — which is now the student's build specification.</w:t>
            </w:r>
          </w:p>
          <w:p>
            <w:pPr>
              <w:pStyle w:val="Assessortext"/>
            </w:pPr>
            <w:r>
              <w:t>The student has returned to MTS to lead the foundation-build phase of the engagement. The task has two parts that combine into a single deliverable:</w:t>
            </w:r>
          </w:p>
          <w:p>
            <w:pPr>
              <w:pStyle w:val="Assessortext"/>
            </w:pPr>
            <w:r>
              <w:t>Implement the supplied AWS architecture for the YAT LMS migration foundation build, in the AWS Academy lab environment authorised for this engagement.</w:t>
            </w:r>
          </w:p>
          <w:p>
            <w:pPr>
              <w:pStyle w:val="Assessortext"/>
            </w:pPr>
            <w:r>
              <w:t>Produce a Deployment Report documenting the build, using the YAT-provided Deployment Report template. The report covers what was built, configuration decisions made where the supplied design left them open, testing and validation outcomes, an operational handover for YAT IT, written responses to six contextual Knowledge Evidence questions about the student's own build, and one appendix of evidence.</w:t>
            </w:r>
          </w:p>
          <w:p>
            <w:pPr>
              <w:pStyle w:val="Assessortext"/>
            </w:pPr>
            <w:r>
              <w:t>The Deployment Report is the single submitted deliverable. All build evidence (screenshots, test results) is captured in the report's appendices — there is no separate portfolio submission and no presentation event.</w:t>
            </w:r>
          </w:p>
          <w:p>
            <w:pPr>
              <w:pStyle w:val="Assessortext"/>
            </w:pPr>
            <w:r>
              <w:t>The architecture being implemented is intentionally non-HA at this stage. HA hardening is the next phase (AT3) and is explicitly out of scope for AT2.</w:t>
            </w:r>
          </w:p>
          <w:p>
            <w:pPr>
              <w:pStyle w:val="Assessortext"/>
            </w:pPr>
            <w:r>
              <w:t>MTS scope: cloud infrastructure provisioning only. Per the LMS Migration Role Brief on the YAT intranet (§ Scope of the MTS consulting engagement), students must not perform LMS application installation, MySQL data migration, cutover activities, or organisational change management as part of AT2. Those are YAT in-house IT's responsibility in-scenario. The AT2 deliverable stops at infrastructure ready for application deployment. Assessors should not award credit for application-deployment work that falls outside this scope; equally, students who include such work in their report should be redirected to focus their evidence on the in-scope infrastructure deliverables.</w:t>
            </w:r>
          </w:p>
          <w:p>
            <w:pPr>
              <w:pStyle w:val="Assessortext"/>
            </w:pPr>
            <w:r>
              <w:t>Note:</w:t>
            </w:r>
          </w:p>
          <w:p>
            <w:pPr>
              <w:pStyle w:val="Assessortext"/>
            </w:pPr>
            <w:r>
              <w:t>All scenario materials, organisational policies, supplied design, report template, and previous-project examples for YAT College are available on the YAT intranet — students sign in to the intranet at the start of the engagement and refer to it throughout.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intranet — supplying the supplied baseline design, the Deployment Report template, the example previous deployment report, and all other scenario materials</w:t>
            </w:r>
          </w:p>
          <w:p>
            <w:pPr>
              <w:pStyle w:val="Assessortext"/>
            </w:pPr>
            <w:r>
              <w:t>Supplied baseline design, LMS application spec, role brief and records-management policy — linked in the Instructions to Student below</w:t>
            </w:r>
          </w:p>
          <w:p>
            <w:pPr>
              <w:pStyle w:val="Assessortext"/>
            </w:pPr>
            <w:r>
              <w:t>AWS Academy lab access — Cloud Foundations [104469] + Cloud Architecting [172221]</w:t>
            </w:r>
          </w:p>
          <w:p>
            <w:pPr>
              <w:pStyle w:val="Assessortext"/>
            </w:pPr>
            <w:r>
              <w:t>Deployment Report Benchmark (later in this document) for marking the submitted report</w:t>
            </w:r>
          </w:p>
          <w:p>
            <w:pPr>
              <w:pStyle w:val="Assessortext"/>
            </w:pPr>
            <w:r>
              <w:t>Student supplied resources</w:t>
            </w:r>
          </w:p>
          <w:p>
            <w:pPr>
              <w:pStyle w:val="Assessortext"/>
            </w:pPr>
            <w:r>
              <w:t>Computer with web browser</w:t>
            </w:r>
          </w:p>
          <w:p>
            <w:pPr>
              <w:pStyle w:val="Assessortext"/>
            </w:pPr>
            <w:r>
              <w:t>Word-processing software (e.g. Microsoft Word or equivalent)</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a completed Deployment Report (.docx) using the YAT-supplied template, with every section you are asked to write and every appendix populated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Lab environment is accessible to the student throughout the assessment — AWS Academy Cloud Foundations [104469] + AWS Academy Cloud Architecting [172221] — providing cloud vendor service provider access, cloud managed database service (RDS), IDE / console / CLI / SSH-RDP tooling, and internet/web browser access</w:t>
            </w:r>
          </w:p>
          <w:p>
            <w:pPr/>
            <w:r>
              <w:t>[ICTCLD401 AC 1] · [ICTCLD401 AC 2] · [ICTCLD401 AC 3] · [ICTCLD502 AC 1] · [ICTCLD502 AC 2] · [ICTCLD502 AC 4] · [ICTCLD502 AC 6] · [ICTCLD502 AC 7]</w:t>
            </w:r>
          </w:p>
          <w:p>
            <w:pPr/>
            <w:r>
              <w:t>C2 The YAT scenario site / intranet is accessible to the student throughout the assessment — supplying the baseline design, Deployment Report template, example previous deployment report, LMS application specification, organisational policies, and reference documents</w:t>
            </w:r>
          </w:p>
          <w:p>
            <w:pPr/>
            <w:r>
              <w:t>[ICTCLD401 AC 4] · [ICTCLD502 AC 3] · [ICTCLD502 AC 5] · [ICTCLD502 AC 8]</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A2 §4.1 + §4.2 + §4.7 Build narrative — Foundation tier (IAM, network, security) — student describes the IAM groups/users/MFA enforcement, the VPC + subnets + gateways + routing, and the security-group model, and identifies the shared security responsibility outcome of the build; cross-references to the Appendix A screenshots</w:t>
            </w:r>
          </w:p>
          <w:p>
            <w:pPr/>
            <w:r>
              <w:t>[ICTCLD401 PC 1.2] · [ICTCLD401 PC 1.4] · [ICTCLD401 PC 1.5] · [ICTCLD401 PC 1.6] · [ICTCLD401 PC 1.7] · [ICTCLD401 PC 2.1] · [ICTCLD401 PC 2.2] · [ICTCLD502 PC 1.3]</w:t>
            </w:r>
          </w:p>
        </w:tc>
        <w:tc>
          <w:tcPr>
            <w:tcW w:type="dxa" w:w="1934"/>
          </w:tcPr>
          <w:p>
            <w:r>
              <w:t>☐ Yes  ☐ No</w:t>
            </w:r>
          </w:p>
        </w:tc>
      </w:tr>
      <w:tr>
        <w:tc>
          <w:tcPr>
            <w:tcW w:type="dxa" w:w="8697"/>
          </w:tcPr>
          <w:p>
            <w:r>
              <w:t>A3 §4.3 + §4.4 + §4.5 + §4.6 Build narrative — Workload tier (compute, load balancing, database, storage) — student describes the EC2 + ALB + ASG, the RDS managed database, and the EBS + S3 storage; cross-references to the Appendix A screenshots</w:t>
            </w:r>
          </w:p>
          <w:p>
            <w:pPr/>
            <w:r>
              <w:t>[ICTCLD401 PC 2.3] · [ICTCLD401 PC 2.4] · [ICTCLD401 PC 2.5] · [ICTCLD502 PC 4.1]</w:t>
            </w:r>
          </w:p>
        </w:tc>
        <w:tc>
          <w:tcPr>
            <w:tcW w:type="dxa" w:w="1934"/>
          </w:tcPr>
          <w:p>
            <w:r>
              <w:t>☐ Yes  ☐ No</w:t>
            </w:r>
          </w:p>
        </w:tc>
      </w:tr>
      <w:tr>
        <w:tc>
          <w:tcPr>
            <w:tcW w:type="dxa" w:w="8697"/>
          </w:tcPr>
          <w:p>
            <w:r>
              <w:t>A4 §4.8 Build narrative — Operability (autoscaling configuration, baseline CloudWatch monitoring) — student describes the ASG scaling policy + the baseline CloudWatch alarms</w:t>
            </w:r>
          </w:p>
          <w:p>
            <w:pPr/>
            <w:r>
              <w:t>[ICTCLD401 PC 3.1] · [ICTCLD502 PC 4.3] (monitoring baseline only — full availability monitoring is AT3)</w:t>
            </w:r>
          </w:p>
        </w:tc>
        <w:tc>
          <w:tcPr>
            <w:tcW w:type="dxa" w:w="1934"/>
          </w:tcPr>
          <w:p>
            <w:r>
              <w:t>☐ Yes  ☐ No</w:t>
            </w:r>
          </w:p>
        </w:tc>
      </w:tr>
      <w:tr>
        <w:tc>
          <w:tcPr>
            <w:tcW w:type="dxa" w:w="8697"/>
          </w:tcPr>
          <w:p>
            <w:r>
              <w:t>A5 §5 Configuration Decisions — for each of the two decisions the supplied design leaves open, student names at least two options considered, states the choice made, and justifies it against the YAT LMS workload (referencing the LMS Application Specification), not generically</w:t>
            </w:r>
          </w:p>
          <w:p>
            <w:pPr/>
            <w:r>
              <w:t>[ICTCLD401 PC 1.1] (options considered and compared) · [ICTCLD401 PC 1.3] (best option selected)</w:t>
            </w:r>
          </w:p>
        </w:tc>
        <w:tc>
          <w:tcPr>
            <w:tcW w:type="dxa" w:w="1934"/>
          </w:tcPr>
          <w:p>
            <w:r>
              <w:t>☐ Yes  ☐ No</w:t>
            </w:r>
          </w:p>
        </w:tc>
      </w:tr>
      <w:tr>
        <w:tc>
          <w:tcPr>
            <w:tcW w:type="dxa" w:w="8697"/>
          </w:tcPr>
          <w:p>
            <w:r>
              <w:t>A6 §6 Testing and Validation — student ran all five tests (connect to the application server; reach the internet; reach the database; reach the load balancer; automatic scaling), with the required screenshot pasted into each test box and any failure and its fix noted</w:t>
            </w:r>
          </w:p>
          <w:p>
            <w:pPr/>
            <w:r>
              <w:t>[ICTCLD401 PC 2.6] · [ICTCLD401 PC 3.2] · [ICTCLD401 PE 3] · [ICTCLD502 PC 4.2]</w:t>
            </w:r>
          </w:p>
        </w:tc>
        <w:tc>
          <w:tcPr>
            <w:tcW w:type="dxa" w:w="1934"/>
          </w:tcPr>
          <w:p>
            <w:r>
              <w:t>☐ Yes  ☐ No</w:t>
            </w:r>
          </w:p>
        </w:tc>
      </w:tr>
      <w:tr>
        <w:tc>
          <w:tcPr>
            <w:tcW w:type="dxa" w:w="8697"/>
          </w:tcPr>
          <w:p>
            <w:r>
              <w:t>A7 §7 Operational Handover — student documents access information for YAT IT, names known limitations carried into AT3, and confirms filing of the report per YAT's documented records procedures</w:t>
            </w:r>
          </w:p>
          <w:p>
            <w:pPr/>
            <w:r>
              <w:t>[ICTCLD401 PC 4.3]</w:t>
            </w:r>
          </w:p>
        </w:tc>
        <w:tc>
          <w:tcPr>
            <w:tcW w:type="dxa" w:w="1934"/>
          </w:tcPr>
          <w:p>
            <w:r>
              <w:t>☐ Yes  ☐ No</w:t>
            </w:r>
          </w:p>
        </w:tc>
      </w:tr>
      <w:tr>
        <w:tc>
          <w:tcPr>
            <w:tcW w:type="dxa" w:w="8697"/>
          </w:tcPr>
          <w:p>
            <w:r>
              <w:t>A8 §8 Knowledge Evidence Responses — student answers all 6 KE questions with specific reference to their own build, not generic textbook answers</w:t>
            </w:r>
          </w:p>
          <w:p>
            <w:pPr/>
            <w:r>
              <w:t>[ICTCLD401 KE 5] · [ICTCLD401 KE 6] · [ICTCLD401 KE 7] · [ICTCLD401 KE 8] · [ICTCLD401 KE 9] · [ICTCLD401 KE 10]</w:t>
            </w:r>
          </w:p>
        </w:tc>
        <w:tc>
          <w:tcPr>
            <w:tcW w:type="dxa" w:w="1934"/>
          </w:tcPr>
          <w:p>
            <w:r>
              <w:t>☐ Yes  ☐ No</w:t>
            </w:r>
          </w:p>
        </w:tc>
      </w:tr>
      <w:tr>
        <w:tc>
          <w:tcPr>
            <w:tcW w:type="dxa" w:w="8697"/>
          </w:tcPr>
          <w:p>
            <w:r>
              <w:t>A9 Appendix A Build Evidence — all 17 named screenshots (A1–A17) present, correct AWS region visible, named items visible per the template's requirements</w:t>
            </w:r>
          </w:p>
          <w:p>
            <w:pPr/>
            <w:r>
              <w:t>[ICTCLD401 PE 1] · [ICTCLD401 PE 2] (the built artefacts are the evidence)</w:t>
            </w:r>
          </w:p>
        </w:tc>
        <w:tc>
          <w:tcPr>
            <w:tcW w:type="dxa" w:w="1934"/>
          </w:tcPr>
          <w:p>
            <w:r>
              <w:t>☐ Yes  ☐ No</w:t>
            </w:r>
          </w:p>
        </w:tc>
      </w:tr>
      <w:tr>
        <w:tc>
          <w:tcPr>
            <w:tcW w:type="dxa" w:w="8697"/>
          </w:tcPr>
          <w:p>
            <w:r>
              <w:t>A13 Document quality — Deployment Report uses plain English, appropriate technical vocabulary, structure, formatting, and depth relevant to a professional consulting deliverable for an RTO client; student has correctly interpreted the supplied design and other complex technical documentation in the build</w:t>
            </w:r>
          </w:p>
          <w:p>
            <w:pPr/>
            <w:r>
              <w:t>[ICTCLD401 FS Writing] · [ICTCLD401 FS Reading] · [ICTCLD502 FS Reading]</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spacing w:before="240" w:after="80"/>
      </w:pPr>
      <w:r>
        <w:t>The engagement — picking up where AT1 left off</w:t>
      </w:r>
    </w:p>
    <w:p>
      <w:pPr>
        <w:pStyle w:val="Assessortext"/>
        <w:spacing w:after="160"/>
      </w:pPr>
      <w:r>
        <w:t>YAT College is migrating their mission-critical Learning Management System (LMS) from on-premises to AWS. You are an MTS Consultant on this engagement, reporting to Pat Lin (MTS Senior Consultant). Sam Walker (YAT IT Manager) is your primary YAT-side stakeholder.</w:t>
      </w:r>
    </w:p>
    <w:p>
      <w:pPr>
        <w:pStyle w:val="Assessortext"/>
        <w:spacing w:after="160"/>
      </w:pPr>
      <w:r>
        <w:t>At the end of the AT1 engagement, the YAT board approved your action plan. You then took planned annual leave. During that period, MTS Senior Architecture worked with YAT IT to translate the approved direction into a detailed cloud architecture design — the YAT LMS Cloud Architecture — Baseline Design, available from the Engagement Documents section of the YAT intranet.</w:t>
      </w:r>
    </w:p>
    <w:p>
      <w:pPr>
        <w:pStyle w:val="Assessortext"/>
        <w:spacing w:after="160"/>
      </w:pPr>
      <w:r>
        <w:t>You have returned to MTS, and your assignment is the foundation build phase of the engagement: stand up the supplied architecture in the AWS Academy lab environment, then hand it over to YAT IT with a Deployment Report.</w:t>
      </w:r>
    </w:p>
    <w:p>
      <w:pPr>
        <w:pStyle w:val="Heading2"/>
        <w:spacing w:before="240" w:after="80"/>
      </w:pPr>
      <w:r>
        <w:t>Scope of your work in this assessment</w:t>
      </w:r>
    </w:p>
    <w:p>
      <w:pPr>
        <w:pStyle w:val="Assessortext"/>
        <w:spacing w:after="160"/>
      </w:pPr>
      <w:r>
        <w:t>Per the LMS Migration Role Brief on the YAT intranet (§ Scope of the MTS consulting engagement), your assessment scope is cloud infrastructure provisioning only. The following activities are YAT in-house IT's responsibility, not yours:</w:t>
      </w:r>
    </w:p>
    <w:p>
      <w:pPr>
        <w:pStyle w:val="Assessortext"/>
        <w:spacing w:after="120"/>
        <w:ind w:left="360"/>
      </w:pPr>
      <w:r>
        <w:t>• LMS application installation on the AWS infrastructure you build</w:t>
      </w:r>
    </w:p>
    <w:p>
      <w:pPr>
        <w:pStyle w:val="Assessortext"/>
        <w:spacing w:after="120"/>
        <w:ind w:left="360"/>
      </w:pPr>
      <w:r>
        <w:t>• Migration of the MySQL database from on-prem to the AWS RDS instance</w:t>
      </w:r>
    </w:p>
    <w:p>
      <w:pPr>
        <w:pStyle w:val="Assessortext"/>
        <w:spacing w:after="120"/>
        <w:ind w:left="360"/>
      </w:pPr>
      <w:r>
        <w:t>• Cutover from legacy to new (DNS switch, parallel running, decommissioning)</w:t>
      </w:r>
    </w:p>
    <w:p>
      <w:pPr>
        <w:pStyle w:val="Assessortext"/>
        <w:spacing w:after="120"/>
        <w:ind w:left="360"/>
      </w:pPr>
      <w:r>
        <w:t>• Organisational change management around the cutover (CAB process, end-user communications, training)</w:t>
      </w:r>
    </w:p>
    <w:p>
      <w:pPr>
        <w:pStyle w:val="Assessortext"/>
        <w:spacing w:after="120"/>
        <w:ind w:left="360"/>
      </w:pPr>
      <w:r>
        <w:t>• Ongoing application support post-handover</w:t>
      </w:r>
    </w:p>
    <w:p>
      <w:pPr>
        <w:pStyle w:val="Assessortext"/>
        <w:spacing w:after="160"/>
      </w:pPr>
      <w:r>
        <w:t>Your AT2 deliverable stops at infrastructure ready for application deployment. You hand the infrastructure over to YAT IT with the Deployment Report — they take it from there. Do not install the LMS application, migrate production data, or perform cutover activities as part of this assessment.</w:t>
      </w:r>
    </w:p>
    <w:p>
      <w:pPr>
        <w:pStyle w:val="Heading2"/>
        <w:spacing w:before="240" w:after="80"/>
      </w:pPr>
      <w:r>
        <w:t>Resources on the YAT intranet</w:t>
      </w:r>
    </w:p>
    <w:p>
      <w:pPr>
        <w:pStyle w:val="Assessortext"/>
        <w:spacing w:after="160"/>
        <w:ind w:left="360"/>
      </w:pPr>
      <w:r>
        <w:t xml:space="preserve">• </w:t>
      </w:r>
      <w:hyperlink r:id="rId17">
        <w:r>
          <w:rPr>
            <w:color w:val="0563C1"/>
            <w:u w:val="single"/>
          </w:rPr>
          <w:t>Supplied cloud architecture baseline design — the design you build</w:t>
        </w:r>
      </w:hyperlink>
    </w:p>
    <w:p>
      <w:pPr>
        <w:pStyle w:val="Assessortext"/>
        <w:spacing w:after="160"/>
        <w:ind w:left="360"/>
      </w:pPr>
      <w:r>
        <w:t xml:space="preserve">• </w:t>
      </w:r>
      <w:hyperlink r:id="rId18">
        <w:r>
          <w:rPr>
            <w:color w:val="0563C1"/>
            <w:u w:val="single"/>
          </w:rPr>
          <w:t>LMS Application Specification — the workload your configuration decisions must suit</w:t>
        </w:r>
      </w:hyperlink>
    </w:p>
    <w:p>
      <w:pPr>
        <w:pStyle w:val="Assessortext"/>
        <w:spacing w:after="160"/>
        <w:ind w:left="360"/>
      </w:pPr>
      <w:r>
        <w:t xml:space="preserve">• </w:t>
      </w:r>
      <w:hyperlink r:id="rId19">
        <w:r>
          <w:rPr>
            <w:color w:val="0563C1"/>
            <w:u w:val="single"/>
          </w:rPr>
          <w:t>LMS Migration Role Brief — the scope of the MTS engagement</w:t>
        </w:r>
      </w:hyperlink>
    </w:p>
    <w:p>
      <w:pPr>
        <w:pStyle w:val="Assessortext"/>
        <w:spacing w:after="160"/>
        <w:ind w:left="360"/>
      </w:pPr>
      <w:r>
        <w:t xml:space="preserve">• </w:t>
      </w:r>
      <w:hyperlink r:id="rId20">
        <w:r>
          <w:rPr>
            <w:color w:val="0563C1"/>
            <w:u w:val="single"/>
          </w:rPr>
          <w:t>Records Management policy — how the report is filed at handover</w:t>
        </w:r>
      </w:hyperlink>
    </w:p>
    <w:p>
      <w:pPr>
        <w:pStyle w:val="Heading2"/>
        <w:spacing w:before="240" w:after="80"/>
      </w:pPr>
      <w:r>
        <w:t>Part 1 — Build the supplied design</w:t>
      </w:r>
    </w:p>
    <w:p>
      <w:pPr>
        <w:pStyle w:val="Assessortext"/>
        <w:spacing w:after="160"/>
      </w:pPr>
      <w:r>
        <w:t>Using AWS Academy, implement the architecture exactly as specified in the supplied design. The design is opinionated where it matters (region, network topology, IAM model, service categories, security controls, tagging) and intentionally silent where you must demonstrate professional judgement. The supplied design's §4.16 Configuration decisions left to the implementer names the two decisions you must make and justify.</w:t>
      </w:r>
    </w:p>
    <w:p>
      <w:pPr>
        <w:pStyle w:val="Assessortext"/>
        <w:spacing w:after="160"/>
      </w:pPr>
      <w:r>
        <w:t>For each of those two decisions, consider at least two candidates, choose one, and justify the choice against the YAT LMS workload as described in the LMS Application Specification on the YAT intranet. You will document the choice and rationale in §5 of your Deployment Report.</w:t>
      </w:r>
    </w:p>
    <w:p>
      <w:pPr>
        <w:pStyle w:val="Assessortext"/>
        <w:spacing w:after="160"/>
      </w:pPr>
      <w:r>
        <w:t>Important constraints on the build:</w:t>
      </w:r>
    </w:p>
    <w:p>
      <w:pPr>
        <w:pStyle w:val="Assessortext"/>
        <w:spacing w:after="120"/>
        <w:ind w:left="360"/>
      </w:pPr>
      <w:r>
        <w:t>• The deployment is single-AZ and non-HA by design. HA hardening is the next phase (AT3). Do not pre-empt that work.</w:t>
      </w:r>
    </w:p>
    <w:p>
      <w:pPr>
        <w:pStyle w:val="Assessortext"/>
        <w:spacing w:after="120"/>
        <w:ind w:left="360"/>
      </w:pPr>
      <w:r>
        <w:t>• All security, encryption, tagging, and naming conventions in the supplied design are mandatory. These are non-negotiable.</w:t>
      </w:r>
    </w:p>
    <w:p>
      <w:pPr>
        <w:pStyle w:val="Assessortext"/>
        <w:spacing w:after="120"/>
        <w:ind w:left="360"/>
      </w:pPr>
      <w:r>
        <w:t>• Take the screenshots listed in Appendix A of the Deployment Report template as you go, not at the end.</w:t>
      </w:r>
    </w:p>
    <w:p>
      <w:pPr>
        <w:pStyle w:val="Assessortext"/>
        <w:spacing w:after="120"/>
        <w:ind w:left="360"/>
      </w:pPr>
      <w:r>
        <w:t>• Test outcomes (§6 of the template) require you to actually run the tests — do not fabricate.</w:t>
      </w:r>
    </w:p>
    <w:p>
      <w:pPr>
        <w:pStyle w:val="Heading2"/>
        <w:spacing w:before="240" w:after="80"/>
      </w:pPr>
      <w:r>
        <w:t>Part 2 — Produce the Deployment Report</w:t>
      </w:r>
    </w:p>
    <w:p>
      <w:pPr>
        <w:pStyle w:val="Assessortext"/>
        <w:spacing w:after="160"/>
      </w:pPr>
      <w:r>
        <w:t>Use the YAT Deployment Report template:</w:t>
      </w:r>
    </w:p>
    <w:p>
      <w:pPr>
        <w:pStyle w:val="Assessortext"/>
        <w:spacing w:after="160"/>
        <w:ind w:left="360"/>
      </w:pPr>
      <w:r>
        <w:t xml:space="preserve">• </w:t>
      </w:r>
      <w:hyperlink r:id="rId21">
        <w:r>
          <w:rPr>
            <w:color w:val="0563C1"/>
            <w:u w:val="single"/>
          </w:rPr>
          <w:t>YAT intranet — Templates, where the Deployment Report template is available to download</w:t>
        </w:r>
      </w:hyperlink>
    </w:p>
    <w:p>
      <w:pPr>
        <w:pStyle w:val="Assessortext"/>
        <w:spacing w:after="160"/>
      </w:pPr>
      <w:r>
        <w:t>Refer to the Deployment Report MTS produced for a previous YAT engagement as an exemplar — read it before you start yours, as a reference for what a completed report looks like in style, depth and structure:</w:t>
      </w:r>
    </w:p>
    <w:p>
      <w:pPr>
        <w:pStyle w:val="Assessortext"/>
        <w:spacing w:after="160"/>
        <w:ind w:left="360"/>
      </w:pPr>
      <w:r>
        <w:t xml:space="preserve">• </w:t>
      </w:r>
      <w:hyperlink r:id="rId22">
        <w:r>
          <w:rPr>
            <w:color w:val="0563C1"/>
            <w:u w:val="single"/>
          </w:rPr>
          <w:t>Deployment Report — LMS Replacement (2022)</w:t>
        </w:r>
      </w:hyperlink>
    </w:p>
    <w:p>
      <w:pPr>
        <w:pStyle w:val="Assessortext"/>
        <w:spacing w:after="160"/>
      </w:pPr>
      <w:r>
        <w:t>Complete every section of the Deployment Report template that asks you for a response, and populate every appendix. The template provides explicit prompts in each section — follow them. §2 and §3 are already written for you; leave them as supplied and delete the violet note above each.</w:t>
      </w:r>
    </w:p>
    <w:p>
      <w:pPr>
        <w:pStyle w:val="Assessortext"/>
        <w:spacing w:after="160"/>
      </w:pPr>
      <w:r>
        <w:t>Your report covers:</w:t>
      </w:r>
    </w:p>
    <w:p>
      <w:pPr>
        <w:pStyle w:val="Assessortext"/>
        <w:spacing w:after="120"/>
        <w:ind w:left="360"/>
      </w:pPr>
      <w:r>
        <w:t xml:space="preserve">• </w:t>
      </w:r>
      <w:r>
        <w:rPr>
          <w:b/>
        </w:rPr>
        <w:t>§2 Engagement Context and §3 Scope of Deployment (supplied</w:t>
      </w:r>
      <w:r>
        <w:t xml:space="preserve"> — already written for you)</w:t>
      </w:r>
    </w:p>
    <w:p>
      <w:pPr>
        <w:pStyle w:val="Assessortext"/>
        <w:spacing w:after="120"/>
        <w:ind w:left="360"/>
      </w:pPr>
      <w:r>
        <w:t xml:space="preserve">• </w:t>
      </w:r>
      <w:r>
        <w:rPr>
          <w:b/>
        </w:rPr>
        <w:t>§4 Build Narrative (chronological account by layer</w:t>
      </w:r>
      <w:r>
        <w:t xml:space="preserve"> — IAM, network, compute, ALB, DB, storage, security, monitoring)</w:t>
      </w:r>
    </w:p>
    <w:p>
      <w:pPr>
        <w:pStyle w:val="Assessortext"/>
        <w:spacing w:after="120"/>
        <w:ind w:left="360"/>
      </w:pPr>
      <w:r>
        <w:t xml:space="preserve">• </w:t>
      </w:r>
      <w:r>
        <w:rPr>
          <w:b/>
        </w:rPr>
        <w:t>§5 Configuration Decisions (the two the design leaves open</w:t>
      </w:r>
      <w:r>
        <w:t xml:space="preserve"> — options considered, your choice, and why)</w:t>
      </w:r>
    </w:p>
    <w:p>
      <w:pPr>
        <w:pStyle w:val="Assessortext"/>
        <w:spacing w:after="120"/>
        <w:ind w:left="360"/>
      </w:pPr>
      <w:r>
        <w:t>• §6 Testing and Validation (results from the tests in §6 of the template)</w:t>
      </w:r>
    </w:p>
    <w:p>
      <w:pPr>
        <w:pStyle w:val="Assessortext"/>
        <w:spacing w:after="120"/>
        <w:ind w:left="360"/>
      </w:pPr>
      <w:r>
        <w:t>• §7 Operational Handover (information YAT IT needs to operate the environment, including filing the report per YAT's records procedures)</w:t>
      </w:r>
    </w:p>
    <w:p>
      <w:pPr>
        <w:pStyle w:val="Assessortext"/>
        <w:spacing w:after="120"/>
        <w:ind w:left="360"/>
      </w:pPr>
      <w:r>
        <w:t>• §8 Knowledge Evidence Responses (six contextual questions about choices in your own build)</w:t>
      </w:r>
    </w:p>
    <w:p>
      <w:pPr>
        <w:pStyle w:val="Assessortext"/>
        <w:spacing w:after="120"/>
        <w:ind w:left="360"/>
      </w:pPr>
      <w:r>
        <w:t xml:space="preserve">• </w:t>
      </w:r>
      <w:r>
        <w:rPr>
          <w:b/>
        </w:rPr>
        <w:t>Appendix A</w:t>
      </w:r>
      <w:r>
        <w:t xml:space="preserve"> — Build Evidence (17 named AWS console screenshots — the template lists them explicitly)</w:t>
      </w:r>
    </w:p>
    <w:p>
      <w:pPr>
        <w:pStyle w:val="Heading2"/>
        <w:spacing w:before="240" w:after="80"/>
      </w:pPr>
      <w:r>
        <w:t>Tips for success</w:t>
      </w:r>
    </w:p>
    <w:p>
      <w:pPr>
        <w:pStyle w:val="Assessortext"/>
        <w:spacing w:after="160"/>
      </w:pPr>
      <w:r>
        <w:t>Review the example past Deployment Report first. It shows what good looks like and saves you guessing about depth and structure.</w:t>
      </w:r>
    </w:p>
    <w:p>
      <w:pPr>
        <w:pStyle w:val="Assessortext"/>
        <w:spacing w:after="160"/>
      </w:pPr>
      <w:r>
        <w:t>Read the supplied design end-to-end before building — including the "out of scope" section (§13) and the "configuration decisions left to the implementer" section (§14). The build is faster when you know the constraints upfront.</w:t>
      </w:r>
    </w:p>
    <w:p>
      <w:pPr>
        <w:pStyle w:val="Assessortext"/>
        <w:spacing w:after="160"/>
      </w:pPr>
      <w:r>
        <w:t>Screenshots as you go, not at the end. This is the single most common failure mode in this assessment.</w:t>
      </w:r>
    </w:p>
    <w:p>
      <w:pPr>
        <w:pStyle w:val="Assessortext"/>
        <w:spacing w:after="160"/>
      </w:pPr>
      <w:r>
        <w:t>Justify every configuration decision against the YAT workload. Generic justifications ("m6i.large is a good choice for general-purpose workloads") are not credible. Specific justifications ("m6i.large handles the expected 200–300 concurrent users with headroom for assessment-window peaks per the LMS application spec, at a unit cost consistent with the AT1 CBA Year-1 budget") are.</w:t>
      </w:r>
    </w:p>
    <w:p>
      <w:pPr>
        <w:pStyle w:val="Assessortext"/>
        <w:spacing w:after="160"/>
      </w:pPr>
      <w:r>
        <w:t>For each Configuration Decision, name the alternative you considered as well as the one you chose. A choice with no alternative beside it is not a comparison.</w:t>
      </w:r>
    </w:p>
    <w:p>
      <w:pPr>
        <w:pStyle w:val="Assessortext"/>
        <w:spacing w:after="160"/>
      </w:pPr>
      <w:r>
        <w:t>The Knowledge Evidence responses (§8) are about your own build. Every answer should reference specific sections, components, or decisions in your report. Generic textbook answers about cloud concepts won't pass.</w:t>
      </w:r>
    </w:p>
    <w:p>
      <w:pPr>
        <w:pStyle w:val="Assessortext"/>
        <w:spacing w:after="160"/>
      </w:pPr>
      <w:r>
        <w:t>File the report per YAT's records procedures (§7.4 of the template) — this is part of what's being assessed.</w:t>
      </w:r>
    </w:p>
    <w:p>
      <w:pPr>
        <w:pStyle w:val="Heading1"/>
        <w:spacing w:before="280" w:after="120"/>
      </w:pPr>
      <w:r>
        <w:t>Deployment Report Benchmark</w:t>
      </w:r>
    </w:p>
    <w:p>
      <w:pPr>
        <w:pStyle w:val="Assessortext"/>
        <w:spacing w:after="160"/>
      </w:pPr>
      <w:r>
        <w:t>Per-section marking guidance for the assessor. What "Satisfactory" looks like for each section of the report. Model answers for the contextual KE questions. Common deductions.</w:t>
      </w:r>
    </w:p>
    <w:p>
      <w:pPr>
        <w:pStyle w:val="Heading2"/>
        <w:spacing w:before="280" w:after="80"/>
      </w:pPr>
      <w:r>
        <w:t>1. Marking framework</w:t>
      </w:r>
    </w:p>
    <w:p>
      <w:pPr>
        <w:pStyle w:val="Assessortext"/>
        <w:spacing w:after="160"/>
      </w:pPr>
      <w:r>
        <w:t>The Deployment Report is marked Satisfactory / Not Yet Satisfactory as a whole, with per-section judgements feeding the overall.</w:t>
      </w:r>
    </w:p>
    <w:p>
      <w:pPr>
        <w:pStyle w:val="Assessortext"/>
        <w:spacing w:after="160"/>
      </w:pPr>
      <w:r>
        <w:t>Each report section evidences specific UoC items (see the section-level UoC mapping in the Marking Guide above).</w:t>
      </w:r>
    </w:p>
    <w:p>
      <w:pPr>
        <w:pStyle w:val="Assessortext"/>
        <w:spacing w:after="160"/>
      </w:pPr>
      <w:r>
        <w:t>A section is Satisfactory when the UoC items it evidences are demonstrated through the student's content.</w:t>
      </w:r>
    </w:p>
    <w:p>
      <w:pPr>
        <w:pStyle w:val="Assessortext"/>
        <w:spacing w:after="160"/>
      </w:pPr>
      <w:r>
        <w:t>Students may arrive at different specific configuration choices (e.g. m6i.large vs m5.large, scaling thresholds 60% vs 70%) — that's acceptable as long as their justifications are internally consistent and tied to the YAT workload.</w:t>
      </w:r>
    </w:p>
    <w:p>
      <w:pPr>
        <w:pStyle w:val="Assessortext"/>
        <w:spacing w:after="160"/>
      </w:pPr>
      <w:r>
        <w:t>Critical sections (where NYS forces overall NYS regardless of strengths elsewhere): §4 Build Narrative (workload tier — criterion A3), §5 Configuration Decisions (A5), §6 Testing and Validation (A6), §8 Knowledge Evidence (A8), Appendix A Build Evidence (A9).</w:t>
      </w:r>
    </w:p>
    <w:p>
      <w:pPr>
        <w:pStyle w:val="Assessortext"/>
        <w:spacing w:after="160"/>
      </w:pPr>
      <w:r>
        <w:t>There are no supporting sections — every section of the report is covered by a criterion.</w:t>
      </w:r>
    </w:p>
    <w:p>
      <w:pPr>
        <w:pStyle w:val="Assessortext"/>
        <w:spacing w:after="160"/>
      </w:pPr>
      <w:r>
        <w:t>§2 Engagement Context + §3 Scope of Deployment are supplied in the template — already written, and not student work. They are not marked. A student who has edited or removed them has departed from the supplied report; treat that under A13 (Document Quality).</w:t>
      </w:r>
    </w:p>
    <w:p>
      <w:pPr>
        <w:pStyle w:val="Heading2"/>
        <w:spacing w:before="280" w:after="80"/>
      </w:pPr>
      <w:r>
        <w:t>5. Marking §4 Build Narrative</w:t>
      </w:r>
    </w:p>
    <w:p>
      <w:pPr>
        <w:pStyle w:val="Assessortext"/>
        <w:spacing w:after="160"/>
      </w:pPr>
      <w:r>
        <w:rPr>
          <w:i/>
          <w:color w:val="595959"/>
          <w:sz w:val="18"/>
        </w:rPr>
        <w:t>UoC evidenced: [ICTCLD401 PC 1.2, 1.4, 1.5, 1.6, 1.7, 2.1, 2.2, 2.3, 2.4, 2.5, 3.1] · [ICTCLD502 PC 1.3, 4.1, 4.3 — partial].</w:t>
      </w:r>
    </w:p>
    <w:p>
      <w:pPr>
        <w:pStyle w:val="Assessortext"/>
        <w:spacing w:before="120" w:after="80"/>
      </w:pPr>
      <w:r>
        <w:rPr>
          <w:b/>
        </w:rPr>
        <w:t>Satisfactory looks like, per sub-section:</w:t>
      </w:r>
    </w:p>
    <w:p>
      <w:pPr>
        <w:pStyle w:val="Heading3"/>
        <w:spacing w:before="200" w:after="80"/>
      </w:pPr>
      <w:r>
        <w:t>5.1 §4.1 IAM (criterion A4)</w:t>
      </w:r>
    </w:p>
    <w:p>
      <w:pPr>
        <w:pStyle w:val="Assessortext"/>
        <w:spacing w:after="160"/>
      </w:pPr>
      <w:r>
        <w:t>IAM groups named match the supplied design (or rationale provided for any addition)</w:t>
      </w:r>
    </w:p>
    <w:p>
      <w:pPr>
        <w:pStyle w:val="Assessortext"/>
        <w:spacing w:after="160"/>
      </w:pPr>
      <w:r>
        <w:t>MFA enforcement evidenced</w:t>
      </w:r>
    </w:p>
    <w:p>
      <w:pPr>
        <w:pStyle w:val="Assessortext"/>
        <w:spacing w:after="160"/>
      </w:pPr>
      <w:r>
        <w:t>EC2 instance role / Application-Service permissions described</w:t>
      </w:r>
    </w:p>
    <w:p>
      <w:pPr>
        <w:pStyle w:val="Assessortext"/>
        <w:spacing w:after="160"/>
      </w:pPr>
      <w:r>
        <w:t>Cross-references Screenshot A1, A2, A3 + Configuration export B1, B2</w:t>
      </w:r>
    </w:p>
    <w:p>
      <w:pPr>
        <w:pStyle w:val="Heading3"/>
        <w:spacing w:before="200" w:after="80"/>
      </w:pPr>
      <w:r>
        <w:t>5.2 §4.2 Network (criterion A4)</w:t>
      </w:r>
    </w:p>
    <w:p>
      <w:pPr>
        <w:pStyle w:val="Assessortext"/>
        <w:spacing w:after="160"/>
      </w:pPr>
      <w:r>
        <w:t>VPC CIDR + subnet layout matches supplied design</w:t>
      </w:r>
    </w:p>
    <w:p>
      <w:pPr>
        <w:pStyle w:val="Assessortext"/>
        <w:spacing w:after="160"/>
      </w:pPr>
      <w:r>
        <w:t>Internet Gateway + NAT Gateway documented</w:t>
      </w:r>
    </w:p>
    <w:p>
      <w:pPr>
        <w:pStyle w:val="Assessortext"/>
        <w:spacing w:after="160"/>
      </w:pPr>
      <w:r>
        <w:t>Route table behaviour documented</w:t>
      </w:r>
    </w:p>
    <w:p>
      <w:pPr>
        <w:pStyle w:val="Assessortext"/>
        <w:spacing w:after="160"/>
      </w:pPr>
      <w:r>
        <w:t>Cross-references A4, A5, A6, A7</w:t>
      </w:r>
    </w:p>
    <w:p>
      <w:pPr>
        <w:pStyle w:val="Heading3"/>
        <w:spacing w:before="200" w:after="80"/>
      </w:pPr>
      <w:r>
        <w:t>5.3 §4.3 + §4.4 Compute + ALB (criterion A5)</w:t>
      </w:r>
    </w:p>
    <w:p>
      <w:pPr>
        <w:pStyle w:val="Assessortext"/>
        <w:spacing w:after="160"/>
      </w:pPr>
      <w:r>
        <w:t>EC2 instance type stated (per C1 decision)</w:t>
      </w:r>
    </w:p>
    <w:p>
      <w:pPr>
        <w:pStyle w:val="Assessortext"/>
        <w:spacing w:after="160"/>
      </w:pPr>
      <w:r>
        <w:t>ASG configuration stated (min/desired/max + scaling policy threshold per C4)</w:t>
      </w:r>
    </w:p>
    <w:p>
      <w:pPr>
        <w:pStyle w:val="Assessortext"/>
        <w:spacing w:after="160"/>
      </w:pPr>
      <w:r>
        <w:t>ALB configuration + target group health check</w:t>
      </w:r>
    </w:p>
    <w:p>
      <w:pPr>
        <w:pStyle w:val="Assessortext"/>
        <w:spacing w:after="160"/>
      </w:pPr>
      <w:r>
        <w:t>Cross-references A9, A13, A14</w:t>
      </w:r>
    </w:p>
    <w:p>
      <w:pPr>
        <w:pStyle w:val="Heading3"/>
        <w:spacing w:before="200" w:after="80"/>
      </w:pPr>
      <w:r>
        <w:t>5.4 §4.5 Database (criterion A5)</w:t>
      </w:r>
    </w:p>
    <w:p>
      <w:pPr>
        <w:pStyle w:val="Assessortext"/>
        <w:spacing w:after="160"/>
      </w:pPr>
      <w:r>
        <w:t>RDS instance class stated (per C2)</w:t>
      </w:r>
    </w:p>
    <w:p>
      <w:pPr>
        <w:pStyle w:val="Assessortext"/>
        <w:spacing w:after="160"/>
      </w:pPr>
      <w:r>
        <w:t>MySQL engine version (per C7)</w:t>
      </w:r>
    </w:p>
    <w:p>
      <w:pPr>
        <w:pStyle w:val="Assessortext"/>
        <w:spacing w:after="160"/>
      </w:pPr>
      <w:r>
        <w:t>Single-AZ deployment confirmed</w:t>
      </w:r>
    </w:p>
    <w:p>
      <w:pPr>
        <w:pStyle w:val="Assessortext"/>
        <w:spacing w:after="160"/>
      </w:pPr>
      <w:r>
        <w:t>Encryption at rest confirmed</w:t>
      </w:r>
    </w:p>
    <w:p>
      <w:pPr>
        <w:pStyle w:val="Assessortext"/>
        <w:spacing w:after="160"/>
      </w:pPr>
      <w:r>
        <w:t>Cross-references A12</w:t>
      </w:r>
    </w:p>
    <w:p>
      <w:pPr>
        <w:pStyle w:val="Heading3"/>
        <w:spacing w:before="200" w:after="80"/>
      </w:pPr>
      <w:r>
        <w:t>5.5 §4.6 Storage (criterion A5)</w:t>
      </w:r>
    </w:p>
    <w:p>
      <w:pPr>
        <w:pStyle w:val="Assessortext"/>
        <w:spacing w:after="160"/>
      </w:pPr>
      <w:r>
        <w:t>EBS volumes (root + data) sizing documented</w:t>
      </w:r>
    </w:p>
    <w:p>
      <w:pPr>
        <w:pStyle w:val="Assessortext"/>
        <w:spacing w:after="160"/>
      </w:pPr>
      <w:r>
        <w:t>S3 buckets (attachments + backups) with block-public-access confirmed</w:t>
      </w:r>
    </w:p>
    <w:p>
      <w:pPr>
        <w:pStyle w:val="Assessortext"/>
        <w:spacing w:after="160"/>
      </w:pPr>
      <w:r>
        <w:t>Cross-references A10, A11</w:t>
      </w:r>
    </w:p>
    <w:p>
      <w:pPr>
        <w:pStyle w:val="Heading3"/>
        <w:spacing w:before="200" w:after="80"/>
      </w:pPr>
      <w:r>
        <w:t>5.6 §4.7 Security (criterion A4)</w:t>
      </w:r>
    </w:p>
    <w:p>
      <w:pPr>
        <w:pStyle w:val="Assessortext"/>
        <w:spacing w:after="160"/>
      </w:pPr>
      <w:r>
        <w:t>Three-tier security group model documented</w:t>
      </w:r>
    </w:p>
    <w:p>
      <w:pPr>
        <w:pStyle w:val="Assessortext"/>
        <w:spacing w:after="160"/>
      </w:pPr>
      <w:r>
        <w:t>Encryption-in-transit between tiers documented</w:t>
      </w:r>
    </w:p>
    <w:p>
      <w:pPr>
        <w:pStyle w:val="Assessortext"/>
        <w:spacing w:after="160"/>
      </w:pPr>
      <w:r>
        <w:t>Shared responsibility table from §9.4 of the supplied design referenced</w:t>
      </w:r>
    </w:p>
    <w:p>
      <w:pPr>
        <w:pStyle w:val="Assessortext"/>
        <w:spacing w:after="160"/>
      </w:pPr>
      <w:r>
        <w:t>Cross-references A8</w:t>
      </w:r>
    </w:p>
    <w:p>
      <w:pPr>
        <w:pStyle w:val="Heading3"/>
        <w:spacing w:before="200" w:after="80"/>
      </w:pPr>
      <w:r>
        <w:t>5.7 §4.8 Monitoring baseline (criterion A6)</w:t>
      </w:r>
    </w:p>
    <w:p>
      <w:pPr>
        <w:pStyle w:val="Assessortext"/>
        <w:spacing w:after="160"/>
      </w:pPr>
      <w:r>
        <w:t>Both baseline CloudWatch alarms named and evidenced (per the supplied design's §4.10 list): ALB target health status, and RDS free storage low</w:t>
      </w:r>
    </w:p>
    <w:p>
      <w:pPr>
        <w:pStyle w:val="Assessortext"/>
        <w:spacing w:after="160"/>
      </w:pPr>
      <w:r>
        <w:t>Acknowledged that HA-tuned monitoring is deferred to AT3</w:t>
      </w:r>
    </w:p>
    <w:p>
      <w:pPr>
        <w:pStyle w:val="Assessortext"/>
        <w:spacing w:after="160"/>
      </w:pPr>
      <w:r>
        <w:t>Cross-references A17</w:t>
      </w:r>
    </w:p>
    <w:p>
      <w:pPr>
        <w:pStyle w:val="Assessortext"/>
        <w:spacing w:before="120" w:after="80"/>
      </w:pPr>
      <w:r>
        <w:rPr>
          <w:b/>
        </w:rPr>
        <w:t>NYS for the build narrative:</w:t>
      </w:r>
    </w:p>
    <w:p>
      <w:pPr>
        <w:pStyle w:val="Assessortext"/>
        <w:spacing w:after="80"/>
        <w:ind w:left="360"/>
      </w:pPr>
      <w:r>
        <w:t>• Any sub-section missing</w:t>
      </w:r>
    </w:p>
    <w:p>
      <w:pPr>
        <w:pStyle w:val="Assessortext"/>
        <w:spacing w:after="80"/>
        <w:ind w:left="360"/>
      </w:pPr>
      <w:r>
        <w:t>• Any sub-section that contradicts the screenshot evidence in Appendix A</w:t>
      </w:r>
    </w:p>
    <w:p>
      <w:pPr>
        <w:pStyle w:val="Assessortext"/>
        <w:spacing w:after="80"/>
        <w:ind w:left="360"/>
      </w:pPr>
      <w:r>
        <w:t>• "Build narrative" reads like generic AWS documentation rather than a description of what was actually built</w:t>
      </w:r>
    </w:p>
    <w:p>
      <w:pPr>
        <w:pStyle w:val="Heading2"/>
        <w:spacing w:before="280" w:after="80"/>
      </w:pPr>
      <w:r>
        <w:t>6. Marking §5 Configuration Decisions</w:t>
      </w:r>
    </w:p>
    <w:p>
      <w:pPr>
        <w:pStyle w:val="Assessortext"/>
        <w:spacing w:after="160"/>
      </w:pPr>
      <w:r>
        <w:rPr>
          <w:i/>
          <w:color w:val="595959"/>
          <w:sz w:val="18"/>
        </w:rPr>
        <w:t>UoC evidenced: [ICTCLD401 PC 1.1] · [ICTCLD401 PC 1.3]. Critical section.</w:t>
      </w:r>
    </w:p>
    <w:p>
      <w:pPr>
        <w:pStyle w:val="Assessortext"/>
        <w:spacing w:before="120" w:after="80"/>
      </w:pPr>
      <w:r>
        <w:rPr>
          <w:b/>
        </w:rPr>
        <w:t>Satisfactory looks like: both decisions carry at least two options considered, a stated choice, and a rationale tied to the YAT LMS workload (not generic):</w:t>
      </w:r>
    </w:p>
    <w:tbl>
      <w:tblPr>
        <w:tblStyle w:val="TableGrid"/>
        <w:tblW w:type="auto" w:w="0"/>
        <w:tblLook w:firstColumn="1" w:firstRow="1" w:lastColumn="0" w:lastRow="0" w:noHBand="0" w:noVBand="1" w:val="04A0"/>
      </w:tblPr>
      <w:tblGrid>
        <w:gridCol w:w="3489"/>
        <w:gridCol w:w="3489"/>
        <w:gridCol w:w="3489"/>
      </w:tblGrid>
      <w:tr>
        <w:tc>
          <w:tcPr>
            <w:tcW w:type="dxa" w:w="3489"/>
          </w:tcPr>
          <w:p>
            <w:r>
              <w:t>#</w:t>
            </w:r>
          </w:p>
        </w:tc>
        <w:tc>
          <w:tcPr>
            <w:tcW w:type="dxa" w:w="3489"/>
          </w:tcPr>
          <w:p>
            <w:r>
              <w:t>Decision</w:t>
            </w:r>
          </w:p>
        </w:tc>
        <w:tc>
          <w:tcPr>
            <w:tcW w:type="dxa" w:w="3489"/>
          </w:tcPr>
          <w:p>
            <w:r>
              <w:t>What a credible justification references</w:t>
            </w:r>
          </w:p>
        </w:tc>
      </w:tr>
      <w:tr>
        <w:tc>
          <w:tcPr>
            <w:tcW w:type="dxa" w:w="3489"/>
          </w:tcPr>
          <w:p>
            <w:r>
              <w:t>C1</w:t>
            </w:r>
          </w:p>
        </w:tc>
        <w:tc>
          <w:tcPr>
            <w:tcW w:type="dxa" w:w="3489"/>
          </w:tcPr>
          <w:p>
            <w:r>
              <w:t>Application-tier instance type</w:t>
            </w:r>
          </w:p>
        </w:tc>
        <w:tc>
          <w:tcPr>
            <w:tcW w:type="dxa" w:w="3489"/>
          </w:tcPr>
          <w:p>
            <w:r>
              <w:t>Concurrent-user load from the LMS application spec (200–300 typical, 500–700 peak); growth headroom</w:t>
            </w:r>
          </w:p>
        </w:tc>
      </w:tr>
      <w:tr>
        <w:tc>
          <w:tcPr>
            <w:tcW w:type="dxa" w:w="3489"/>
          </w:tcPr>
          <w:p>
            <w:r>
              <w:t>C2</w:t>
            </w:r>
          </w:p>
        </w:tc>
        <w:tc>
          <w:tcPr>
            <w:tcW w:type="dxa" w:w="3489"/>
          </w:tcPr>
          <w:p>
            <w:r>
              <w:t>Database instance class and storage size</w:t>
            </w:r>
          </w:p>
        </w:tc>
        <w:tc>
          <w:tcPr>
            <w:tcW w:type="dxa" w:w="3489"/>
          </w:tcPr>
          <w:p>
            <w:r>
              <w:t>Database workload characteristics (read-heavy for an LMS); the current data footprint and its growth rate</w:t>
            </w:r>
          </w:p>
        </w:tc>
      </w:tr>
    </w:tbl>
    <w:p/>
    <w:p>
      <w:pPr>
        <w:pStyle w:val="Assessortext"/>
        <w:spacing w:after="160"/>
      </w:pPr>
      <w:r>
        <w:t>Acceptable variance: specific choices can differ between students (e.g. m5.large vs m6i.large), as long as the justification holds. The benchmark is the quality of reasoning, not a single correct answer.</w:t>
      </w:r>
    </w:p>
    <w:p>
      <w:pPr>
        <w:pStyle w:val="Assessortext"/>
        <w:spacing w:before="120" w:after="80"/>
      </w:pPr>
      <w:r>
        <w:rPr>
          <w:b/>
        </w:rPr>
        <w:t>NYS:</w:t>
      </w:r>
    </w:p>
    <w:p>
      <w:pPr>
        <w:pStyle w:val="Assessortext"/>
        <w:spacing w:after="80"/>
        <w:ind w:left="360"/>
      </w:pPr>
      <w:r>
        <w:t>• Either decision left blank or with "TBD"</w:t>
      </w:r>
    </w:p>
    <w:p>
      <w:pPr>
        <w:pStyle w:val="Assessortext"/>
        <w:spacing w:after="80"/>
        <w:ind w:left="360"/>
      </w:pPr>
      <w:r>
        <w:t>• Only the chosen option given, with no alternative considered — the comparison is not evidenced</w:t>
      </w:r>
    </w:p>
    <w:p>
      <w:pPr>
        <w:pStyle w:val="Assessortext"/>
        <w:spacing w:after="80"/>
        <w:ind w:left="360"/>
      </w:pPr>
      <w:r>
        <w:t>• Generic justifications ("m6i.large is a good general-purpose instance") not tied to YAT workload</w:t>
      </w:r>
    </w:p>
    <w:p>
      <w:pPr>
        <w:pStyle w:val="Assessortext"/>
        <w:spacing w:after="80"/>
        <w:ind w:left="360"/>
      </w:pPr>
      <w:r>
        <w:t>• Justification contradicts the workload (e.g. picking a tiny instance after acknowledging 700 peak concurrent users)</w:t>
      </w:r>
    </w:p>
    <w:p>
      <w:pPr>
        <w:pStyle w:val="Heading2"/>
        <w:spacing w:before="280" w:after="80"/>
      </w:pPr>
      <w:r>
        <w:t>7. Marking §6 Testing and Validation</w:t>
      </w:r>
    </w:p>
    <w:p>
      <w:pPr>
        <w:pStyle w:val="Assessortext"/>
        <w:spacing w:after="160"/>
      </w:pPr>
      <w:r>
        <w:rPr>
          <w:i/>
          <w:color w:val="595959"/>
          <w:sz w:val="18"/>
        </w:rPr>
        <w:t>UoC evidenced: [ICTCLD401 PC 2.6, 3.2] · [ICTCLD401 PE 3] · [ICTCLD502 PC 4.2]. Critical section.</w:t>
      </w:r>
    </w:p>
    <w:p>
      <w:pPr>
        <w:pStyle w:val="Assessortext"/>
        <w:spacing w:after="160"/>
      </w:pPr>
      <w:r>
        <w:t>Each test is instrumented: the template gives the student the steps and a box to paste the screenshot into. Mark the screenshot, not the prose.</w:t>
      </w:r>
    </w:p>
    <w:tbl>
      <w:tblPr>
        <w:tblStyle w:val="TableGrid"/>
        <w:tblW w:type="auto" w:w="0"/>
        <w:tblLook w:firstColumn="1" w:firstRow="1" w:lastColumn="0" w:lastRow="0" w:noHBand="0" w:noVBand="1" w:val="04A0"/>
      </w:tblPr>
      <w:tblGrid>
        <w:gridCol w:w="5233"/>
        <w:gridCol w:w="5233"/>
      </w:tblGrid>
      <w:tr>
        <w:tc>
          <w:tcPr>
            <w:tcW w:type="dxa" w:w="5233"/>
          </w:tcPr>
          <w:p>
            <w:r>
              <w:t>Test</w:t>
            </w:r>
          </w:p>
        </w:tc>
        <w:tc>
          <w:tcPr>
            <w:tcW w:type="dxa" w:w="5233"/>
          </w:tcPr>
          <w:p>
            <w:r>
              <w:t>Satisfactory evidence in the box</w:t>
            </w:r>
          </w:p>
        </w:tc>
      </w:tr>
      <w:tr>
        <w:tc>
          <w:tcPr>
            <w:tcW w:type="dxa" w:w="5233"/>
          </w:tcPr>
          <w:p>
            <w:r>
              <w:t>6.1 Connect to the application server</w:t>
            </w:r>
          </w:p>
        </w:tc>
        <w:tc>
          <w:tcPr>
            <w:tcW w:type="dxa" w:w="5233"/>
          </w:tcPr>
          <w:p>
            <w:r>
              <w:t>A terminal session on the instance, connection succeeding</w:t>
            </w:r>
          </w:p>
        </w:tc>
      </w:tr>
      <w:tr>
        <w:tc>
          <w:tcPr>
            <w:tcW w:type="dxa" w:w="5233"/>
          </w:tcPr>
          <w:p>
            <w:r>
              <w:t>6.2 Reach the internet</w:t>
            </w:r>
          </w:p>
        </w:tc>
        <w:tc>
          <w:tcPr>
            <w:tcW w:type="dxa" w:w="5233"/>
          </w:tcPr>
          <w:p>
            <w:r>
              <w:t>The command and an HTTP response header returned through the NAT gateway</w:t>
            </w:r>
          </w:p>
        </w:tc>
      </w:tr>
      <w:tr>
        <w:tc>
          <w:tcPr>
            <w:tcW w:type="dxa" w:w="5233"/>
          </w:tcPr>
          <w:p>
            <w:r>
              <w:t>6.3 Reach the database</w:t>
            </w:r>
          </w:p>
        </w:tc>
        <w:tc>
          <w:tcPr>
            <w:tcW w:type="dxa" w:w="5233"/>
          </w:tcPr>
          <w:p>
            <w:r>
              <w:t>The command and output confirming port 3306 reachable from the app tier</w:t>
            </w:r>
          </w:p>
        </w:tc>
      </w:tr>
      <w:tr>
        <w:tc>
          <w:tcPr>
            <w:tcW w:type="dxa" w:w="5233"/>
          </w:tcPr>
          <w:p>
            <w:r>
              <w:t>6.4 Reach the load balancer</w:t>
            </w:r>
          </w:p>
        </w:tc>
        <w:tc>
          <w:tcPr>
            <w:tcW w:type="dxa" w:w="5233"/>
          </w:tcPr>
          <w:p>
            <w:r>
              <w:t>The command and an HTTP response from the load balancer</w:t>
            </w:r>
          </w:p>
        </w:tc>
      </w:tr>
      <w:tr>
        <w:tc>
          <w:tcPr>
            <w:tcW w:type="dxa" w:w="5233"/>
          </w:tcPr>
          <w:p>
            <w:r>
              <w:t>6.5 Automatic scaling</w:t>
            </w:r>
          </w:p>
        </w:tc>
        <w:tc>
          <w:tcPr>
            <w:tcW w:type="dxa" w:w="5233"/>
          </w:tcPr>
          <w:p>
            <w:r>
              <w:t>The Auto Scaling Activity tab showing both a scale-out and a scale-in entry</w:t>
            </w:r>
          </w:p>
        </w:tc>
      </w:tr>
    </w:tbl>
    <w:p/>
    <w:p>
      <w:pPr>
        <w:pStyle w:val="Assessortext"/>
        <w:spacing w:before="120" w:after="80"/>
      </w:pPr>
      <w:r>
        <w:rPr>
          <w:b/>
        </w:rPr>
        <w:t>NYS:</w:t>
      </w:r>
    </w:p>
    <w:p>
      <w:pPr>
        <w:pStyle w:val="Assessortext"/>
        <w:spacing w:after="80"/>
        <w:ind w:left="360"/>
      </w:pPr>
      <w:r>
        <w:t>• Any screenshot box left empty</w:t>
      </w:r>
    </w:p>
    <w:p>
      <w:pPr>
        <w:pStyle w:val="Assessortext"/>
        <w:spacing w:after="80"/>
        <w:ind w:left="360"/>
      </w:pPr>
      <w:r>
        <w:t>• A screenshot that does not show what the box asks for</w:t>
      </w:r>
    </w:p>
    <w:p>
      <w:pPr>
        <w:pStyle w:val="Assessortext"/>
        <w:spacing w:after="80"/>
        <w:ind w:left="360"/>
      </w:pPr>
      <w:r>
        <w:t>• Evidence that contradicts the claimed outcome</w:t>
      </w:r>
    </w:p>
    <w:p>
      <w:pPr>
        <w:pStyle w:val="Assessortext"/>
        <w:spacing w:after="80"/>
        <w:ind w:left="360"/>
      </w:pPr>
      <w:r>
        <w:t>• Screenshots from another environment rather than the student's own build</w:t>
      </w:r>
    </w:p>
    <w:p>
      <w:pPr>
        <w:pStyle w:val="Heading2"/>
        <w:spacing w:before="280" w:after="80"/>
      </w:pPr>
      <w:r>
        <w:t>8. Marking §7 Operational Handover</w:t>
      </w:r>
    </w:p>
    <w:p>
      <w:pPr>
        <w:pStyle w:val="Assessortext"/>
        <w:spacing w:after="160"/>
      </w:pPr>
      <w:r>
        <w:rPr>
          <w:i/>
          <w:color w:val="595959"/>
          <w:sz w:val="18"/>
        </w:rPr>
        <w:t>UoC evidenced: [ICTCLD401 PC 4.3] (save and store user documentation per organisational policies and procedures).</w:t>
      </w:r>
    </w:p>
    <w:p>
      <w:pPr>
        <w:pStyle w:val="Assessortext"/>
        <w:spacing w:before="120" w:after="80"/>
      </w:pPr>
      <w:r>
        <w:rPr>
          <w:b/>
        </w:rPr>
        <w:t>Satisfactory looks like:</w:t>
      </w:r>
    </w:p>
    <w:p>
      <w:pPr>
        <w:pStyle w:val="Assessortext"/>
        <w:spacing w:after="80"/>
        <w:ind w:left="360"/>
      </w:pPr>
      <w:r>
        <w:t>• Access information for YAT IT documented (which IAM groups, who has access post-handover)</w:t>
      </w:r>
    </w:p>
    <w:p>
      <w:pPr>
        <w:pStyle w:val="Assessortext"/>
        <w:spacing w:after="80"/>
        <w:ind w:left="360"/>
      </w:pPr>
      <w:r>
        <w:t>• Runbook references to baseline design + tagging + backup baseline + alarms</w:t>
      </w:r>
    </w:p>
    <w:p>
      <w:pPr>
        <w:pStyle w:val="Assessortext"/>
        <w:spacing w:after="80"/>
        <w:ind w:left="360"/>
      </w:pPr>
      <w:r>
        <w:t>• §7.4 Documentation filing — student names how/where the report was filed per YAT records procedures (refer to the Backup and Retention Policy or the Records Management Policy on the YAT intranet)</w:t>
      </w:r>
    </w:p>
    <w:p>
      <w:pPr>
        <w:pStyle w:val="Assessortext"/>
        <w:spacing w:before="120" w:after="80"/>
      </w:pPr>
      <w:r>
        <w:rPr>
          <w:b/>
        </w:rPr>
        <w:t>NYS:</w:t>
      </w:r>
    </w:p>
    <w:p>
      <w:pPr>
        <w:pStyle w:val="Assessortext"/>
        <w:spacing w:after="80"/>
        <w:ind w:left="360"/>
      </w:pPr>
      <w:r>
        <w:t>• §7.4 filing not addressed (PC 4.3 not evidenced)</w:t>
      </w:r>
    </w:p>
    <w:p>
      <w:pPr>
        <w:pStyle w:val="Assessortext"/>
        <w:spacing w:after="80"/>
        <w:ind w:left="360"/>
      </w:pPr>
      <w:r>
        <w:t>• Handover section reads as a checklist without actual handover content</w:t>
      </w:r>
    </w:p>
    <w:p>
      <w:pPr>
        <w:pStyle w:val="Assessortext"/>
        <w:spacing w:after="80"/>
        <w:ind w:left="360"/>
      </w:pPr>
      <w:r>
        <w:t>• Known limitations section claims AT2 is HA when it isn't</w:t>
      </w:r>
    </w:p>
    <w:p>
      <w:pPr>
        <w:pStyle w:val="Heading2"/>
        <w:spacing w:before="280" w:after="80"/>
      </w:pPr>
      <w:r>
        <w:t>9. Marking §8 Knowledge Evidence Responses</w:t>
      </w:r>
    </w:p>
    <w:p>
      <w:pPr>
        <w:pStyle w:val="Assessortext"/>
        <w:spacing w:after="160"/>
      </w:pPr>
      <w:r>
        <w:rPr>
          <w:i/>
          <w:color w:val="595959"/>
          <w:sz w:val="18"/>
        </w:rPr>
        <w:t>UoC evidenced: [ICTCLD401 KE 5, 6, 7, 8, 9, 10]. Critical section.</w:t>
      </w:r>
    </w:p>
    <w:p>
      <w:pPr>
        <w:pStyle w:val="Assessortext"/>
        <w:spacing w:after="160"/>
      </w:pPr>
      <w:r>
        <w:t>Below are model answers for each question. Student answers may differ in detail but must demonstrate the underlying knowledge applied to their own Deployment Report.</w:t>
      </w:r>
    </w:p>
    <w:p>
      <w:pPr>
        <w:pStyle w:val="Assessortext"/>
        <w:spacing w:after="160"/>
      </w:pPr>
      <w:r>
        <w:t>Q1 — VM/networking/scaling features [ICTCLD401 KE 5]</w:t>
      </w:r>
    </w:p>
    <w:p>
      <w:pPr>
        <w:pStyle w:val="Assessortext"/>
        <w:spacing w:after="160"/>
      </w:pPr>
      <w:r>
        <w:t>Model coverage: Student names each of EC2, ASG, ALB with the feature they provide and explains how the choice supports YAT LMS specifically.</w:t>
      </w:r>
    </w:p>
    <w:p>
      <w:pPr>
        <w:pStyle w:val="Assessortext"/>
        <w:spacing w:after="160"/>
      </w:pPr>
      <w:r>
        <w:t>EC2: compute capacity to run the Windows Server 2016 + DOODLE LMS stack; sized for the 200–300 typical / 500–700 peak concurrent user load (per LMS app spec).</w:t>
      </w:r>
    </w:p>
    <w:p>
      <w:pPr>
        <w:pStyle w:val="Assessortext"/>
        <w:spacing w:after="160"/>
      </w:pPr>
      <w:r>
        <w:t>ASG: horizontal auto-scaling so that the LMS can scale-out during assessment-window peaks without manual intervention; CPU threshold chosen at X% based on Y reasoning.</w:t>
      </w:r>
    </w:p>
    <w:p>
      <w:pPr>
        <w:pStyle w:val="Assessortext"/>
        <w:spacing w:after="160"/>
      </w:pPr>
      <w:r>
        <w:t>ALB: distributes traffic across the ASG members; HTTPS termination via ACM cert; health-check approach ensures unhealthy instances are removed from rotation quickly.</w:t>
      </w:r>
    </w:p>
    <w:p>
      <w:pPr>
        <w:pStyle w:val="Assessortext"/>
        <w:spacing w:after="160"/>
      </w:pPr>
      <w:r>
        <w:rPr>
          <w:b/>
        </w:rPr>
        <w:t xml:space="preserve">NYS: </w:t>
      </w:r>
      <w:r>
        <w:t>generic feature explanations without ties to YAT; doesn't address all three components; ignores the workload context.</w:t>
      </w:r>
    </w:p>
    <w:p>
      <w:pPr>
        <w:pStyle w:val="Assessortext"/>
        <w:spacing w:after="160"/>
      </w:pPr>
      <w:r>
        <w:t>Q2 — Vertical vs horizontal scaling; managed services; storage [ICTCLD401 KE 6]</w:t>
      </w:r>
    </w:p>
    <w:p>
      <w:pPr>
        <w:pStyle w:val="Assessortext"/>
        <w:spacing w:before="120" w:after="80"/>
      </w:pPr>
      <w:r>
        <w:rPr>
          <w:b/>
        </w:rPr>
        <w:t>Model coverage:</w:t>
      </w:r>
    </w:p>
    <w:p>
      <w:pPr>
        <w:pStyle w:val="Assessortext"/>
        <w:spacing w:after="80"/>
        <w:ind w:left="360"/>
      </w:pPr>
      <w:r>
        <w:t>• (a) RDS over self-hosted: managed backups, patching, monitoring; reduces operational burden on YAT IT (which lacks cloud expertise per the scenario context); HA-readiness (Multi-AZ is one config change away — coming in AT3).</w:t>
      </w:r>
    </w:p>
    <w:p>
      <w:pPr>
        <w:pStyle w:val="Assessortext"/>
        <w:spacing w:after="80"/>
        <w:ind w:left="360"/>
      </w:pPr>
      <w:r>
        <w:t>• (b) EBS + S3 together: EBS for OS + application binaries + frequently-accessed application data (low latency, block-level); S3 for course attachments + student submissions + backups (cheaper at scale, virtually unlimited, versioning + lifecycle to Glacier supports records retention).</w:t>
      </w:r>
    </w:p>
    <w:p>
      <w:pPr>
        <w:pStyle w:val="Assessortext"/>
        <w:spacing w:after="80"/>
        <w:ind w:left="360"/>
      </w:pPr>
      <w:r>
        <w:t>• (c) Vertical vs horizontal: vertical would require downtime to resize (poor fit for an LMS that must stay available during assessment windows); horizontal via ASG scales without downtime and handles the assessment-week 3× spike pattern. Trade-off: horizontal needs the application to support stateless/sticky-session patterns; LMS sessions may need session affinity at the ALB.</w:t>
      </w:r>
    </w:p>
    <w:p>
      <w:pPr>
        <w:pStyle w:val="Assessortext"/>
        <w:spacing w:after="160"/>
      </w:pPr>
      <w:r>
        <w:rPr>
          <w:b/>
        </w:rPr>
        <w:t xml:space="preserve">NYS: </w:t>
      </w:r>
      <w:r>
        <w:t>textbook definitions only; no reference to YAT specifics; missing one or more of the three sub-parts.</w:t>
      </w:r>
    </w:p>
    <w:p>
      <w:pPr>
        <w:pStyle w:val="Assessortext"/>
        <w:spacing w:after="160"/>
      </w:pPr>
      <w:r>
        <w:t>Q3 — Shared security responsibility [ICTCLD401 KE 7]</w:t>
      </w:r>
    </w:p>
    <w:p>
      <w:pPr>
        <w:pStyle w:val="Assessortext"/>
        <w:spacing w:before="120" w:after="80"/>
      </w:pPr>
      <w:r>
        <w:rPr>
          <w:b/>
        </w:rPr>
        <w:t>Model coverage:</w:t>
      </w:r>
    </w:p>
    <w:p>
      <w:pPr>
        <w:pStyle w:val="Assessortext"/>
        <w:spacing w:after="80"/>
        <w:ind w:left="360"/>
      </w:pPr>
      <w:r>
        <w:t>• (a) Two YAT responsibilities: e.g. (1) Windows Server 2016 OS patching post-handover; (2) IAM users + MFA management for YAT IT staff. Both fall on YAT's side of the shared responsibility line.</w:t>
      </w:r>
    </w:p>
    <w:p>
      <w:pPr>
        <w:pStyle w:val="Assessortext"/>
        <w:spacing w:after="80"/>
        <w:ind w:left="360"/>
      </w:pPr>
      <w:r>
        <w:t>• (b) One responsibility shifted from YAT to AWS: hardware refresh + data centre cooling/power (used to be YAT's server-room overhead; now AWS's). Or: backup-tape rotation (now AWS-managed RDS backups). Or: physical data centre security.</w:t>
      </w:r>
    </w:p>
    <w:p>
      <w:pPr>
        <w:pStyle w:val="Assessortext"/>
        <w:spacing w:after="160"/>
      </w:pPr>
      <w:r>
        <w:rPr>
          <w:b/>
        </w:rPr>
        <w:t xml:space="preserve">NYS: </w:t>
      </w:r>
      <w:r>
        <w:t>copy-paste from supplied design without identifying specific responsibilities; gets the responsibility line wrong (e.g. claims patching is AWS's).</w:t>
      </w:r>
    </w:p>
    <w:p>
      <w:pPr>
        <w:pStyle w:val="Assessortext"/>
        <w:spacing w:after="160"/>
      </w:pPr>
      <w:r>
        <w:t>Q4 — User access protocols [ICTCLD401 KE 8]</w:t>
      </w:r>
    </w:p>
    <w:p>
      <w:pPr>
        <w:pStyle w:val="Assessortext"/>
        <w:spacing w:after="160"/>
      </w:pPr>
      <w:r>
        <w:t>Model coverage: Student picks one IAM group, describes its permissions, names the job function, explains why permissions differ from another group.</w:t>
      </w:r>
    </w:p>
    <w:p>
      <w:pPr>
        <w:pStyle w:val="Assessortext"/>
        <w:spacing w:after="160"/>
      </w:pPr>
      <w:r>
        <w:t>Example: YAT-ICT-Admins has read-only on infrastructure + full access to CloudWatch and RDS console + no IAM modifications. Job function: day-to-day operations after handover. Different from MTS-Consultants (full admin during build) because YAT IT shouldn't be modifying IAM (that's a security boundary), and different from Read-Only-Auditors (no service mutations) because YAT IT need to acknowledge/clear alarms.</w:t>
      </w:r>
    </w:p>
    <w:p>
      <w:pPr>
        <w:pStyle w:val="Assessortext"/>
        <w:spacing w:after="160"/>
      </w:pPr>
      <w:r>
        <w:rPr>
          <w:b/>
        </w:rPr>
        <w:t xml:space="preserve">NYS: </w:t>
      </w:r>
      <w:r>
        <w:t>group described without job function context; permissions stated without rationale.</w:t>
      </w:r>
    </w:p>
    <w:p>
      <w:pPr>
        <w:pStyle w:val="Assessortext"/>
        <w:spacing w:after="160"/>
      </w:pPr>
      <w:r>
        <w:t>Q5 — Security policies + network traffic limits [ICTCLD401 KE 9]</w:t>
      </w:r>
    </w:p>
    <w:p>
      <w:pPr>
        <w:pStyle w:val="Assessortext"/>
        <w:spacing w:after="160"/>
      </w:pPr>
      <w:r>
        <w:t>Model coverage: Student picks one SG (e.g. sg-db), describes its rules, explains why traffic is restricted that way, names the risk if removed.</w:t>
      </w:r>
    </w:p>
    <w:p>
      <w:pPr>
        <w:pStyle w:val="Assessortext"/>
        <w:spacing w:after="160"/>
      </w:pPr>
      <w:r>
        <w:t>Example: sg-db allows MySQL:3306 inbound only from sg-app (no public ingress at all), no outbound. Restricted because the database must only be reachable from the application tier — direct database access from the internet would expose student PII (Privacy Act 1988 risk). Removing the restriction would mean anyone on the internet could attempt to brute-force MySQL credentials.</w:t>
      </w:r>
    </w:p>
    <w:p>
      <w:pPr>
        <w:pStyle w:val="Assessortext"/>
        <w:spacing w:after="160"/>
      </w:pPr>
      <w:r>
        <w:rPr>
          <w:b/>
        </w:rPr>
        <w:t xml:space="preserve">NYS: </w:t>
      </w:r>
      <w:r>
        <w:t>SG rules stated without rationale; risk statement absent or generic.</w:t>
      </w:r>
    </w:p>
    <w:p>
      <w:pPr>
        <w:pStyle w:val="Assessortext"/>
        <w:spacing w:after="160"/>
      </w:pPr>
      <w:r>
        <w:t>Q6 — Role of DNS [ICTCLD401 KE 10]</w:t>
      </w:r>
    </w:p>
    <w:p>
      <w:pPr>
        <w:pStyle w:val="Assessortext"/>
        <w:spacing w:after="160"/>
      </w:pPr>
      <w:r>
        <w:t>Model coverage: Student explains that the browser cannot reach anything by name alone — DNS translates the LMS hostname into an address the browser can connect to, and in this deployment that address is the load balancer.</w:t>
      </w:r>
    </w:p>
    <w:p>
      <w:pPr>
        <w:pStyle w:val="Assessortext"/>
        <w:spacing w:after="160"/>
      </w:pPr>
      <w:r>
        <w:t>The LMS hostname resolves (via YAT's authoritative DNS) to the load balancer's DNS name, which AWS in turn resolves to one of the load balancer's current IP addresses.</w:t>
      </w:r>
    </w:p>
    <w:p>
      <w:pPr>
        <w:pStyle w:val="Assessortext"/>
        <w:spacing w:after="160"/>
      </w:pPr>
      <w:r>
        <w:t>Because those addresses change, the name is what stays stable — which is why the hostname points at the load balancer rather than at any instance.</w:t>
      </w:r>
    </w:p>
    <w:p>
      <w:pPr>
        <w:pStyle w:val="Assessortext"/>
        <w:spacing w:after="160"/>
      </w:pPr>
      <w:r>
        <w:t>If misconfigured, the browser gets the wrong address or none at all, and staff cannot reach the LMS even though every server behind it is running.</w:t>
      </w:r>
    </w:p>
    <w:p>
      <w:pPr>
        <w:pStyle w:val="Assessortext"/>
        <w:spacing w:after="160"/>
      </w:pPr>
      <w:r>
        <w:t>Accept any answer that shows DNS is the name-to-address step and names the load balancer as the target. A student who also mentions the instance resolving the database endpoint has gone beyond the question — credit it, do not require it.</w:t>
      </w:r>
    </w:p>
    <w:p>
      <w:pPr>
        <w:pStyle w:val="Assessortext"/>
        <w:spacing w:after="160"/>
      </w:pPr>
      <w:r>
        <w:rPr>
          <w:b/>
        </w:rPr>
        <w:t xml:space="preserve">NYS: </w:t>
      </w:r>
      <w:r>
        <w:t>generic "DNS resolves names to IPs" with no reference to their own deployment.</w:t>
      </w:r>
    </w:p>
    <w:p>
      <w:pPr>
        <w:pStyle w:val="Assessortext"/>
        <w:spacing w:after="160"/>
      </w:pPr>
      <w:r>
        <w:t>Marking checks for Appendix 2 (§8) overall</w:t>
      </w:r>
    </w:p>
    <w:p>
      <w:pPr>
        <w:pStyle w:val="Assessortext"/>
        <w:spacing w:before="120" w:after="80"/>
      </w:pPr>
      <w:r>
        <w:rPr>
          <w:b/>
        </w:rPr>
        <w:t>Award credit for:</w:t>
      </w:r>
    </w:p>
    <w:p>
      <w:pPr>
        <w:pStyle w:val="Assessortext"/>
        <w:spacing w:after="80"/>
        <w:ind w:left="360"/>
      </w:pPr>
      <w:r>
        <w:t>• All 6 questions answered</w:t>
      </w:r>
    </w:p>
    <w:p>
      <w:pPr>
        <w:pStyle w:val="Assessortext"/>
        <w:spacing w:after="80"/>
        <w:ind w:left="360"/>
      </w:pPr>
      <w:r>
        <w:t>• Each answer references specific sections of the student's own report</w:t>
      </w:r>
    </w:p>
    <w:p>
      <w:pPr>
        <w:pStyle w:val="Assessortext"/>
        <w:spacing w:after="80"/>
        <w:ind w:left="360"/>
      </w:pPr>
      <w:r>
        <w:t>• The cited content is actually present in their report</w:t>
      </w:r>
    </w:p>
    <w:p>
      <w:pPr>
        <w:pStyle w:val="Assessortext"/>
        <w:spacing w:before="120" w:after="80"/>
      </w:pPr>
      <w:r>
        <w:rPr>
          <w:b/>
        </w:rPr>
        <w:t>Common deductions:</w:t>
      </w:r>
    </w:p>
    <w:p>
      <w:pPr>
        <w:pStyle w:val="Assessortext"/>
        <w:spacing w:after="80"/>
        <w:ind w:left="360"/>
      </w:pPr>
      <w:r>
        <w:t>• Generic textbook answers ("IaaS provides infrastructure")</w:t>
      </w:r>
    </w:p>
    <w:p>
      <w:pPr>
        <w:pStyle w:val="Assessortext"/>
        <w:spacing w:after="80"/>
        <w:ind w:left="360"/>
      </w:pPr>
      <w:r>
        <w:t>• Citations to report sections that don't contain what the answer claims</w:t>
      </w:r>
    </w:p>
    <w:p>
      <w:pPr>
        <w:pStyle w:val="Assessortext"/>
        <w:spacing w:after="80"/>
        <w:ind w:left="360"/>
      </w:pPr>
      <w:r>
        <w:t>• Repeating the supplied design verbatim instead of synthesising</w:t>
      </w:r>
    </w:p>
    <w:p>
      <w:pPr>
        <w:pStyle w:val="Heading2"/>
        <w:spacing w:before="280" w:after="80"/>
      </w:pPr>
      <w:r>
        <w:t>10. Marking Appendix A — Build Evidence (Screenshots)</w:t>
      </w:r>
    </w:p>
    <w:p>
      <w:pPr>
        <w:pStyle w:val="Assessortext"/>
        <w:spacing w:after="160"/>
      </w:pPr>
      <w:r>
        <w:rPr>
          <w:i/>
          <w:color w:val="595959"/>
          <w:sz w:val="18"/>
        </w:rPr>
        <w:t>UoC evidenced: [ICTCLD401 PE 1, 2]. Critical section.</w:t>
      </w:r>
    </w:p>
    <w:p>
      <w:pPr>
        <w:pStyle w:val="Assessortext"/>
        <w:spacing w:before="120" w:after="80"/>
      </w:pPr>
      <w:r>
        <w:rPr>
          <w:b/>
        </w:rPr>
        <w:t>Satisfactory looks like:</w:t>
      </w:r>
    </w:p>
    <w:p>
      <w:pPr>
        <w:pStyle w:val="Assessortext"/>
        <w:spacing w:after="80"/>
        <w:ind w:left="360"/>
      </w:pPr>
      <w:r>
        <w:t>• All 17 screenshots (A1–A17) present</w:t>
      </w:r>
    </w:p>
    <w:p>
      <w:pPr>
        <w:pStyle w:val="Assessortext"/>
        <w:spacing w:after="80"/>
        <w:ind w:left="360"/>
      </w:pPr>
      <w:r>
        <w:t>• AWS region indicator visible in each (top-right of console)</w:t>
      </w:r>
    </w:p>
    <w:p>
      <w:pPr>
        <w:pStyle w:val="Assessortext"/>
        <w:spacing w:after="80"/>
        <w:ind w:left="360"/>
      </w:pPr>
      <w:r>
        <w:t>• Named items visible per the template's screenshot description</w:t>
      </w:r>
    </w:p>
    <w:p>
      <w:pPr>
        <w:pStyle w:val="Assessortext"/>
        <w:spacing w:after="80"/>
        <w:ind w:left="360"/>
      </w:pPr>
      <w:r>
        <w:t>• Screenshots are from the actual deployed environment (not Photoshopped, not from AWS marketing material)</w:t>
      </w:r>
    </w:p>
    <w:p>
      <w:pPr>
        <w:pStyle w:val="Assessortext"/>
        <w:spacing w:before="120" w:after="80"/>
      </w:pPr>
      <w:r>
        <w:rPr>
          <w:b/>
        </w:rPr>
        <w:t>Common deductions:</w:t>
      </w:r>
    </w:p>
    <w:p>
      <w:pPr>
        <w:pStyle w:val="Assessortext"/>
        <w:spacing w:after="80"/>
        <w:ind w:left="360"/>
      </w:pPr>
      <w:r>
        <w:t>• Region indicator not visible — can't verify ap-southeast-2</w:t>
      </w:r>
    </w:p>
    <w:p>
      <w:pPr>
        <w:pStyle w:val="Assessortext"/>
        <w:spacing w:after="80"/>
        <w:ind w:left="360"/>
      </w:pPr>
      <w:r>
        <w:t>• Screenshot doesn't show the named items (e.g. A14 doesn't show the launch template attached to the ASG)</w:t>
      </w:r>
    </w:p>
    <w:p>
      <w:pPr>
        <w:pStyle w:val="Assessortext"/>
        <w:spacing w:after="80"/>
        <w:ind w:left="360"/>
      </w:pPr>
      <w:r>
        <w:t>• Screenshot from a tutorial / shared resource rather than the student's own deployment</w:t>
      </w:r>
    </w:p>
    <w:p>
      <w:pPr>
        <w:pStyle w:val="Heading2"/>
        <w:spacing w:before="280" w:after="80"/>
      </w:pPr>
      <w:r>
        <w:t>13. Marking A13 — Document quality</w:t>
      </w:r>
    </w:p>
    <w:p>
      <w:pPr>
        <w:pStyle w:val="Assessortext"/>
        <w:spacing w:after="160"/>
      </w:pPr>
      <w:r>
        <w:rPr>
          <w:i/>
          <w:color w:val="595959"/>
          <w:sz w:val="18"/>
        </w:rPr>
        <w:t>UoC evidenced: [ICTCLD401 FS Writing] · [ICTCLD401 FS Reading] · [ICTCLD502 FS Reading].</w:t>
      </w:r>
    </w:p>
    <w:p>
      <w:pPr>
        <w:pStyle w:val="Assessortext"/>
        <w:spacing w:before="120" w:after="80"/>
      </w:pPr>
      <w:r>
        <w:rPr>
          <w:b/>
        </w:rPr>
        <w:t>Satisfactory looks like:</w:t>
      </w:r>
    </w:p>
    <w:p>
      <w:pPr>
        <w:pStyle w:val="Assessortext"/>
        <w:spacing w:after="80"/>
        <w:ind w:left="360"/>
      </w:pPr>
      <w:r>
        <w:t>• Plain English, with technical vocabulary used accurately and explained where the reader would need it</w:t>
      </w:r>
    </w:p>
    <w:p>
      <w:pPr>
        <w:pStyle w:val="Assessortext"/>
        <w:spacing w:after="80"/>
        <w:ind w:left="360"/>
      </w:pPr>
      <w:r>
        <w:t>• Structure and formatting consistent with a professional consulting deliverable for an RTO client</w:t>
      </w:r>
    </w:p>
    <w:p>
      <w:pPr>
        <w:pStyle w:val="Assessortext"/>
        <w:spacing w:after="80"/>
        <w:ind w:left="360"/>
      </w:pPr>
      <w:r>
        <w:t>• The supplied design and the LMS application specification have been read correctly — the report does not contradict them on a point of fact</w:t>
      </w:r>
    </w:p>
    <w:p>
      <w:pPr>
        <w:pStyle w:val="Assessortext"/>
        <w:spacing w:after="80"/>
        <w:ind w:left="360"/>
      </w:pPr>
      <w:r>
        <w:t>• The supplied §2 and §3 are present and unedited</w:t>
      </w:r>
    </w:p>
    <w:p>
      <w:pPr>
        <w:pStyle w:val="Assessortext"/>
        <w:spacing w:before="120" w:after="80"/>
      </w:pPr>
      <w:r>
        <w:rPr>
          <w:b/>
        </w:rPr>
        <w:t>NYS:</w:t>
      </w:r>
    </w:p>
    <w:p>
      <w:pPr>
        <w:pStyle w:val="Assessortext"/>
        <w:spacing w:after="80"/>
        <w:ind w:left="360"/>
      </w:pPr>
      <w:r>
        <w:t>• Hard to follow, or reads as working notes rather than a deliverable</w:t>
      </w:r>
    </w:p>
    <w:p>
      <w:pPr>
        <w:pStyle w:val="Assessortext"/>
        <w:spacing w:after="80"/>
        <w:ind w:left="360"/>
      </w:pPr>
      <w:r>
        <w:t>• Technical terms used incorrectly, indicating the supplied documentation was not understood</w:t>
      </w:r>
    </w:p>
    <w:p>
      <w:pPr>
        <w:pStyle w:val="Assessortext"/>
        <w:spacing w:after="80"/>
        <w:ind w:left="360"/>
      </w:pPr>
      <w:r>
        <w:t>• Contradicts the supplied design or the application specification</w:t>
      </w:r>
    </w:p>
    <w:p>
      <w:pPr>
        <w:pStyle w:val="Heading1"/>
        <w:spacing w:before="280" w:after="120"/>
      </w:pPr>
      <w:r>
        <w:t>UoC coverage verification (reverse map)</w:t>
      </w:r>
    </w:p>
    <w:p>
      <w:pPr>
        <w:pStyle w:val="Assessortext"/>
        <w:spacing w:after="160"/>
      </w:pPr>
      <w:r>
        <w:t>This table closes the loop on bidirectional traceability: every UoC requirement AT2 claims to evidence is named below with the marking criterion (or criteria) that evidence it. No UoC requirement claimed by AT2 is left without a criterion.</w:t>
      </w:r>
    </w:p>
    <w:p>
      <w:pPr>
        <w:pStyle w:val="Assessortext"/>
        <w:spacing w:after="160"/>
      </w:pPr>
      <w:r>
        <w:t>ICTCLD401 — Configure cloud services (AT2-evidenced items)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1.1 — Discuss and compare different cloud computing solutions, models and services</w:t>
            </w:r>
          </w:p>
        </w:tc>
        <w:tc>
          <w:tcPr>
            <w:tcW w:type="dxa" w:w="5233"/>
          </w:tcPr>
          <w:p>
            <w:r>
              <w:t>A5 (justifications in §5 Configuration Decisions implicitly compare options)</w:t>
            </w:r>
          </w:p>
        </w:tc>
      </w:tr>
      <w:tr>
        <w:tc>
          <w:tcPr>
            <w:tcW w:type="dxa" w:w="5233"/>
          </w:tcPr>
          <w:p>
            <w:r>
              <w:t>PC 1.2 — Identify impact of shared security responsibility models</w:t>
            </w:r>
          </w:p>
        </w:tc>
        <w:tc>
          <w:tcPr>
            <w:tcW w:type="dxa" w:w="5233"/>
          </w:tcPr>
          <w:p>
            <w:r>
              <w:t>A2</w:t>
            </w:r>
          </w:p>
        </w:tc>
      </w:tr>
      <w:tr>
        <w:tc>
          <w:tcPr>
            <w:tcW w:type="dxa" w:w="5233"/>
          </w:tcPr>
          <w:p>
            <w:r>
              <w:t>PC 1.3 — Select best cloud computing solution and service</w:t>
            </w:r>
          </w:p>
        </w:tc>
        <w:tc>
          <w:tcPr>
            <w:tcW w:type="dxa" w:w="5233"/>
          </w:tcPr>
          <w:p>
            <w:r>
              <w:t>A5</w:t>
            </w:r>
          </w:p>
        </w:tc>
      </w:tr>
      <w:tr>
        <w:tc>
          <w:tcPr>
            <w:tcW w:type="dxa" w:w="5233"/>
          </w:tcPr>
          <w:p>
            <w:r>
              <w:t>PC 1.4 — Access account on cloud platform</w:t>
            </w:r>
          </w:p>
        </w:tc>
        <w:tc>
          <w:tcPr>
            <w:tcW w:type="dxa" w:w="5233"/>
          </w:tcPr>
          <w:p>
            <w:r>
              <w:t>A2</w:t>
            </w:r>
          </w:p>
        </w:tc>
      </w:tr>
      <w:tr>
        <w:tc>
          <w:tcPr>
            <w:tcW w:type="dxa" w:w="5233"/>
          </w:tcPr>
          <w:p>
            <w:r>
              <w:t>PC 1.5 — Identify user access protocols and policies</w:t>
            </w:r>
          </w:p>
        </w:tc>
        <w:tc>
          <w:tcPr>
            <w:tcW w:type="dxa" w:w="5233"/>
          </w:tcPr>
          <w:p>
            <w:r>
              <w:t>A2</w:t>
            </w:r>
          </w:p>
        </w:tc>
      </w:tr>
      <w:tr>
        <w:tc>
          <w:tcPr>
            <w:tcW w:type="dxa" w:w="5233"/>
          </w:tcPr>
          <w:p>
            <w:r>
              <w:t>PC 1.6 — Configure access functions within cloud environment</w:t>
            </w:r>
          </w:p>
        </w:tc>
        <w:tc>
          <w:tcPr>
            <w:tcW w:type="dxa" w:w="5233"/>
          </w:tcPr>
          <w:p>
            <w:r>
              <w:t>A2</w:t>
            </w:r>
          </w:p>
        </w:tc>
      </w:tr>
      <w:tr>
        <w:tc>
          <w:tcPr>
            <w:tcW w:type="dxa" w:w="5233"/>
          </w:tcPr>
          <w:p>
            <w:r>
              <w:t>PC 1.7 — Identify and assign security responsibilities</w:t>
            </w:r>
          </w:p>
        </w:tc>
        <w:tc>
          <w:tcPr>
            <w:tcW w:type="dxa" w:w="5233"/>
          </w:tcPr>
          <w:p>
            <w:r>
              <w:t>A2</w:t>
            </w:r>
          </w:p>
        </w:tc>
      </w:tr>
      <w:tr>
        <w:tc>
          <w:tcPr>
            <w:tcW w:type="dxa" w:w="5233"/>
          </w:tcPr>
          <w:p>
            <w:r>
              <w:t>PC 2.1 — Create users and groups</w:t>
            </w:r>
          </w:p>
        </w:tc>
        <w:tc>
          <w:tcPr>
            <w:tcW w:type="dxa" w:w="5233"/>
          </w:tcPr>
          <w:p>
            <w:r>
              <w:t>A2</w:t>
            </w:r>
          </w:p>
        </w:tc>
      </w:tr>
      <w:tr>
        <w:tc>
          <w:tcPr>
            <w:tcW w:type="dxa" w:w="5233"/>
          </w:tcPr>
          <w:p>
            <w:r>
              <w:t>PC 2.2 — Create virtual multi-tier network</w:t>
            </w:r>
          </w:p>
        </w:tc>
        <w:tc>
          <w:tcPr>
            <w:tcW w:type="dxa" w:w="5233"/>
          </w:tcPr>
          <w:p>
            <w:r>
              <w:t>A2</w:t>
            </w:r>
          </w:p>
        </w:tc>
      </w:tr>
      <w:tr>
        <w:tc>
          <w:tcPr>
            <w:tcW w:type="dxa" w:w="5233"/>
          </w:tcPr>
          <w:p>
            <w:r>
              <w:t>PC 2.3 — Create virtual machine</w:t>
            </w:r>
          </w:p>
        </w:tc>
        <w:tc>
          <w:tcPr>
            <w:tcW w:type="dxa" w:w="5233"/>
          </w:tcPr>
          <w:p>
            <w:r>
              <w:t>A3</w:t>
            </w:r>
          </w:p>
        </w:tc>
      </w:tr>
      <w:tr>
        <w:tc>
          <w:tcPr>
            <w:tcW w:type="dxa" w:w="5233"/>
          </w:tcPr>
          <w:p>
            <w:r>
              <w:t>PC 2.4 — Define, add and expand storage</w:t>
            </w:r>
          </w:p>
        </w:tc>
        <w:tc>
          <w:tcPr>
            <w:tcW w:type="dxa" w:w="5233"/>
          </w:tcPr>
          <w:p>
            <w:r>
              <w:t>A3</w:t>
            </w:r>
          </w:p>
        </w:tc>
      </w:tr>
      <w:tr>
        <w:tc>
          <w:tcPr>
            <w:tcW w:type="dxa" w:w="5233"/>
          </w:tcPr>
          <w:p>
            <w:r>
              <w:t>PC 2.5 — Deploy a managed database</w:t>
            </w:r>
          </w:p>
        </w:tc>
        <w:tc>
          <w:tcPr>
            <w:tcW w:type="dxa" w:w="5233"/>
          </w:tcPr>
          <w:p>
            <w:r>
              <w:t>A3</w:t>
            </w:r>
          </w:p>
        </w:tc>
      </w:tr>
      <w:tr>
        <w:tc>
          <w:tcPr>
            <w:tcW w:type="dxa" w:w="5233"/>
          </w:tcPr>
          <w:p>
            <w:r>
              <w:t>PC 2.6 — Test external network access</w:t>
            </w:r>
          </w:p>
        </w:tc>
        <w:tc>
          <w:tcPr>
            <w:tcW w:type="dxa" w:w="5233"/>
          </w:tcPr>
          <w:p>
            <w:r>
              <w:t>A6</w:t>
            </w:r>
          </w:p>
        </w:tc>
      </w:tr>
      <w:tr>
        <w:tc>
          <w:tcPr>
            <w:tcW w:type="dxa" w:w="5233"/>
          </w:tcPr>
          <w:p>
            <w:r>
              <w:t>PC 3.1 — Configure and apply autoscaling</w:t>
            </w:r>
          </w:p>
        </w:tc>
        <w:tc>
          <w:tcPr>
            <w:tcW w:type="dxa" w:w="5233"/>
          </w:tcPr>
          <w:p>
            <w:r>
              <w:t>A4</w:t>
            </w:r>
          </w:p>
        </w:tc>
      </w:tr>
      <w:tr>
        <w:tc>
          <w:tcPr>
            <w:tcW w:type="dxa" w:w="5233"/>
          </w:tcPr>
          <w:p>
            <w:r>
              <w:t>PC 3.2 — Test automatic scaling</w:t>
            </w:r>
          </w:p>
        </w:tc>
        <w:tc>
          <w:tcPr>
            <w:tcW w:type="dxa" w:w="5233"/>
          </w:tcPr>
          <w:p>
            <w:r>
              <w:t>A6</w:t>
            </w:r>
          </w:p>
        </w:tc>
      </w:tr>
      <w:tr>
        <w:tc>
          <w:tcPr>
            <w:tcW w:type="dxa" w:w="5233"/>
          </w:tcPr>
          <w:p>
            <w:r>
              <w:t>PC 4.3 — Save and store user documentation per organisational policies</w:t>
            </w:r>
          </w:p>
        </w:tc>
        <w:tc>
          <w:tcPr>
            <w:tcW w:type="dxa" w:w="5233"/>
          </w:tcPr>
          <w:p>
            <w:r>
              <w:t>A7</w:t>
            </w:r>
          </w:p>
        </w:tc>
      </w:tr>
      <w:tr>
        <w:tc>
          <w:tcPr>
            <w:tcW w:type="dxa" w:w="5233"/>
          </w:tcPr>
          <w:p>
            <w:r>
              <w:t>PE 1 — Build at least one simple virtual network capable of supporting a workload</w:t>
            </w:r>
          </w:p>
        </w:tc>
        <w:tc>
          <w:tcPr>
            <w:tcW w:type="dxa" w:w="5233"/>
          </w:tcPr>
          <w:p>
            <w:r>
              <w:t>A9</w:t>
            </w:r>
          </w:p>
        </w:tc>
      </w:tr>
      <w:tr>
        <w:tc>
          <w:tcPr>
            <w:tcW w:type="dxa" w:w="5233"/>
          </w:tcPr>
          <w:p>
            <w:r>
              <w:t>PE 2 — Configure compute, storage, database and autoscaling resources within virtual network</w:t>
            </w:r>
          </w:p>
        </w:tc>
        <w:tc>
          <w:tcPr>
            <w:tcW w:type="dxa" w:w="5233"/>
          </w:tcPr>
          <w:p>
            <w:r>
              <w:t>A9</w:t>
            </w:r>
          </w:p>
        </w:tc>
      </w:tr>
      <w:tr>
        <w:tc>
          <w:tcPr>
            <w:tcW w:type="dxa" w:w="5233"/>
          </w:tcPr>
          <w:p>
            <w:r>
              <w:t>PE 3 — Conduct simple tests to confirm access to resources</w:t>
            </w:r>
          </w:p>
        </w:tc>
        <w:tc>
          <w:tcPr>
            <w:tcW w:type="dxa" w:w="5233"/>
          </w:tcPr>
          <w:p>
            <w:r>
              <w:t>A6</w:t>
            </w:r>
          </w:p>
        </w:tc>
      </w:tr>
      <w:tr>
        <w:tc>
          <w:tcPr>
            <w:tcW w:type="dxa" w:w="5233"/>
          </w:tcPr>
          <w:p>
            <w:r>
              <w:t>KE 5 — VM/networking/scaling features (VM sizing, load balancing, autoscaling, monitoring, storage backups, virtual networks/traffic routing)</w:t>
            </w:r>
          </w:p>
        </w:tc>
        <w:tc>
          <w:tcPr>
            <w:tcW w:type="dxa" w:w="5233"/>
          </w:tcPr>
          <w:p>
            <w:r>
              <w:t>A8 (Q1)</w:t>
            </w:r>
          </w:p>
        </w:tc>
      </w:tr>
      <w:tr>
        <w:tc>
          <w:tcPr>
            <w:tcW w:type="dxa" w:w="5233"/>
          </w:tcPr>
          <w:p>
            <w:r>
              <w:t>KE 6 — Vertical vs horizontal scaling; VM vs physical; RDBMS/DW/NoSQL; self-hosted vs managed vs cloud-native DB; storage options (block/object/archive/network filesystems)</w:t>
            </w:r>
          </w:p>
        </w:tc>
        <w:tc>
          <w:tcPr>
            <w:tcW w:type="dxa" w:w="5233"/>
          </w:tcPr>
          <w:p>
            <w:r>
              <w:t>A8 (Q2)</w:t>
            </w:r>
          </w:p>
        </w:tc>
      </w:tr>
      <w:tr>
        <w:tc>
          <w:tcPr>
            <w:tcW w:type="dxa" w:w="5233"/>
          </w:tcPr>
          <w:p>
            <w:r>
              <w:t>KE 7 — User, business and vendor responsibilities according to shared security responsibility models</w:t>
            </w:r>
          </w:p>
        </w:tc>
        <w:tc>
          <w:tcPr>
            <w:tcW w:type="dxa" w:w="5233"/>
          </w:tcPr>
          <w:p>
            <w:r>
              <w:t>A8 (Q3)</w:t>
            </w:r>
          </w:p>
        </w:tc>
      </w:tr>
      <w:tr>
        <w:tc>
          <w:tcPr>
            <w:tcW w:type="dxa" w:w="5233"/>
          </w:tcPr>
          <w:p>
            <w:r>
              <w:t>KE 8 — User access protocols and policies according to organisation hierarchy and job function</w:t>
            </w:r>
          </w:p>
        </w:tc>
        <w:tc>
          <w:tcPr>
            <w:tcW w:type="dxa" w:w="5233"/>
          </w:tcPr>
          <w:p>
            <w:r>
              <w:t>A8 (Q4)</w:t>
            </w:r>
          </w:p>
        </w:tc>
      </w:tr>
      <w:tr>
        <w:tc>
          <w:tcPr>
            <w:tcW w:type="dxa" w:w="5233"/>
          </w:tcPr>
          <w:p>
            <w:r>
              <w:t>KE 9 — Security policies, protocols and mechanisms as they relate to cloud (network traffic limits + security responsibilities per work function/user access)</w:t>
            </w:r>
          </w:p>
        </w:tc>
        <w:tc>
          <w:tcPr>
            <w:tcW w:type="dxa" w:w="5233"/>
          </w:tcPr>
          <w:p>
            <w:r>
              <w:t>A8 (Q5)</w:t>
            </w:r>
          </w:p>
        </w:tc>
      </w:tr>
      <w:tr>
        <w:tc>
          <w:tcPr>
            <w:tcW w:type="dxa" w:w="5233"/>
          </w:tcPr>
          <w:p>
            <w:r>
              <w:t>KE 10 — Purpose of DNS for connecting remote servers when web browsing</w:t>
            </w:r>
          </w:p>
        </w:tc>
        <w:tc>
          <w:tcPr>
            <w:tcW w:type="dxa" w:w="5233"/>
          </w:tcPr>
          <w:p>
            <w:r>
              <w:t>A8 (Q6)</w:t>
            </w:r>
          </w:p>
        </w:tc>
      </w:tr>
      <w:tr>
        <w:tc>
          <w:tcPr>
            <w:tcW w:type="dxa" w:w="5233"/>
          </w:tcPr>
          <w:p>
            <w:r>
              <w:t>FS Reading</w:t>
            </w:r>
          </w:p>
        </w:tc>
        <w:tc>
          <w:tcPr>
            <w:tcW w:type="dxa" w:w="5233"/>
          </w:tcPr>
          <w:p>
            <w:r>
              <w:t>A13</w:t>
            </w:r>
          </w:p>
        </w:tc>
      </w:tr>
      <w:tr>
        <w:tc>
          <w:tcPr>
            <w:tcW w:type="dxa" w:w="5233"/>
          </w:tcPr>
          <w:p>
            <w:r>
              <w:t>FS Writing</w:t>
            </w:r>
          </w:p>
        </w:tc>
        <w:tc>
          <w:tcPr>
            <w:tcW w:type="dxa" w:w="5233"/>
          </w:tcPr>
          <w:p>
            <w:r>
              <w:t>A13</w:t>
            </w:r>
          </w:p>
        </w:tc>
      </w:tr>
      <w:tr>
        <w:tc>
          <w:tcPr>
            <w:tcW w:type="dxa" w:w="5233"/>
          </w:tcPr>
          <w:p>
            <w:r>
              <w:t>AC 1 — Cloud vendor service provider</w:t>
            </w:r>
          </w:p>
        </w:tc>
        <w:tc>
          <w:tcPr>
            <w:tcW w:type="dxa" w:w="5233"/>
          </w:tcPr>
          <w:p>
            <w:r>
              <w:t>C1 (pre-condition)</w:t>
            </w:r>
          </w:p>
        </w:tc>
      </w:tr>
      <w:tr>
        <w:tc>
          <w:tcPr>
            <w:tcW w:type="dxa" w:w="5233"/>
          </w:tcPr>
          <w:p>
            <w:r>
              <w:t>AC 2 — Cloud managed database service</w:t>
            </w:r>
          </w:p>
        </w:tc>
        <w:tc>
          <w:tcPr>
            <w:tcW w:type="dxa" w:w="5233"/>
          </w:tcPr>
          <w:p>
            <w:r>
              <w:t>C1 (pre-condition)</w:t>
            </w:r>
          </w:p>
        </w:tc>
      </w:tr>
      <w:tr>
        <w:tc>
          <w:tcPr>
            <w:tcW w:type="dxa" w:w="5233"/>
          </w:tcPr>
          <w:p>
            <w:r>
              <w:t>AC 3 — Internet and web browser</w:t>
            </w:r>
          </w:p>
        </w:tc>
        <w:tc>
          <w:tcPr>
            <w:tcW w:type="dxa" w:w="5233"/>
          </w:tcPr>
          <w:p>
            <w:r>
              <w:t>C1 (pre-condition)</w:t>
            </w:r>
          </w:p>
        </w:tc>
      </w:tr>
      <w:tr>
        <w:tc>
          <w:tcPr>
            <w:tcW w:type="dxa" w:w="5233"/>
          </w:tcPr>
          <w:p>
            <w:r>
              <w:t>AC 4 — Data to gather information from to determine output and user requirements</w:t>
            </w:r>
          </w:p>
        </w:tc>
        <w:tc>
          <w:tcPr>
            <w:tcW w:type="dxa" w:w="5233"/>
          </w:tcPr>
          <w:p>
            <w:r>
              <w:t>C2 (pre-condition)</w:t>
            </w:r>
          </w:p>
        </w:tc>
      </w:tr>
    </w:tbl>
    <w:p/>
    <w:p>
      <w:pPr>
        <w:pStyle w:val="Assessortext"/>
        <w:spacing w:after="160"/>
      </w:pPr>
      <w:r>
        <w:t>(Note: 401 PCs not listed above (PC 1.8, PC 4.1, PC 4.2) are evidenced in AT1. 401 KEs not listed (KE 1, 2, 3, 4, 11) are evidenced in AT1 Appendix 2.)</w:t>
      </w:r>
    </w:p>
    <w:p>
      <w:pPr>
        <w:pStyle w:val="Assessortext"/>
        <w:spacing w:after="160"/>
      </w:pPr>
      <w:r>
        <w:t>ICTCLD502 — Design and implement highly-available cloud infrastructure (AT2-evidenced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1.3 — Identify level of shared security responsibility models according to business needs</w:t>
            </w:r>
          </w:p>
        </w:tc>
        <w:tc>
          <w:tcPr>
            <w:tcW w:type="dxa" w:w="5233"/>
          </w:tcPr>
          <w:p>
            <w:r>
              <w:t>A2 (co-evidenced with [ICTCLD401 PC 1.2] · [ICTCLD401 PC 1.7] via Group 2 of consolidated UoC)</w:t>
            </w:r>
          </w:p>
        </w:tc>
      </w:tr>
      <w:tr>
        <w:tc>
          <w:tcPr>
            <w:tcW w:type="dxa" w:w="5233"/>
          </w:tcPr>
          <w:p>
            <w:r>
              <w:t>PC 4.1 — Implement architecture design in cloud environment</w:t>
            </w:r>
          </w:p>
        </w:tc>
        <w:tc>
          <w:tcPr>
            <w:tcW w:type="dxa" w:w="5233"/>
          </w:tcPr>
          <w:p>
            <w:r>
              <w:t>A3</w:t>
            </w:r>
          </w:p>
        </w:tc>
      </w:tr>
      <w:tr>
        <w:tc>
          <w:tcPr>
            <w:tcW w:type="dxa" w:w="5233"/>
          </w:tcPr>
          <w:p>
            <w:r>
              <w:t>PC 4.2 — Demonstrate connectivity between resources at all tiers</w:t>
            </w:r>
          </w:p>
        </w:tc>
        <w:tc>
          <w:tcPr>
            <w:tcW w:type="dxa" w:w="5233"/>
          </w:tcPr>
          <w:p>
            <w:r>
              <w:t>A6</w:t>
            </w:r>
          </w:p>
        </w:tc>
      </w:tr>
      <w:tr>
        <w:tc>
          <w:tcPr>
            <w:tcW w:type="dxa" w:w="5233"/>
          </w:tcPr>
          <w:p>
            <w:r>
              <w:t>PC 4.3 — Monitor and measure availability of resources</w:t>
            </w:r>
          </w:p>
        </w:tc>
        <w:tc>
          <w:tcPr>
            <w:tcW w:type="dxa" w:w="5233"/>
          </w:tcPr>
          <w:p>
            <w:r>
              <w:t>A4 (baseline monitoring only — HA-tuned monitoring is AT3)</w:t>
            </w:r>
          </w:p>
        </w:tc>
      </w:tr>
      <w:tr>
        <w:tc>
          <w:tcPr>
            <w:tcW w:type="dxa" w:w="5233"/>
          </w:tcPr>
          <w:p>
            <w:r>
              <w:t>FS Reading</w:t>
            </w:r>
          </w:p>
        </w:tc>
        <w:tc>
          <w:tcPr>
            <w:tcW w:type="dxa" w:w="5233"/>
          </w:tcPr>
          <w:p>
            <w:r>
              <w:t>A13</w:t>
            </w:r>
          </w:p>
        </w:tc>
      </w:tr>
      <w:tr>
        <w:tc>
          <w:tcPr>
            <w:tcW w:type="dxa" w:w="5233"/>
          </w:tcPr>
          <w:p>
            <w:r>
              <w:t>AC 1 — Cloud vendor service provider</w:t>
            </w:r>
          </w:p>
        </w:tc>
        <w:tc>
          <w:tcPr>
            <w:tcW w:type="dxa" w:w="5233"/>
          </w:tcPr>
          <w:p>
            <w:r>
              <w:t>C1 (pre-condition)</w:t>
            </w:r>
          </w:p>
        </w:tc>
      </w:tr>
      <w:tr>
        <w:tc>
          <w:tcPr>
            <w:tcW w:type="dxa" w:w="5233"/>
          </w:tcPr>
          <w:p>
            <w:r>
              <w:t>AC 2 — Cloud managed database service</w:t>
            </w:r>
          </w:p>
        </w:tc>
        <w:tc>
          <w:tcPr>
            <w:tcW w:type="dxa" w:w="5233"/>
          </w:tcPr>
          <w:p>
            <w:r>
              <w:t>C1 (pre-condition)</w:t>
            </w:r>
          </w:p>
        </w:tc>
      </w:tr>
      <w:tr>
        <w:tc>
          <w:tcPr>
            <w:tcW w:type="dxa" w:w="5233"/>
          </w:tcPr>
          <w:p>
            <w:r>
              <w:t>AC 3 — Information and data sources required to design and implement cloud infrastructure</w:t>
            </w:r>
          </w:p>
        </w:tc>
        <w:tc>
          <w:tcPr>
            <w:tcW w:type="dxa" w:w="5233"/>
          </w:tcPr>
          <w:p>
            <w:r>
              <w:t>C2 (pre-condition)</w:t>
            </w:r>
          </w:p>
        </w:tc>
      </w:tr>
      <w:tr>
        <w:tc>
          <w:tcPr>
            <w:tcW w:type="dxa" w:w="5233"/>
          </w:tcPr>
          <w:p>
            <w:r>
              <w:t>AC 4 — Integrated development environment (IDE)</w:t>
            </w:r>
          </w:p>
        </w:tc>
        <w:tc>
          <w:tcPr>
            <w:tcW w:type="dxa" w:w="5233"/>
          </w:tcPr>
          <w:p>
            <w:r>
              <w:t>C1 (pre-condition — AWS Console + CLI counts as IDE)</w:t>
            </w:r>
          </w:p>
        </w:tc>
      </w:tr>
      <w:tr>
        <w:tc>
          <w:tcPr>
            <w:tcW w:type="dxa" w:w="5233"/>
          </w:tcPr>
          <w:p>
            <w:r>
              <w:t>AC 5 — Specific requirements + industry standards + organisational procedures + legislative requirements + business and functionality requirements</w:t>
            </w:r>
          </w:p>
        </w:tc>
        <w:tc>
          <w:tcPr>
            <w:tcW w:type="dxa" w:w="5233"/>
          </w:tcPr>
          <w:p>
            <w:r>
              <w:t>C2 (pre-condition — supplied via YAT intranet)</w:t>
            </w:r>
          </w:p>
        </w:tc>
      </w:tr>
      <w:tr>
        <w:tc>
          <w:tcPr>
            <w:tcW w:type="dxa" w:w="5233"/>
          </w:tcPr>
          <w:p>
            <w:r>
              <w:t>AC 6 — Internet and web browser</w:t>
            </w:r>
          </w:p>
        </w:tc>
        <w:tc>
          <w:tcPr>
            <w:tcW w:type="dxa" w:w="5233"/>
          </w:tcPr>
          <w:p>
            <w:r>
              <w:t>C1 (pre-condition)</w:t>
            </w:r>
          </w:p>
        </w:tc>
      </w:tr>
      <w:tr>
        <w:tc>
          <w:tcPr>
            <w:tcW w:type="dxa" w:w="5233"/>
          </w:tcPr>
          <w:p>
            <w:r>
              <w:t>AC 7 — Secure shell (SSH) or remote desktop protocol (RDP) client</w:t>
            </w:r>
          </w:p>
        </w:tc>
        <w:tc>
          <w:tcPr>
            <w:tcW w:type="dxa" w:w="5233"/>
          </w:tcPr>
          <w:p>
            <w:r>
              <w:t>C1 (pre-condition — RDP for Windows EC2 instances)</w:t>
            </w:r>
          </w:p>
        </w:tc>
      </w:tr>
      <w:tr>
        <w:tc>
          <w:tcPr>
            <w:tcW w:type="dxa" w:w="5233"/>
          </w:tcPr>
          <w:p>
            <w:r>
              <w:t>AC 8 — Data to gather information from to determine output and user requirements</w:t>
            </w:r>
          </w:p>
        </w:tc>
        <w:tc>
          <w:tcPr>
            <w:tcW w:type="dxa" w:w="5233"/>
          </w:tcPr>
          <w:p>
            <w:r>
              <w:t>C2 (pre-condition)</w:t>
            </w:r>
          </w:p>
        </w:tc>
      </w:tr>
    </w:tbl>
    <w:p/>
    <w:p>
      <w:pPr>
        <w:pStyle w:val="Assessortext"/>
        <w:spacing w:after="160"/>
      </w:pPr>
      <w:r>
        <w:t>(Note: 502 PCs not listed above (PC 1.1, 1.2, 2.1–2.5, 3.1–3.5, 4.4–4.6, 5.1, 5.2, 5.3) are evidenced in AT1 (PC 1.2, 5.2) or AT3 (the rest). 502 KEs not listed (KE 1, 2, 3) are evidenced in AT1 Appendix 2; KEs 4–9 are evidenced in AT3.)</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2/projects/lms-cloud-infrastructure/cloud-architecture-baseline" TargetMode="External"/><Relationship Id="rId18" Type="http://schemas.openxmlformats.org/officeDocument/2006/relationships/hyperlink" Target="https://yat.timbaird.com/intranet/s1-cl1-at2/ict/lms-application-spec" TargetMode="External"/><Relationship Id="rId19" Type="http://schemas.openxmlformats.org/officeDocument/2006/relationships/hyperlink" Target="https://yat.timbaird.com/intranet/s1-cl1-at2/projects/lms-cloud-infrastructure/role-brief" TargetMode="External"/><Relationship Id="rId20" Type="http://schemas.openxmlformats.org/officeDocument/2006/relationships/hyperlink" Target="https://yat.timbaird.com/intranet/s1-cl1-at2/policies/records-management" TargetMode="External"/><Relationship Id="rId21" Type="http://schemas.openxmlformats.org/officeDocument/2006/relationships/hyperlink" Target="https://yat.timbaird.com/intranet/s1-cl1-at2/templates" TargetMode="External"/><Relationship Id="rId22" Type="http://schemas.openxmlformats.org/officeDocument/2006/relationships/hyperlink" Target="https://yat.timbaird.com/intranet/s1-cl1-at2/projects/lms-replacement/deploymen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