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70978D" w14:textId="64E95747" w:rsidR="003167D9" w:rsidRPr="00227BBC" w:rsidRDefault="00985471" w:rsidP="00C022D4">
      <w:pPr>
        <w:pStyle w:val="Heading1"/>
      </w:pPr>
      <w:r>
        <w:t>Project</w:t>
      </w:r>
      <w:r w:rsidR="003A316B" w:rsidRPr="00227BBC">
        <w:t xml:space="preserve"> Assessment – </w:t>
      </w:r>
      <w:r w:rsidR="001A0BF7" w:rsidRPr="00227BBC">
        <w:t>Student</w:t>
      </w:r>
      <w:r w:rsidR="003A316B" w:rsidRPr="00227BBC">
        <w:t xml:space="preserve"> Instructions</w:t>
      </w:r>
    </w:p>
    <w:p w14:paraId="6D8DD09C" w14:textId="77777777" w:rsidR="003A316B" w:rsidRPr="00F6546A" w:rsidRDefault="003A316B" w:rsidP="00FF6A31">
      <w:pPr>
        <w:pStyle w:val="NoSpacing"/>
        <w:spacing w:after="60"/>
        <w:rPr>
          <w:b/>
          <w:color w:val="365F91" w:themeColor="accent1" w:themeShade="BF"/>
          <w:sz w:val="12"/>
          <w:szCs w:val="12"/>
        </w:rPr>
      </w:pPr>
      <w:bookmarkStart w:id="0" w:name="_Toc11834568"/>
      <w:bookmarkStart w:id="1" w:name="_Toc11844018"/>
      <w:bookmarkStart w:id="2" w:name="_Toc11844141"/>
      <w:bookmarkStart w:id="3" w:name="_Toc12438756"/>
      <w:bookmarkStart w:id="4" w:name="_Toc12438892"/>
    </w:p>
    <w:tbl>
      <w:tblPr>
        <w:tblStyle w:val="TableGrid"/>
        <w:tblW w:w="10745" w:type="dxa"/>
        <w:tblCellMar>
          <w:top w:w="57" w:type="dxa"/>
          <w:left w:w="113" w:type="dxa"/>
          <w:bottom w:w="57" w:type="dxa"/>
          <w:right w:w="57" w:type="dxa"/>
        </w:tblCellMar>
        <w:tblLook w:val="04A0" w:firstRow="1" w:lastRow="0" w:firstColumn="1" w:lastColumn="0" w:noHBand="0" w:noVBand="1"/>
        <w:tblCaption w:val="Details"/>
        <w:tblDescription w:val="Qualification, Unit of Competency, Assessment task and Assessor details."/>
      </w:tblPr>
      <w:tblGrid>
        <w:gridCol w:w="2807"/>
        <w:gridCol w:w="4639"/>
        <w:gridCol w:w="1314"/>
        <w:gridCol w:w="1985"/>
      </w:tblGrid>
      <w:tr w:rsidR="002A6715" w:rsidRPr="002F7C81" w14:paraId="3AC51D49" w14:textId="77777777" w:rsidTr="00D262CE">
        <w:trPr>
          <w:tblHeader/>
        </w:trPr>
        <w:tc>
          <w:tcPr>
            <w:tcW w:w="10745" w:type="dxa"/>
            <w:gridSpan w:val="4"/>
            <w:tcBorders>
              <w:top w:val="nil"/>
              <w:left w:val="nil"/>
              <w:bottom w:val="nil"/>
              <w:right w:val="nil"/>
            </w:tcBorders>
            <w:shd w:val="clear" w:color="auto" w:fill="595959" w:themeFill="text1" w:themeFillTint="A6"/>
            <w:vAlign w:val="center"/>
          </w:tcPr>
          <w:p w14:paraId="18817DD5" w14:textId="6A34A293" w:rsidR="002A6715" w:rsidRPr="002A6715" w:rsidRDefault="002A6715" w:rsidP="000333FE">
            <w:pPr>
              <w:pStyle w:val="Heading2"/>
              <w:rPr>
                <w:color w:val="365F91" w:themeColor="accent1" w:themeShade="BF"/>
              </w:rPr>
            </w:pPr>
            <w:r w:rsidRPr="002A6715">
              <w:t>Details</w:t>
            </w:r>
          </w:p>
        </w:tc>
      </w:tr>
      <w:tr w:rsidR="002D1EB4" w:rsidRPr="0029391E" w14:paraId="7D4447ED" w14:textId="77777777" w:rsidTr="002D1EB4">
        <w:trPr>
          <w:trHeight w:val="340"/>
        </w:trPr>
        <w:tc>
          <w:tcPr>
            <w:tcW w:w="2807" w:type="dxa"/>
            <w:tcBorders>
              <w:top w:val="nil"/>
              <w:left w:val="nil"/>
            </w:tcBorders>
            <w:vAlign w:val="center"/>
          </w:tcPr>
          <w:p w14:paraId="2572F15D" w14:textId="3B1DE489" w:rsidR="002D1EB4" w:rsidRPr="0029391E" w:rsidRDefault="002D1EB4" w:rsidP="000333FE">
            <w:pPr>
              <w:pStyle w:val="Heading3"/>
            </w:pPr>
            <w:r>
              <w:t>Student name</w:t>
            </w:r>
          </w:p>
        </w:tc>
        <w:tc>
          <w:tcPr>
            <w:tcW w:w="4639" w:type="dxa"/>
            <w:tcBorders>
              <w:top w:val="nil"/>
              <w:bottom w:val="single" w:sz="4" w:space="0" w:color="auto"/>
              <w:right w:val="nil"/>
            </w:tcBorders>
            <w:vAlign w:val="center"/>
          </w:tcPr>
          <w:p w14:paraId="119753A3" w14:textId="77777777" w:rsidR="002D1EB4" w:rsidRPr="0029391E" w:rsidRDefault="002D1EB4" w:rsidP="000333FE">
            <w:r>
              <w:t>ICT50220 Diploma of Information Technology</w:t>
            </w:r>
          </w:p>
        </w:tc>
        <w:tc>
          <w:tcPr>
            <w:tcW w:w="1314" w:type="dxa"/>
            <w:tcBorders>
              <w:top w:val="nil"/>
              <w:bottom w:val="single" w:sz="4" w:space="0" w:color="auto"/>
              <w:right w:val="nil"/>
            </w:tcBorders>
            <w:vAlign w:val="center"/>
          </w:tcPr>
          <w:p w14:paraId="548E4580" w14:textId="710D228D" w:rsidR="002D1EB4" w:rsidRPr="0029391E" w:rsidRDefault="002D1EB4" w:rsidP="002D1EB4">
            <w:pPr>
              <w:pStyle w:val="Heading3"/>
            </w:pPr>
            <w:r>
              <w:t>Student ID</w:t>
            </w:r>
          </w:p>
        </w:tc>
        <w:tc>
          <w:tcPr>
            <w:tcW w:w="1985" w:type="dxa"/>
            <w:tcBorders>
              <w:top w:val="nil"/>
              <w:bottom w:val="single" w:sz="4" w:space="0" w:color="auto"/>
              <w:right w:val="nil"/>
            </w:tcBorders>
            <w:vAlign w:val="center"/>
          </w:tcPr>
          <w:p w14:paraId="45A2452A" w14:textId="0B584651" w:rsidR="002D1EB4" w:rsidRPr="0029391E" w:rsidRDefault="002D1EB4" w:rsidP="000333FE"/>
        </w:tc>
      </w:tr>
      <w:tr w:rsidR="002D1EB4" w:rsidRPr="0029391E" w14:paraId="680A4138" w14:textId="77777777" w:rsidTr="002D1EB4">
        <w:trPr>
          <w:trHeight w:val="340"/>
        </w:trPr>
        <w:tc>
          <w:tcPr>
            <w:tcW w:w="2807" w:type="dxa"/>
            <w:tcBorders>
              <w:top w:val="nil"/>
              <w:left w:val="nil"/>
            </w:tcBorders>
            <w:vAlign w:val="center"/>
          </w:tcPr>
          <w:p w14:paraId="2875EDDB" w14:textId="2474D2FB" w:rsidR="002D1EB4" w:rsidRPr="0029391E" w:rsidRDefault="002D1EB4" w:rsidP="000333FE">
            <w:pPr>
              <w:pStyle w:val="Heading3"/>
            </w:pPr>
            <w:r w:rsidRPr="002D1EB4">
              <w:t>Qualification code and title</w:t>
            </w:r>
          </w:p>
        </w:tc>
        <w:tc>
          <w:tcPr>
            <w:tcW w:w="7938" w:type="dxa"/>
            <w:gridSpan w:val="3"/>
            <w:tcBorders>
              <w:top w:val="nil"/>
              <w:bottom w:val="single" w:sz="4" w:space="0" w:color="auto"/>
              <w:right w:val="nil"/>
            </w:tcBorders>
            <w:vAlign w:val="center"/>
          </w:tcPr>
          <w:p w14:paraId="4F32B9AF" w14:textId="77777777" w:rsidR="002D1EB4" w:rsidRPr="0029391E" w:rsidRDefault="002D1EB4" w:rsidP="000333FE">
            <w:r>
              <w:t>ICTICT517 Match ICT needs with the strategic direction of the organisation</w:t>
            </w:r>
          </w:p>
          <w:p>
            <w:pPr/>
            <w:r>
              <w:t>ICTCLD401 Configure cloud services</w:t>
            </w:r>
          </w:p>
          <w:p>
            <w:pPr/>
            <w:r>
              <w:t>ICTCLD502 Design and implement highly-available cloud infrastructure</w:t>
            </w:r>
          </w:p>
        </w:tc>
      </w:tr>
      <w:tr w:rsidR="003A316B" w:rsidRPr="0029391E" w14:paraId="58F52A60" w14:textId="77777777" w:rsidTr="002D1EB4">
        <w:trPr>
          <w:trHeight w:val="340"/>
        </w:trPr>
        <w:tc>
          <w:tcPr>
            <w:tcW w:w="2807" w:type="dxa"/>
            <w:tcBorders>
              <w:left w:val="nil"/>
            </w:tcBorders>
            <w:vAlign w:val="center"/>
          </w:tcPr>
          <w:p w14:paraId="18385B2D" w14:textId="48AD0100" w:rsidR="003A316B" w:rsidRPr="0029391E" w:rsidRDefault="003A316B" w:rsidP="000333FE">
            <w:pPr>
              <w:pStyle w:val="Heading3"/>
            </w:pPr>
            <w:r w:rsidRPr="0029391E">
              <w:t xml:space="preserve">Unit </w:t>
            </w:r>
            <w:r w:rsidR="002F7C81" w:rsidRPr="0029391E">
              <w:t>c</w:t>
            </w:r>
            <w:r w:rsidRPr="0029391E">
              <w:t xml:space="preserve">ode and </w:t>
            </w:r>
            <w:r w:rsidR="002F7C81" w:rsidRPr="0029391E">
              <w:t>t</w:t>
            </w:r>
            <w:r w:rsidRPr="0029391E">
              <w:t>itle</w:t>
            </w:r>
          </w:p>
        </w:tc>
        <w:tc>
          <w:tcPr>
            <w:tcW w:w="7938" w:type="dxa"/>
            <w:gridSpan w:val="3"/>
            <w:tcBorders>
              <w:right w:val="nil"/>
            </w:tcBorders>
            <w:vAlign w:val="center"/>
          </w:tcPr>
          <w:p w14:paraId="450E8445" w14:textId="77777777" w:rsidR="003A316B" w:rsidRPr="0029391E" w:rsidRDefault="003A316B" w:rsidP="000333FE">
            <w:r>
              <w:t>AT3 — High Availability: YAT LMS Migration</w:t>
            </w:r>
          </w:p>
        </w:tc>
      </w:tr>
      <w:tr w:rsidR="00F46169" w:rsidRPr="0029391E" w14:paraId="2F32EE2E" w14:textId="77777777" w:rsidTr="002D1EB4">
        <w:trPr>
          <w:trHeight w:val="340"/>
        </w:trPr>
        <w:tc>
          <w:tcPr>
            <w:tcW w:w="2807" w:type="dxa"/>
            <w:tcBorders>
              <w:left w:val="nil"/>
            </w:tcBorders>
            <w:vAlign w:val="center"/>
          </w:tcPr>
          <w:p w14:paraId="172E320B" w14:textId="1B44427A" w:rsidR="00F46169" w:rsidRPr="0029391E" w:rsidRDefault="00F46169" w:rsidP="000333FE">
            <w:pPr>
              <w:pStyle w:val="Heading3"/>
            </w:pPr>
            <w:r w:rsidRPr="0029391E">
              <w:t>Assessment task title</w:t>
            </w:r>
          </w:p>
        </w:tc>
        <w:tc>
          <w:tcPr>
            <w:tcW w:w="7938" w:type="dxa"/>
            <w:gridSpan w:val="3"/>
            <w:tcBorders>
              <w:right w:val="nil"/>
            </w:tcBorders>
            <w:vAlign w:val="center"/>
          </w:tcPr>
          <w:p w14:paraId="624293F4" w14:textId="286273C8" w:rsidR="00F46169" w:rsidRPr="0029391E" w:rsidRDefault="00F46169" w:rsidP="000333FE">
            <w:r>
              <w:t>3 of 3</w:t>
            </w:r>
          </w:p>
        </w:tc>
      </w:tr>
      <w:tr w:rsidR="00F46169" w:rsidRPr="0029391E" w14:paraId="6E42D5E4" w14:textId="77777777" w:rsidTr="002D1EB4">
        <w:trPr>
          <w:trHeight w:val="340"/>
        </w:trPr>
        <w:tc>
          <w:tcPr>
            <w:tcW w:w="2807" w:type="dxa"/>
            <w:tcBorders>
              <w:left w:val="nil"/>
            </w:tcBorders>
            <w:vAlign w:val="center"/>
          </w:tcPr>
          <w:p w14:paraId="1DFCBBA8" w14:textId="77777777" w:rsidR="00F46169" w:rsidRPr="0029391E" w:rsidRDefault="00F46169" w:rsidP="000333FE">
            <w:pPr>
              <w:pStyle w:val="Heading3"/>
            </w:pPr>
            <w:r w:rsidRPr="0029391E">
              <w:t>Assessment task number</w:t>
            </w:r>
          </w:p>
        </w:tc>
        <w:tc>
          <w:tcPr>
            <w:tcW w:w="4639" w:type="dxa"/>
            <w:tcBorders>
              <w:right w:val="nil"/>
            </w:tcBorders>
            <w:vAlign w:val="center"/>
          </w:tcPr>
          <w:p w14:paraId="03B7CE50" w14:textId="77777777" w:rsidR="00F46169" w:rsidRPr="0029391E" w:rsidRDefault="00F46169" w:rsidP="000333FE">
            <w:r w:rsidRPr="0029391E">
              <w:t>__ of __</w:t>
            </w:r>
          </w:p>
        </w:tc>
        <w:tc>
          <w:tcPr>
            <w:tcW w:w="1314" w:type="dxa"/>
            <w:tcBorders>
              <w:right w:val="nil"/>
            </w:tcBorders>
            <w:vAlign w:val="center"/>
          </w:tcPr>
          <w:p w14:paraId="3D7281F8" w14:textId="77777777" w:rsidR="00F46169" w:rsidRPr="0029391E" w:rsidRDefault="00F46169" w:rsidP="000333FE">
            <w:pPr>
              <w:pStyle w:val="Heading3"/>
            </w:pPr>
            <w:r w:rsidRPr="0029391E">
              <w:t>Due date</w:t>
            </w:r>
          </w:p>
        </w:tc>
        <w:tc>
          <w:tcPr>
            <w:tcW w:w="1985" w:type="dxa"/>
            <w:tcBorders>
              <w:right w:val="nil"/>
            </w:tcBorders>
            <w:vAlign w:val="center"/>
          </w:tcPr>
          <w:p w14:paraId="6CF0D5B1" w14:textId="77777777" w:rsidR="00F46169" w:rsidRPr="0029391E" w:rsidRDefault="00F46169" w:rsidP="000333FE"/>
        </w:tc>
      </w:tr>
      <w:tr w:rsidR="00F46169" w:rsidRPr="0029391E" w14:paraId="16A0C958" w14:textId="77777777" w:rsidTr="002D1EB4">
        <w:trPr>
          <w:trHeight w:val="340"/>
        </w:trPr>
        <w:tc>
          <w:tcPr>
            <w:tcW w:w="2807" w:type="dxa"/>
            <w:tcBorders>
              <w:left w:val="nil"/>
            </w:tcBorders>
            <w:vAlign w:val="center"/>
          </w:tcPr>
          <w:p w14:paraId="15148FEE" w14:textId="77777777" w:rsidR="00F46169" w:rsidRPr="0029391E" w:rsidRDefault="00F46169" w:rsidP="000333FE">
            <w:pPr>
              <w:pStyle w:val="Heading3"/>
            </w:pPr>
            <w:r w:rsidRPr="0029391E">
              <w:t>Teacher/Assessor name</w:t>
            </w:r>
          </w:p>
        </w:tc>
        <w:tc>
          <w:tcPr>
            <w:tcW w:w="7938" w:type="dxa"/>
            <w:gridSpan w:val="3"/>
            <w:tcBorders>
              <w:right w:val="nil"/>
            </w:tcBorders>
            <w:vAlign w:val="center"/>
          </w:tcPr>
          <w:p w14:paraId="50E259ED" w14:textId="77777777" w:rsidR="00F46169" w:rsidRPr="0029391E" w:rsidRDefault="00F46169" w:rsidP="000333FE"/>
        </w:tc>
      </w:tr>
      <w:tr w:rsidR="00F46169" w:rsidRPr="002F7C81" w14:paraId="690DE6EA" w14:textId="77777777" w:rsidTr="002D1EB4">
        <w:trPr>
          <w:trHeight w:val="340"/>
        </w:trPr>
        <w:tc>
          <w:tcPr>
            <w:tcW w:w="2807" w:type="dxa"/>
            <w:tcBorders>
              <w:left w:val="nil"/>
            </w:tcBorders>
            <w:vAlign w:val="center"/>
          </w:tcPr>
          <w:p w14:paraId="3158EC31" w14:textId="77777777" w:rsidR="00F46169" w:rsidRPr="0029391E" w:rsidRDefault="00F46169" w:rsidP="000333FE">
            <w:pPr>
              <w:pStyle w:val="Heading3"/>
            </w:pPr>
            <w:r w:rsidRPr="0029391E">
              <w:t>Teacher/Assessor email</w:t>
            </w:r>
          </w:p>
        </w:tc>
        <w:tc>
          <w:tcPr>
            <w:tcW w:w="7938" w:type="dxa"/>
            <w:gridSpan w:val="3"/>
            <w:tcBorders>
              <w:right w:val="nil"/>
            </w:tcBorders>
            <w:vAlign w:val="center"/>
          </w:tcPr>
          <w:p w14:paraId="3B69E89F" w14:textId="77777777" w:rsidR="00F46169" w:rsidRPr="002E7C77" w:rsidRDefault="00F46169" w:rsidP="000333FE"/>
        </w:tc>
      </w:tr>
    </w:tbl>
    <w:p w14:paraId="7488E7F5" w14:textId="77777777" w:rsidR="003A316B" w:rsidRPr="000333FE" w:rsidRDefault="003A316B" w:rsidP="000333FE">
      <w:pPr>
        <w:pStyle w:val="NoSpacing"/>
      </w:pPr>
    </w:p>
    <w:tbl>
      <w:tblPr>
        <w:tblStyle w:val="TableGrid"/>
        <w:tblW w:w="10745" w:type="dxa"/>
        <w:tblLayout w:type="fixed"/>
        <w:tblCellMar>
          <w:top w:w="57" w:type="dxa"/>
          <w:left w:w="113" w:type="dxa"/>
          <w:bottom w:w="57" w:type="dxa"/>
          <w:right w:w="57" w:type="dxa"/>
        </w:tblCellMar>
        <w:tblLook w:val="04A0" w:firstRow="1" w:lastRow="0" w:firstColumn="1" w:lastColumn="0" w:noHBand="0" w:noVBand="1"/>
        <w:tblCaption w:val="Student instructions"/>
        <w:tblDescription w:val="Instructions for the assessment task including an overview, tasks(s) to be assessed, time allowed, location, resources, assessment criteria, results, second attempt instructions and other important information."/>
      </w:tblPr>
      <w:tblGrid>
        <w:gridCol w:w="2807"/>
        <w:gridCol w:w="7938"/>
      </w:tblGrid>
      <w:tr w:rsidR="002A6715" w:rsidRPr="002F7C81" w14:paraId="161A8066" w14:textId="77777777" w:rsidTr="000333FE">
        <w:trPr>
          <w:cantSplit/>
          <w:tblHeader/>
        </w:trPr>
        <w:tc>
          <w:tcPr>
            <w:tcW w:w="10745" w:type="dxa"/>
            <w:gridSpan w:val="2"/>
            <w:tcBorders>
              <w:top w:val="nil"/>
              <w:left w:val="nil"/>
              <w:bottom w:val="nil"/>
              <w:right w:val="nil"/>
            </w:tcBorders>
            <w:shd w:val="clear" w:color="auto" w:fill="595959" w:themeFill="text1" w:themeFillTint="A6"/>
            <w:vAlign w:val="center"/>
          </w:tcPr>
          <w:p w14:paraId="674D2893" w14:textId="0FD9C023" w:rsidR="00667552" w:rsidRPr="00667552" w:rsidRDefault="00985471" w:rsidP="00667552">
            <w:pPr>
              <w:pStyle w:val="Heading2"/>
              <w:rPr>
                <w:color w:val="auto"/>
                <w:sz w:val="22"/>
              </w:rPr>
            </w:pPr>
            <w:r>
              <w:t>Student instructions</w:t>
            </w:r>
          </w:p>
        </w:tc>
      </w:tr>
      <w:tr w:rsidR="00E81213" w:rsidRPr="00E81213" w14:paraId="32E72483" w14:textId="77777777" w:rsidTr="002D1EB4">
        <w:trPr>
          <w:cantSplit/>
        </w:trPr>
        <w:tc>
          <w:tcPr>
            <w:tcW w:w="2807" w:type="dxa"/>
            <w:tcBorders>
              <w:top w:val="nil"/>
              <w:left w:val="nil"/>
            </w:tcBorders>
            <w:vAlign w:val="center"/>
          </w:tcPr>
          <w:p w14:paraId="17F77E68" w14:textId="5DA83CD6" w:rsidR="00667552" w:rsidRPr="00667552" w:rsidRDefault="003A316B" w:rsidP="00667552">
            <w:pPr>
              <w:pStyle w:val="Heading3"/>
            </w:pPr>
            <w:bookmarkStart w:id="5" w:name="_Toc19611986"/>
            <w:bookmarkEnd w:id="0"/>
            <w:bookmarkEnd w:id="1"/>
            <w:bookmarkEnd w:id="2"/>
            <w:bookmarkEnd w:id="3"/>
            <w:bookmarkEnd w:id="4"/>
            <w:r w:rsidRPr="002A6715">
              <w:t>Assessment overview</w:t>
            </w:r>
          </w:p>
        </w:tc>
        <w:tc>
          <w:tcPr>
            <w:tcW w:w="7938" w:type="dxa"/>
            <w:tcBorders>
              <w:top w:val="nil"/>
              <w:right w:val="nil"/>
            </w:tcBorders>
            <w:vAlign w:val="center"/>
          </w:tcPr>
          <w:p w14:paraId="26EE15FA" w14:textId="3CBFBBE9" w:rsidR="003A316B" w:rsidRPr="008A0AD8" w:rsidRDefault="002A6715" w:rsidP="00C022D4">
            <w:pPr>
              <w:pStyle w:val="Assessortext"/>
            </w:pPr>
            <w:r>
              <w:t>You are assessed on designing high-availability improvements to the cloud environment you built in the previous phase, and on implementing that design during a maintenance window. This is the third and final assessment task in the Cloud Design and Build cluster, and it closes out the YAT LMS Cloud Migration engagement.</w:t>
            </w:r>
          </w:p>
          <w:p>
            <w:pPr>
              <w:pStyle w:val="Assessortext"/>
            </w:pPr>
            <w:r>
              <w:t>The assessment is one workbook in two parts, submitted as a single document. Part A leads you task by task through designing the HA architecture. Part B is a run sheet: you deploy the supplied baseline, then build your own Part A answers, run the simulations you planned, measure availability across the window, and close the engagement with feedback and sign-off. There is no presentation and no observation event.</w:t>
            </w:r>
          </w:p>
          <w:p>
            <w:pPr>
              <w:pStyle w:val="Assessortext"/>
            </w:pPr>
            <w:r>
              <w:t>Part B builds what you designed in Part A. Each build task names the design task it comes from and asks you to copy your own answer across before you build it — so the infrastructure you end up with is yours, not ours.</w:t>
            </w:r>
          </w:p>
          <w:p>
            <w:pPr>
              <w:pStyle w:val="Assessortext"/>
            </w:pPr>
            <w:r>
              <w:t>This is an open-book practical assessment. You may use the YAT intranet, AWS Academy lab environments, AWS documentation, course reference materials, and external research (which must be cited) throughout.</w:t>
            </w:r>
          </w:p>
          <w:p>
            <w:pPr>
              <w:pStyle w:val="Assessortext"/>
            </w:pPr>
            <w:r>
              <w:t>Your assessor will provide a baseline lab-pack — a template that builds the environment described at the start of Part A, so everyone starts the maintenance window from the same place. Deploying it is the first task of Part B and takes 10–15 minutes.</w:t>
            </w:r>
          </w:p>
          <w:p>
            <w:pPr>
              <w:pStyle w:val="Assessortext"/>
            </w:pPr>
            <w:r>
              <w:t>Submission: this completed workbook (.docx), with every task and question answered and every evidence box populated, submitted via the LMS.</w:t>
            </w:r>
          </w:p>
          <w:p>
            <w:pPr>
              <w:pStyle w:val="Assessortext"/>
            </w:pPr>
            <w:r>
              <w:t>The assessment will not proceed if for any reason it is not safe to do so. Your assessor must advise you of the reason for suspending the assessment, and what safety action should be taken, and of revised arrangements when it is safe to resume.</w:t>
            </w:r>
          </w:p>
          <w:p>
            <w:pPr>
              <w:pStyle w:val="Assessortext"/>
            </w:pPr>
            <w:r>
              <w:t>There is zero tolerance for plagiarism, cheating and collusion. You will be expected to make a declaration that all work is your own prior to submission. Refer to the Training and Assessment Policy for further information.</w:t>
            </w:r>
          </w:p>
        </w:tc>
      </w:tr>
      <w:tr w:rsidR="003A316B" w:rsidRPr="002F7C81" w14:paraId="05E83D64" w14:textId="77777777" w:rsidTr="002D1EB4">
        <w:trPr>
          <w:cantSplit/>
        </w:trPr>
        <w:tc>
          <w:tcPr>
            <w:tcW w:w="2807" w:type="dxa"/>
            <w:tcBorders>
              <w:left w:val="nil"/>
            </w:tcBorders>
            <w:vAlign w:val="center"/>
          </w:tcPr>
          <w:p w14:paraId="68707E31" w14:textId="1A32D242" w:rsidR="00667552" w:rsidRPr="00667552" w:rsidRDefault="002F7C81" w:rsidP="00667552">
            <w:pPr>
              <w:pStyle w:val="Heading3"/>
            </w:pPr>
            <w:r w:rsidRPr="002A6715">
              <w:t>Task(s) to be assessed</w:t>
            </w:r>
          </w:p>
        </w:tc>
        <w:tc>
          <w:tcPr>
            <w:tcW w:w="7938" w:type="dxa"/>
            <w:tcBorders>
              <w:right w:val="nil"/>
            </w:tcBorders>
            <w:vAlign w:val="center"/>
          </w:tcPr>
          <w:p w14:paraId="1510275C" w14:textId="77777777" w:rsidR="009C0C9E" w:rsidRPr="009C0C9E" w:rsidRDefault="009C0C9E" w:rsidP="00C022D4">
            <w:pPr>
              <w:pStyle w:val="Assessortext"/>
            </w:pPr>
            <w:r>
              <w:t>The LMS now runs on AWS. YAT IT installed the application on the foundation you built, migrated the database and ran the cutover; the system has been live for a term. It was never built to survive a failure, and YAT's 99.9% availability target has not been met. The board has approved a final phase: harden the environment for high availability.</w:t>
            </w:r>
          </w:p>
          <w:p>
            <w:pPr>
              <w:pStyle w:val="Assessortext"/>
            </w:pPr>
            <w:r>
              <w:t>The task has two parts that combine into a single submission:</w:t>
            </w:r>
          </w:p>
          <w:p>
            <w:pPr>
              <w:pStyle w:val="Assessortext"/>
            </w:pPr>
            <w:r>
              <w:t>Part A — Design. You are given the current architecture and led through eighteen tasks: the targets your design must meet, a review of the current environment against them, the single points of failure it contains, the recovery objectives it achieves today, your HA design across every layer, the points of failure that design removes, the recovery objectives it achieves, the order you will apply the changes in, and the simulations that will verify them.</w:t>
            </w:r>
          </w:p>
          <w:p>
            <w:pPr>
              <w:pStyle w:val="Assessortext"/>
            </w:pPr>
            <w:r>
              <w:t>Part B — Implementation. You deploy the supplied baseline lab-pack, then build your own design during a simulated Saturday late-night maintenance window of about 3.5 hours. You then run the failure and resize simulations you planned, measure availability across the window, compare what happened against what you predicted, record any adjustments, get feedback and sign-off from the YAT ICT Manager, and file the workbook per YAT's records procedures.</w:t>
            </w:r>
          </w:p>
          <w:p>
            <w:pPr>
              <w:pStyle w:val="Assessortext"/>
            </w:pPr>
            <w:r>
              <w:t>The knowledge questions and the reflection come after the window and are not done under time pressure.</w:t>
            </w:r>
          </w:p>
          <w:p>
            <w:pPr>
              <w:pStyle w:val="Assessortext"/>
            </w:pPr>
            <w:r>
              <w:t>Scope: cloud infrastructure only. Re-validating the LMS application against the hardened infrastructure, and any application-layer tuning, are YAT in-house IT's responsibility. Your deliverable stops at HA-hardened infrastructure handed back to YAT IT.</w:t>
            </w:r>
          </w:p>
        </w:tc>
      </w:tr>
      <w:tr w:rsidR="003A316B" w:rsidRPr="002F7C81" w14:paraId="15C9695D" w14:textId="77777777" w:rsidTr="002D1EB4">
        <w:trPr>
          <w:cantSplit/>
        </w:trPr>
        <w:tc>
          <w:tcPr>
            <w:tcW w:w="2807" w:type="dxa"/>
            <w:tcBorders>
              <w:left w:val="nil"/>
            </w:tcBorders>
            <w:vAlign w:val="center"/>
          </w:tcPr>
          <w:p w14:paraId="3987EA1D" w14:textId="73CE5574" w:rsidR="003A316B" w:rsidRPr="002A6715" w:rsidRDefault="002F7C81" w:rsidP="000333FE">
            <w:pPr>
              <w:pStyle w:val="Heading3"/>
            </w:pPr>
            <w:r w:rsidRPr="002A6715">
              <w:lastRenderedPageBreak/>
              <w:t>Time allowed</w:t>
            </w:r>
          </w:p>
        </w:tc>
        <w:tc>
          <w:tcPr>
            <w:tcW w:w="7938" w:type="dxa"/>
            <w:tcBorders>
              <w:right w:val="nil"/>
            </w:tcBorders>
            <w:vAlign w:val="center"/>
          </w:tcPr>
          <w:p w14:paraId="1D0F4CF3" w14:textId="77777777" w:rsidR="003A316B" w:rsidRPr="008A0AD8" w:rsidRDefault="00ED3590" w:rsidP="00C022D4">
            <w:pPr>
              <w:pStyle w:val="Assessortext"/>
            </w:pPr>
            <w:r>
              <w:t>Part A — Design: 4 hours</w:t>
            </w:r>
          </w:p>
          <w:p>
            <w:pPr>
              <w:pStyle w:val="Assessortext"/>
            </w:pPr>
            <w:r>
              <w:t>Part B — Implementation window: 3.5 hours</w:t>
            </w:r>
          </w:p>
          <w:p>
            <w:pPr>
              <w:pStyle w:val="Assessortext"/>
            </w:pPr>
            <w:r>
              <w:t>Knowledge questions and reflection: 1 hour</w:t>
            </w:r>
          </w:p>
          <w:p>
            <w:pPr>
              <w:pStyle w:val="Assessortext"/>
            </w:pPr>
            <w:r>
              <w:t>One continuous worksheet — you work the parts in order, in one go.</w:t>
            </w:r>
          </w:p>
        </w:tc>
      </w:tr>
      <w:tr w:rsidR="003A316B" w:rsidRPr="002F7C81" w14:paraId="61A1531A" w14:textId="77777777" w:rsidTr="002D1EB4">
        <w:trPr>
          <w:cantSplit/>
        </w:trPr>
        <w:tc>
          <w:tcPr>
            <w:tcW w:w="2807" w:type="dxa"/>
            <w:tcBorders>
              <w:left w:val="nil"/>
            </w:tcBorders>
            <w:vAlign w:val="center"/>
          </w:tcPr>
          <w:p w14:paraId="6ADBC676" w14:textId="1F949875" w:rsidR="003A316B" w:rsidRPr="002A6715" w:rsidRDefault="000F75D7" w:rsidP="000333FE">
            <w:pPr>
              <w:pStyle w:val="Heading3"/>
            </w:pPr>
            <w:r>
              <w:t>Location</w:t>
            </w:r>
          </w:p>
        </w:tc>
        <w:tc>
          <w:tcPr>
            <w:tcW w:w="7938" w:type="dxa"/>
            <w:tcBorders>
              <w:right w:val="nil"/>
            </w:tcBorders>
            <w:vAlign w:val="center"/>
          </w:tcPr>
          <w:p w14:paraId="7373C180" w14:textId="77777777" w:rsidR="003A316B" w:rsidRPr="008A0AD8" w:rsidRDefault="00ED3590" w:rsidP="00C022D4">
            <w:pPr>
              <w:pStyle w:val="Assessortext"/>
            </w:pPr>
            <w:r/>
          </w:p>
        </w:tc>
      </w:tr>
      <w:tr w:rsidR="003A316B" w:rsidRPr="002F7C81" w14:paraId="08D94948" w14:textId="77777777" w:rsidTr="002D1EB4">
        <w:trPr>
          <w:cantSplit/>
        </w:trPr>
        <w:tc>
          <w:tcPr>
            <w:tcW w:w="2807" w:type="dxa"/>
            <w:tcBorders>
              <w:left w:val="nil"/>
            </w:tcBorders>
            <w:vAlign w:val="center"/>
          </w:tcPr>
          <w:p w14:paraId="04FDF80C" w14:textId="252F102F" w:rsidR="003A316B" w:rsidRPr="002A6715" w:rsidRDefault="002F7C81" w:rsidP="000333FE">
            <w:pPr>
              <w:pStyle w:val="Heading3"/>
            </w:pPr>
            <w:r w:rsidRPr="002A6715">
              <w:t>Resources required</w:t>
            </w:r>
          </w:p>
        </w:tc>
        <w:tc>
          <w:tcPr>
            <w:tcW w:w="7938" w:type="dxa"/>
            <w:tcBorders>
              <w:right w:val="nil"/>
            </w:tcBorders>
            <w:vAlign w:val="center"/>
          </w:tcPr>
          <w:p w14:paraId="6286BCA5" w14:textId="7CFC42C3" w:rsidR="00ED3590" w:rsidRPr="005903E8" w:rsidRDefault="00ED3590" w:rsidP="005903E8">
            <w:pPr>
              <w:pStyle w:val="Assessortext"/>
            </w:pPr>
            <w:r>
              <w:t>Provided to you</w:t>
            </w:r>
          </w:p>
          <w:p>
            <w:pPr>
              <w:pStyle w:val="Assessortext"/>
            </w:pPr>
            <w:r>
              <w:t>The baseline lab-pack — ask your assessor where to download it from. You deploy it as the first task of Part B</w:t>
            </w:r>
          </w:p>
          <w:p>
            <w:pPr>
              <w:pStyle w:val="Assessortext"/>
            </w:pPr>
            <w:r>
              <w:t>The YAT intranet — the LMS Application Specification, the LMS Cloud Migration Requirements, the network diagram and the Records Management Policy. All are linked in this document where you need them</w:t>
            </w:r>
          </w:p>
          <w:p>
            <w:pPr>
              <w:pStyle w:val="Assessortext"/>
            </w:pPr>
            <w:r>
              <w:t>AWS Academy lab access — Cloud Foundations [104469] + Cloud Architecting [172221]</w:t>
            </w:r>
          </w:p>
          <w:p>
            <w:pPr>
              <w:pStyle w:val="Assessortext"/>
            </w:pPr>
            <w:r>
              <w:t>You supply</w:t>
            </w:r>
          </w:p>
          <w:p>
            <w:pPr>
              <w:pStyle w:val="Assessortext"/>
            </w:pPr>
            <w:r>
              <w:t>Computer with web browser</w:t>
            </w:r>
          </w:p>
          <w:p>
            <w:pPr>
              <w:pStyle w:val="Assessortext"/>
            </w:pPr>
            <w:r>
              <w:t>Word-processing software (Microsoft Word or equivalent)</w:t>
            </w:r>
          </w:p>
          <w:p>
            <w:pPr>
              <w:pStyle w:val="Assessortext"/>
            </w:pPr>
            <w:r>
              <w:t>A screenshot tool</w:t>
            </w:r>
          </w:p>
        </w:tc>
      </w:tr>
      <w:tr w:rsidR="00ED3590" w:rsidRPr="002F7C81" w14:paraId="6E602484" w14:textId="77777777" w:rsidTr="002D1EB4">
        <w:trPr>
          <w:cantSplit/>
        </w:trPr>
        <w:tc>
          <w:tcPr>
            <w:tcW w:w="2807" w:type="dxa"/>
            <w:tcBorders>
              <w:left w:val="nil"/>
            </w:tcBorders>
            <w:vAlign w:val="center"/>
          </w:tcPr>
          <w:p w14:paraId="075D8A0E" w14:textId="568F9D15" w:rsidR="00ED3590" w:rsidRPr="002A6715" w:rsidRDefault="00CC63F7" w:rsidP="000333FE">
            <w:pPr>
              <w:pStyle w:val="Heading3"/>
            </w:pPr>
            <w:r w:rsidRPr="002A6715">
              <w:t xml:space="preserve">Assessment </w:t>
            </w:r>
            <w:r w:rsidR="002C2E32">
              <w:t>criteria</w:t>
            </w:r>
          </w:p>
        </w:tc>
        <w:tc>
          <w:tcPr>
            <w:tcW w:w="7938" w:type="dxa"/>
            <w:tcBorders>
              <w:right w:val="nil"/>
            </w:tcBorders>
            <w:vAlign w:val="center"/>
          </w:tcPr>
          <w:p w14:paraId="523081B1" w14:textId="77777777" w:rsidR="00ED3590" w:rsidRDefault="00CC63F7" w:rsidP="00C022D4">
            <w:r>
              <w:t>To receive a Satisfactory result for this assessment you must:</w:t>
            </w:r>
          </w:p>
          <w:p>
            <w:pPr/>
            <w:r>
              <w:t>Achieve Satisfactory on every criterion in the Assessment Criteria table</w:t>
            </w:r>
          </w:p>
          <w:p>
            <w:pPr/>
            <w:r>
              <w:t>Submit this completed workbook (.docx) with every task and question answered and every evidence box populated</w:t>
            </w:r>
          </w:p>
        </w:tc>
      </w:tr>
      <w:tr w:rsidR="00416D85" w:rsidRPr="002F7C81" w14:paraId="62B19B88" w14:textId="77777777" w:rsidTr="002D1EB4">
        <w:trPr>
          <w:cantSplit/>
        </w:trPr>
        <w:tc>
          <w:tcPr>
            <w:tcW w:w="2807" w:type="dxa"/>
            <w:tcBorders>
              <w:left w:val="nil"/>
            </w:tcBorders>
            <w:vAlign w:val="center"/>
          </w:tcPr>
          <w:p w14:paraId="29D03322" w14:textId="77777777" w:rsidR="00416D85" w:rsidRPr="0029391E" w:rsidRDefault="00416D85" w:rsidP="000333FE">
            <w:pPr>
              <w:pStyle w:val="Heading3"/>
            </w:pPr>
            <w:r w:rsidRPr="0029391E">
              <w:t>Results/Second attempt</w:t>
            </w:r>
          </w:p>
        </w:tc>
        <w:tc>
          <w:tcPr>
            <w:tcW w:w="7938" w:type="dxa"/>
            <w:tcBorders>
              <w:right w:val="nil"/>
            </w:tcBorders>
            <w:vAlign w:val="center"/>
          </w:tcPr>
          <w:p w14:paraId="334677B1" w14:textId="77777777" w:rsidR="00416D85" w:rsidRPr="0029391E" w:rsidRDefault="00416D85" w:rsidP="00C022D4">
            <w:pPr>
              <w:pStyle w:val="Assessortext"/>
            </w:pPr>
            <w:r>
              <w:t>If you are deemed not satisfactory, you will be given one (1) more attempt at this assessment or your teacher/assessor will negotiate a further assessment with you. The second attempt must be completed within 10 working days from the date your feedback is given.</w:t>
            </w:r>
          </w:p>
        </w:tc>
      </w:tr>
      <w:tr w:rsidR="003A316B" w:rsidRPr="002F7C81" w14:paraId="06D1B36B" w14:textId="77777777" w:rsidTr="002D1EB4">
        <w:trPr>
          <w:cantSplit/>
        </w:trPr>
        <w:tc>
          <w:tcPr>
            <w:tcW w:w="2807" w:type="dxa"/>
            <w:tcBorders>
              <w:left w:val="nil"/>
            </w:tcBorders>
            <w:vAlign w:val="center"/>
          </w:tcPr>
          <w:p w14:paraId="12DD0316" w14:textId="0045FAA4" w:rsidR="003A316B" w:rsidRPr="002A6715" w:rsidRDefault="00CE06BC" w:rsidP="000333FE">
            <w:pPr>
              <w:pStyle w:val="Heading3"/>
            </w:pPr>
            <w:r w:rsidRPr="002A6715">
              <w:t>Important information</w:t>
            </w:r>
          </w:p>
        </w:tc>
        <w:tc>
          <w:tcPr>
            <w:tcW w:w="7938" w:type="dxa"/>
            <w:tcBorders>
              <w:right w:val="nil"/>
            </w:tcBorders>
            <w:vAlign w:val="center"/>
          </w:tcPr>
          <w:p w14:paraId="43CC11BF" w14:textId="3DC8E777" w:rsidR="003A316B" w:rsidRPr="002F7C81" w:rsidRDefault="00FD2774" w:rsidP="00C022D4">
            <w:r w:rsidRPr="00FD2774">
              <w:t>You can access further information regarding assessment, including Recognition of Prior Learning, Reasonable Adjustment and Assessment Appeals in the Student handbook which can be found on the MyLearning portal.</w:t>
            </w:r>
          </w:p>
        </w:tc>
      </w:tr>
    </w:tbl>
    <w:p w14:paraId="56F88704" w14:textId="77777777" w:rsidR="00FE5400" w:rsidRPr="00C677AA" w:rsidRDefault="00FE5400" w:rsidP="00FE5400">
      <w:pPr>
        <w:pStyle w:val="NoSpacing"/>
        <w:rPr>
          <w:color w:val="4F81BD" w:themeColor="accent1"/>
        </w:rPr>
      </w:pPr>
    </w:p>
    <w:p w14:paraId="73478A3D" w14:textId="77777777" w:rsidR="00C022D4" w:rsidRPr="00C022D4" w:rsidRDefault="00C022D4" w:rsidP="000333FE">
      <w:pPr>
        <w:pStyle w:val="Assessortext"/>
      </w:pPr>
      <w:r w:rsidRPr="00C022D4">
        <w:t>List the criteria the student will be assessed against for the project assessment.</w:t>
      </w:r>
      <w:r w:rsidRPr="00C022D4">
        <w:br/>
      </w:r>
    </w:p>
    <w:tbl>
      <w:tblPr>
        <w:tblStyle w:val="TableGrid"/>
        <w:tblW w:w="10740" w:type="dxa"/>
        <w:tblCellMar>
          <w:top w:w="57" w:type="dxa"/>
          <w:bottom w:w="57" w:type="dxa"/>
          <w:right w:w="57" w:type="dxa"/>
        </w:tblCellMar>
        <w:tblLook w:val="04A0" w:firstRow="1" w:lastRow="0" w:firstColumn="1" w:lastColumn="0" w:noHBand="0" w:noVBand="1"/>
        <w:tblCaption w:val="Assessment criteria"/>
        <w:tblDescription w:val="Criteria that must be met to be deemed satisfactory for the assessment task."/>
      </w:tblPr>
      <w:tblGrid>
        <w:gridCol w:w="8797"/>
        <w:gridCol w:w="1943"/>
      </w:tblGrid>
      <w:tr w:rsidR="00C022D4" w:rsidRPr="00C022D4" w14:paraId="03046C8F" w14:textId="77777777" w:rsidTr="000333FE">
        <w:trPr>
          <w:tblHeader/>
        </w:trPr>
        <w:tc>
          <w:tcPr>
            <w:tcW w:w="10740" w:type="dxa"/>
            <w:gridSpan w:val="2"/>
            <w:tcBorders>
              <w:top w:val="nil"/>
              <w:left w:val="nil"/>
              <w:bottom w:val="nil"/>
              <w:right w:val="nil"/>
            </w:tcBorders>
            <w:shd w:val="clear" w:color="auto" w:fill="595959" w:themeFill="text1" w:themeFillTint="A6"/>
            <w:vAlign w:val="center"/>
          </w:tcPr>
          <w:p w14:paraId="1A8F3582" w14:textId="77777777" w:rsidR="00C022D4" w:rsidRPr="00C022D4" w:rsidRDefault="00C022D4" w:rsidP="000333FE">
            <w:pPr>
              <w:pStyle w:val="Heading2"/>
              <w:rPr>
                <w:color w:val="365F91" w:themeColor="accent1" w:themeShade="BF"/>
              </w:rPr>
            </w:pPr>
            <w:r w:rsidRPr="00C022D4">
              <w:t>Assessment criteria</w:t>
            </w:r>
          </w:p>
        </w:tc>
      </w:tr>
      <w:tr w:rsidR="00C022D4" w:rsidRPr="00C022D4" w14:paraId="535EF89A" w14:textId="77777777" w:rsidTr="000333FE">
        <w:trPr>
          <w:trHeight w:val="340"/>
        </w:trPr>
        <w:tc>
          <w:tcPr>
            <w:tcW w:w="8797" w:type="dxa"/>
            <w:tcBorders>
              <w:top w:val="nil"/>
              <w:left w:val="nil"/>
            </w:tcBorders>
            <w:vAlign w:val="center"/>
          </w:tcPr>
          <w:p w14:paraId="5BC5637E" w14:textId="77777777" w:rsidR="00C022D4" w:rsidRPr="00C022D4" w:rsidRDefault="00C022D4" w:rsidP="000333FE">
            <w:pPr>
              <w:pStyle w:val="Heading3"/>
            </w:pPr>
            <w:r w:rsidRPr="00C022D4">
              <w:t>Criteria</w:t>
            </w:r>
          </w:p>
        </w:tc>
        <w:tc>
          <w:tcPr>
            <w:tcW w:w="1943" w:type="dxa"/>
            <w:tcBorders>
              <w:top w:val="nil"/>
              <w:right w:val="nil"/>
            </w:tcBorders>
            <w:vAlign w:val="center"/>
          </w:tcPr>
          <w:p w14:paraId="3E86C5CC" w14:textId="77777777" w:rsidR="00C022D4" w:rsidRPr="000333FE" w:rsidRDefault="00C022D4" w:rsidP="000333FE">
            <w:pPr>
              <w:pStyle w:val="Heading3"/>
            </w:pPr>
            <w:r w:rsidRPr="000333FE">
              <w:t>Satisfactory?</w:t>
            </w:r>
          </w:p>
        </w:tc>
      </w:tr>
      <w:tr>
        <w:tc>
          <w:tcPr>
            <w:tcW w:type="dxa" w:w="8797"/>
          </w:tcPr>
          <w:p>
            <w:r>
              <w:t>A1 Requirements and review (tasks 1–2) — you established the availability, recovery and service-level targets from the supplied documents, then reviewed the current environment tier by tier against those targets</w:t>
            </w:r>
          </w:p>
        </w:tc>
        <w:tc>
          <w:tcPr>
            <w:tcW w:type="dxa" w:w="1943"/>
          </w:tcPr>
          <w:p>
            <w:r>
              <w:t>☐ Yes  ☐ No</w:t>
            </w:r>
          </w:p>
        </w:tc>
      </w:tr>
      <w:tr>
        <w:tc>
          <w:tcPr>
            <w:tcW w:type="dxa" w:w="8797"/>
          </w:tcPr>
          <w:p>
            <w:r>
              <w:t>A2 Current-state analysis (tasks 3–5) — you identified the single points of failure, quantified the recovery objectives the environment achieves today, and identified what can only scale vertically and what that costs in availability</w:t>
            </w:r>
          </w:p>
        </w:tc>
        <w:tc>
          <w:tcPr>
            <w:tcW w:type="dxa" w:w="1943"/>
          </w:tcPr>
          <w:p>
            <w:r>
              <w:t>☐ Yes  ☐ No</w:t>
            </w:r>
          </w:p>
        </w:tc>
      </w:tr>
      <w:tr>
        <w:tc>
          <w:tcPr>
            <w:tcW w:type="dxa" w:w="8797"/>
          </w:tcPr>
          <w:p>
            <w:r>
              <w:t>A3 Review findings documented (task 6) — you summarised the gap between the current environment and the targets, written for the YAT ICT Manager</w:t>
            </w:r>
          </w:p>
        </w:tc>
        <w:tc>
          <w:tcPr>
            <w:tcW w:type="dxa" w:w="1943"/>
          </w:tcPr>
          <w:p>
            <w:r>
              <w:t>☐ Yes  ☐ No</w:t>
            </w:r>
          </w:p>
        </w:tc>
      </w:tr>
      <w:tr>
        <w:tc>
          <w:tcPr>
            <w:tcW w:type="dxa" w:w="8797"/>
          </w:tcPr>
          <w:p>
            <w:r>
              <w:t>A4 HA architecture designed (tasks 7–12) — you designed the HA architecture across every layer: an application subnet in the second zone, an Auto Scaling group that survives losing a zone, a database with automatic failover, an outbound path that does not depend on one zone, monitoring that would reveal a partial loss of availability, and a reasoned decision about the load balancer</w:t>
            </w:r>
          </w:p>
        </w:tc>
        <w:tc>
          <w:tcPr>
            <w:tcW w:type="dxa" w:w="1943"/>
          </w:tcPr>
          <w:p>
            <w:r>
              <w:t>☐ Yes  ☐ No</w:t>
            </w:r>
          </w:p>
        </w:tc>
      </w:tr>
      <w:tr>
        <w:tc>
          <w:tcPr>
            <w:tcW w:type="dxa" w:w="8797"/>
          </w:tcPr>
          <w:p>
            <w:r>
              <w:t>A5 Designed-state analysis (tasks 13–15) — you accounted for every point of failure you found in task 3, quantified the recovery objectives your design achieves, and stated what still scales vertically</w:t>
            </w:r>
          </w:p>
        </w:tc>
        <w:tc>
          <w:tcPr>
            <w:tcW w:type="dxa" w:w="1943"/>
          </w:tcPr>
          <w:p>
            <w:r>
              <w:t>☐ Yes  ☐ No</w:t>
            </w:r>
          </w:p>
        </w:tc>
      </w:tr>
      <w:tr>
        <w:tc>
          <w:tcPr>
            <w:tcW w:type="dxa" w:w="8797"/>
          </w:tcPr>
          <w:p>
            <w:r>
              <w:t>A6 Design complete and coherent (task 16) — your design reads as one consistent document that addresses YAT's business needs and could be built from</w:t>
            </w:r>
          </w:p>
        </w:tc>
        <w:tc>
          <w:tcPr>
            <w:tcW w:type="dxa" w:w="1943"/>
          </w:tcPr>
          <w:p>
            <w:r>
              <w:t>☐ Yes  ☐ No</w:t>
            </w:r>
          </w:p>
        </w:tc>
      </w:tr>
      <w:tr>
        <w:tc>
          <w:tcPr>
            <w:tcW w:type="dxa" w:w="8797"/>
          </w:tcPr>
          <w:p>
            <w:r>
              <w:t>A7 Implementation sequence (task 17) — you sequenced the changes with a duration, service impact, verification and rollback for each, and reconciled the total against the window</w:t>
            </w:r>
          </w:p>
        </w:tc>
        <w:tc>
          <w:tcPr>
            <w:tcW w:type="dxa" w:w="1943"/>
          </w:tcPr>
          <w:p>
            <w:r>
              <w:t>☐ Yes  ☐ No</w:t>
            </w:r>
          </w:p>
        </w:tc>
      </w:tr>
      <w:tr>
        <w:tc>
          <w:tcPr>
            <w:tcW w:type="dxa" w:w="8797"/>
          </w:tcPr>
          <w:p>
            <w:r>
              <w:t>A8 Simulation plan and findings (tasks 18 and 25) — you planned failure and resize simulations with a stated expected outcome for each, then compared what actually happened against those predictions</w:t>
            </w:r>
          </w:p>
        </w:tc>
        <w:tc>
          <w:tcPr>
            <w:tcW w:type="dxa" w:w="1943"/>
          </w:tcPr>
          <w:p>
            <w:r>
              <w:t>☐ Yes  ☐ No</w:t>
            </w:r>
          </w:p>
        </w:tc>
      </w:tr>
      <w:tr>
        <w:tc>
          <w:tcPr>
            <w:tcW w:type="dxa" w:w="8797"/>
          </w:tcPr>
          <w:p>
            <w:r>
              <w:t>A9 Implementation (tasks 19–23) — you deployed the supplied baseline, then built your own design: the second-zone application subnet, its outbound path, the Auto Scaling group across both zones, and the database failover configuration</w:t>
            </w:r>
          </w:p>
        </w:tc>
        <w:tc>
          <w:tcPr>
            <w:tcW w:type="dxa" w:w="1943"/>
          </w:tcPr>
          <w:p>
            <w:r>
              <w:t>☐ Yes  ☐ No</w:t>
            </w:r>
          </w:p>
        </w:tc>
      </w:tr>
      <w:tr>
        <w:tc>
          <w:tcPr>
            <w:tcW w:type="dxa" w:w="8797"/>
          </w:tcPr>
          <w:p>
            <w:r>
              <w:t>A10 Monitoring and availability measurement (task 24, T4) — you built the HA monitoring you designed, and measured and recorded the LMS's availability across the window with your working shown</w:t>
            </w:r>
          </w:p>
        </w:tc>
        <w:tc>
          <w:tcPr>
            <w:tcW w:type="dxa" w:w="1943"/>
          </w:tcPr>
          <w:p>
            <w:r>
              <w:t>☐ Yes  ☐ No</w:t>
            </w:r>
          </w:p>
        </w:tc>
      </w:tr>
      <w:tr>
        <w:tc>
          <w:tcPr>
            <w:tcW w:type="dxa" w:w="8797"/>
          </w:tcPr>
          <w:p>
            <w:r>
              <w:t>A11 Connectivity (T1) — you demonstrated connectivity at every tier and across both zones, including the negative test that the database is not reachable from the internet</w:t>
            </w:r>
          </w:p>
        </w:tc>
        <w:tc>
          <w:tcPr>
            <w:tcW w:type="dxa" w:w="1943"/>
          </w:tcPr>
          <w:p>
            <w:r>
              <w:t>☐ Yes  ☐ No</w:t>
            </w:r>
          </w:p>
        </w:tc>
      </w:tr>
      <w:tr>
        <w:tc>
          <w:tcPr>
            <w:tcW w:type="dxa" w:w="8797"/>
          </w:tcPr>
          <w:p>
            <w:r>
              <w:t>A12 Failure simulation (T2) — you executed a real failure against your own environment and recorded the outcome with timings</w:t>
            </w:r>
          </w:p>
        </w:tc>
        <w:tc>
          <w:tcPr>
            <w:tcW w:type="dxa" w:w="1943"/>
          </w:tcPr>
          <w:p>
            <w:r>
              <w:t>☐ Yes  ☐ No</w:t>
            </w:r>
          </w:p>
        </w:tc>
      </w:tr>
      <w:tr>
        <w:tc>
          <w:tcPr>
            <w:tcW w:type="dxa" w:w="8797"/>
          </w:tcPr>
          <w:p>
            <w:r>
              <w:t>A13 Resize simulation (T3) — you executed a resize and measured its availability impact from observation</w:t>
            </w:r>
          </w:p>
        </w:tc>
        <w:tc>
          <w:tcPr>
            <w:tcW w:type="dxa" w:w="1943"/>
          </w:tcPr>
          <w:p>
            <w:r>
              <w:t>☐ Yes  ☐ No</w:t>
            </w:r>
          </w:p>
        </w:tc>
      </w:tr>
      <w:tr>
        <w:tc>
          <w:tcPr>
            <w:tcW w:type="dxa" w:w="8797"/>
          </w:tcPr>
          <w:p>
            <w:r>
              <w:t>A14 Adjustments (task 26) — you documented what you changed as a result of the simulations, or justified from evidence that nothing needed changing</w:t>
            </w:r>
          </w:p>
        </w:tc>
        <w:tc>
          <w:tcPr>
            <w:tcW w:type="dxa" w:w="1943"/>
          </w:tcPr>
          <w:p>
            <w:r>
              <w:t>☐ Yes  ☐ No</w:t>
            </w:r>
          </w:p>
        </w:tc>
      </w:tr>
      <w:tr>
        <w:tc>
          <w:tcPr>
            <w:tcW w:type="dxa" w:w="8797"/>
          </w:tcPr>
          <w:p>
            <w:r>
              <w:t>A15 Feedback (task 27) — you took the completed work to the YAT ICT Manager and recorded the feedback and your response to it</w:t>
            </w:r>
          </w:p>
        </w:tc>
        <w:tc>
          <w:tcPr>
            <w:tcW w:type="dxa" w:w="1943"/>
          </w:tcPr>
          <w:p>
            <w:r>
              <w:t>☐ Yes  ☐ No</w:t>
            </w:r>
          </w:p>
        </w:tc>
      </w:tr>
      <w:tr>
        <w:tc>
          <w:tcPr>
            <w:tcW w:type="dxa" w:w="8797"/>
          </w:tcPr>
          <w:p>
            <w:r>
              <w:t>A16 Filing (task 28) — you named where you filed the completed workbook and which YAT policy required that location</w:t>
            </w:r>
          </w:p>
        </w:tc>
        <w:tc>
          <w:tcPr>
            <w:tcW w:type="dxa" w:w="1943"/>
          </w:tcPr>
          <w:p>
            <w:r>
              <w:t>☐ Yes  ☐ No</w:t>
            </w:r>
          </w:p>
        </w:tc>
      </w:tr>
      <w:tr>
        <w:tc>
          <w:tcPr>
            <w:tcW w:type="dxa" w:w="8797"/>
          </w:tcPr>
          <w:p>
            <w:r>
              <w:t>A17 Knowledge questions (Q1–Q6) — you answered all six with reference to your own design and your own build, in clear written English</w:t>
            </w:r>
          </w:p>
        </w:tc>
        <w:tc>
          <w:tcPr>
            <w:tcW w:type="dxa" w:w="1943"/>
          </w:tcPr>
          <w:p>
            <w:r>
              <w:t>☐ Yes  ☐ No</w:t>
            </w:r>
          </w:p>
        </w:tc>
      </w:tr>
      <w:tr>
        <w:tc>
          <w:tcPr>
            <w:tcW w:type="dxa" w:w="8797"/>
          </w:tcPr>
          <w:p>
            <w:r>
              <w:t>A18 Reflection (R1–R3) — three honest reflective responses, all specific to your own work</w:t>
            </w:r>
          </w:p>
        </w:tc>
        <w:tc>
          <w:tcPr>
            <w:tcW w:type="dxa" w:w="1943"/>
          </w:tcPr>
          <w:p>
            <w:r>
              <w:t>☐ Yes  ☐ No</w:t>
            </w:r>
          </w:p>
        </w:tc>
      </w:tr>
    </w:tbl>
    <w:p w14:paraId="3274B3E2" w14:textId="77777777" w:rsidR="00C022D4" w:rsidRPr="00C022D4" w:rsidRDefault="00C022D4" w:rsidP="00C022D4">
      <w:pPr>
        <w:pStyle w:val="Assessortext"/>
      </w:pPr>
    </w:p>
    <w:p w14:paraId="4225B68C" w14:textId="0E3C1379" w:rsidR="00C022D4" w:rsidRPr="00C022D4" w:rsidRDefault="00C022D4" w:rsidP="00C022D4">
      <w:pPr>
        <w:pStyle w:val="Assessortext"/>
      </w:pPr>
      <w:r w:rsidRPr="00C022D4">
        <w:t>If questioning or observation is incorporated into this assessme</w:t>
      </w:r>
      <w:r w:rsidR="00D71797">
        <w:t xml:space="preserve">nt task, you can incorporate a </w:t>
      </w:r>
      <w:r w:rsidR="00D71797" w:rsidRPr="00D71797">
        <w:rPr>
          <w:b/>
          <w:i/>
        </w:rPr>
        <w:t>Practical Observation Checklist</w:t>
      </w:r>
      <w:r w:rsidRPr="00C022D4">
        <w:t>.</w:t>
      </w:r>
    </w:p>
    <w:bookmarkEnd w:id="5"/>
    <w:p w14:paraId="3B5466B7" w14:textId="77777777" w:rsidR="00FA41B0" w:rsidRPr="00FA41B0" w:rsidRDefault="00FA41B0" w:rsidP="00C022D4"/>
    <w:p>
      <w:pPr>
        <w:pStyle w:val="Heading1"/>
      </w:pPr>
      <w:r>
        <w:t>Scenario</w:t>
      </w:r>
    </w:p>
    <w:p>
      <w:pPr>
        <w:spacing w:after="160"/>
      </w:pPr>
      <w:r>
        <w:rPr>
          <w:b w:val="0"/>
          <w:i w:val="0"/>
          <w:sz w:val="21"/>
        </w:rPr>
        <w:t>YAT College's Learning Management System now runs on AWS. You are an MTS Consultant on this engagement, reporting to Pat Lin (MTS Senior Consultant). Sam Walker (YAT IT Manager) is your primary YAT-side stakeholder.</w:t>
      </w:r>
    </w:p>
    <w:p>
      <w:pPr>
        <w:spacing w:after="160"/>
      </w:pPr>
      <w:r>
        <w:rPr>
          <w:b w:val="0"/>
          <w:i w:val="0"/>
          <w:sz w:val="21"/>
        </w:rPr>
        <w:t>You built the cloud foundation in the previous phase and handed it over. YAT IT installed the LMS on it, migrated the database and ran the cutover, and the system has been live for a term. It works — but it was never built to survive a failure, and YAT's strategic target of 99.9% availability has not been met.</w:t>
      </w:r>
    </w:p>
    <w:p>
      <w:pPr>
        <w:spacing w:after="160"/>
      </w:pPr>
      <w:r>
        <w:rPr>
          <w:b w:val="0"/>
          <w:i w:val="0"/>
          <w:sz w:val="21"/>
        </w:rPr>
        <w:t>The board has approved a final phase: harden the environment for high availability. You design the HA-equivalent architecture in Part A, then implement it in Part B during a maintenance window. The engagement closes when Sam Walker signs it off.</w:t>
      </w:r>
    </w:p>
    <w:p>
      <w:pPr>
        <w:pStyle w:val="Heading1"/>
      </w:pPr>
      <w:r>
        <w:t>Required resources (assessment conditions)</w:t>
      </w:r>
    </w:p>
    <w:p>
      <w:pPr>
        <w:spacing w:after="120"/>
        <w:ind w:left="340"/>
      </w:pPr>
      <w:r>
        <w:rPr>
          <w:sz w:val="21"/>
        </w:rPr>
        <w:t xml:space="preserve">•  </w:t>
      </w:r>
      <w:hyperlink r:id="rId17">
        <w:r>
          <w:rPr>
            <w:sz w:val="21"/>
            <w:color w:val="0563C1"/>
            <w:u w:val="single"/>
          </w:rPr>
          <w:t>LMS Application Specification — the workload the availability targets are set against</w:t>
        </w:r>
      </w:hyperlink>
    </w:p>
    <w:p>
      <w:pPr>
        <w:spacing w:after="120"/>
        <w:ind w:left="340"/>
      </w:pPr>
      <w:r>
        <w:rPr>
          <w:sz w:val="21"/>
        </w:rPr>
        <w:t xml:space="preserve">•  </w:t>
      </w:r>
      <w:hyperlink r:id="rId18">
        <w:r>
          <w:rPr>
            <w:sz w:val="21"/>
            <w:color w:val="0563C1"/>
            <w:u w:val="single"/>
          </w:rPr>
          <w:t>LMS Cloud Migration Requirements — the availability and recovery targets you design against</w:t>
        </w:r>
      </w:hyperlink>
    </w:p>
    <w:p>
      <w:pPr>
        <w:spacing w:after="120"/>
        <w:ind w:left="340"/>
      </w:pPr>
      <w:r>
        <w:rPr>
          <w:sz w:val="21"/>
        </w:rPr>
        <w:t xml:space="preserve">•  </w:t>
      </w:r>
      <w:hyperlink r:id="rId19">
        <w:r>
          <w:rPr>
            <w:sz w:val="21"/>
            <w:color w:val="0563C1"/>
            <w:u w:val="single"/>
          </w:rPr>
          <w:t>Records Management Policy — where a completed engagement document has to be filed</w:t>
        </w:r>
      </w:hyperlink>
    </w:p>
    <w:p>
      <w:pPr>
        <w:spacing w:after="160"/>
      </w:pPr>
      <w:r>
        <w:rPr>
          <w:b w:val="0"/>
          <w:i/>
          <w:color w:val="6B6660"/>
          <w:sz w:val="19"/>
        </w:rPr>
        <w:t>Your assessor will provide the baseline lab-pack — a CloudFormation template that builds the current environment described below. You deploy it as the first task of Part B. Ask your assessor where to download it from.</w:t>
      </w:r>
    </w:p>
    <w:p>
      <w:pPr>
        <w:pStyle w:val="Heading1"/>
      </w:pPr>
      <w:r>
        <w:t>Instructions to Student</w:t>
      </w:r>
    </w:p>
    <w:p>
      <w:pPr>
        <w:spacing w:after="160"/>
      </w:pPr>
      <w:r>
        <w:rPr>
          <w:b w:val="0"/>
          <w:i w:val="0"/>
          <w:sz w:val="21"/>
        </w:rPr>
        <w:t>This is an open-book assessment. You may use the YAT intranet, AWS documentation, and anything you have from class — including your own notes and any practice work you have done. What you may not use is another student.</w:t>
      </w:r>
    </w:p>
    <w:p>
      <w:pPr>
        <w:spacing w:after="160"/>
      </w:pPr>
      <w:r>
        <w:rPr>
          <w:b w:val="0"/>
          <w:i w:val="0"/>
          <w:sz w:val="21"/>
        </w:rPr>
        <w:t>Part A is the design. Work the tasks in order — each one builds on the answer before it. They tell you what to decide; they do not tell you what to decide it to.</w:t>
      </w:r>
    </w:p>
    <w:p>
      <w:pPr>
        <w:spacing w:after="160"/>
      </w:pPr>
      <w:r>
        <w:rPr>
          <w:b w:val="0"/>
          <w:i w:val="0"/>
          <w:sz w:val="21"/>
        </w:rPr>
        <w:t>Part B is the build. Every task names the Part A task it comes from — copy your own answer into the task before you build it. You are implementing your design, not ours.</w:t>
      </w:r>
    </w:p>
    <w:p>
      <w:pPr>
        <w:spacing w:after="160"/>
      </w:pPr>
      <w:r>
        <w:rPr>
          <w:b w:val="0"/>
          <w:i w:val="0"/>
          <w:sz w:val="21"/>
        </w:rPr>
        <w:t>Take each screenshot as you finish the task, not at the end. Recreating a screen after you have moved on is painful and sometimes impossible.</w:t>
      </w:r>
    </w:p>
    <w:p>
      <w:pPr>
        <w:spacing w:after="160"/>
      </w:pPr>
      <w:r>
        <w:rPr>
          <w:b w:val="0"/>
          <w:i w:val="0"/>
          <w:sz w:val="21"/>
        </w:rPr>
        <w:t>Answer the knowledge questions about your own design and your own build. Generic answers about high availability will not pass.</w:t>
      </w:r>
    </w:p>
    <w:p>
      <w:pPr>
        <w:pStyle w:val="Heading1"/>
      </w:pPr>
      <w:r>
        <w:t>Part A — Design</w:t>
      </w:r>
    </w:p>
    <w:p>
      <w:pPr>
        <w:pStyle w:val="Heading2"/>
      </w:pPr>
      <w:r>
        <w:rPr>
          <w:color w:val="1F5A5C"/>
        </w:rPr>
        <w:t>The environment you are hardening</w:t>
      </w:r>
    </w:p>
    <w:p>
      <w:pPr>
        <w:spacing w:after="120"/>
      </w:pPr>
      <w:r>
        <w:rPr>
          <w:b w:val="0"/>
          <w:i w:val="0"/>
          <w:sz w:val="21"/>
        </w:rPr>
        <w:t>This is the environment you are hardening. It is what the previous phase built and handed over, and the lab-pack in Part B task 19 recreates it exactly. Read it before you answer anything — several tasks below turn on noticing what is already there.</w:t>
      </w:r>
    </w:p>
    <w:tbl>
      <w:tblPr>
        <w:tblW w:type="auto" w:w="0"/>
        <w:tblLook w:firstColumn="1" w:firstRow="1" w:lastColumn="0" w:lastRow="0" w:noHBand="0" w:noVBand="1" w:val="04A0"/>
      </w:tblPr>
      <w:tblGrid>
        <w:gridCol w:w="5233"/>
        <w:gridCol w:w="5233"/>
      </w:tblGrid>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Region</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 xml:space="preserve">For the scenario this infrastructure sits in the Sydney region, ap-southeast-2. Use that region if it is available to you. </w:t>
            </w:r>
            <w:r>
              <w:rPr>
                <w:b/>
                <w:sz w:val="19"/>
              </w:rPr>
              <w:t>If you are working in AWS Academy Learner Lab or a similar restricted environment, Sydney will not be offered — build in us-east-1, or whichever region you do have. The work is identical either way.</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Network</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VPC yat-lms-vpc, 10.0.0.0/16</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Subnets</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zone names below follow us-east-1; in another region read -1a and -1b as that region's first two zones  ·  public-web-a  10.0.1.0/24  (us-east-1a)  ·  public-web-b  10.0.2.0/24  (us-east-1b)  ·  private-app-a  10.0.11.0/24  (us-east-1a)  ·  private-data-a  10.0.21.0/24  (us-east-1a)  ·  private-data-b  10.0.22.0/24  (us-east-1b)</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Where the load actually is</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everything that serves the LMS runs in us-east-1a. public-web-b and private-data-b were created because the load balancer and the database subnet group each refuse to be created with only one zone. Nothing has ever been placed in them.</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Internet in</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internet gateway yat-lms-igw; public-rt routes 0.0.0.0/0 to it, associated with both public subnets</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Internet out</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one NAT gateway yat-lms-nat in public-web-a; private-app-rt routes private-app-a's 0.0.0.0/0 to it</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Compute</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Auto Scaling group across private-app-a only — desired 1, minimum 1, maximum 2; launch template yat-lms-lt (Windows Server, IIS installed at boot, serving a placeholder page)</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Load balancing</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internet-facing ALB yat-lms-alb in public-web-a and public-web-b, HTTP :80, forwarding to target group yat-lms-tg (health check HTTP /, 30s, unhealthy threshold 2)</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Database</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MySQL on RDS, single-AZ with no standby, gp3 20 GB, encrypted, 7-day backup retention, in subnet group yat-lms-db-subnet-group (private-data-a + private-data-b)</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Security groups</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yat-lms-alb-sg  HTTP 80 from anywhere  ·  yat-lms-app-sg  HTTP 80 from the ALB group  ·  yat-lms-db-sg  MySQL 3306 from the app group</w:t>
            </w:r>
          </w:p>
        </w:tc>
      </w:tr>
      <w:tr>
        <w:tc>
          <w:tcPr>
            <w:tcW w:type="dxa" w:w="2381"/>
            <w:tcBorders>
              <w:top w:val="single" w:sz="4" w:space="0" w:color="E4DED3"/>
              <w:left w:val="single" w:sz="4" w:space="0" w:color="E4DED3"/>
              <w:bottom w:val="single" w:sz="4" w:space="0" w:color="E4DED3"/>
              <w:right w:val="single" w:sz="4" w:space="0" w:color="E4DED3"/>
            </w:tcBorders>
            <w:shd w:val="clear" w:color="auto" w:fill="F8F4ED"/>
          </w:tcPr>
          <w:p>
            <w:r>
              <w:rPr>
                <w:b/>
                <w:sz w:val="19"/>
              </w:rPr>
              <w:t>Monitoring</w:t>
            </w:r>
          </w:p>
        </w:tc>
        <w:tc>
          <w:tcPr>
            <w:tcW w:type="dxa" w:w="6576"/>
            <w:tcBorders>
              <w:top w:val="single" w:sz="4" w:space="0" w:color="E4DED3"/>
              <w:left w:val="single" w:sz="4" w:space="0" w:color="E4DED3"/>
              <w:bottom w:val="single" w:sz="4" w:space="0" w:color="E4DED3"/>
              <w:right w:val="single" w:sz="4" w:space="0" w:color="E4DED3"/>
            </w:tcBorders>
          </w:tcPr>
          <w:p>
            <w:r>
              <w:rPr>
                <w:b w:val="0"/>
                <w:sz w:val="19"/>
              </w:rPr>
              <w:t>two alarms notifying SNS topic yat-lms-alerts — yat-lms-unhealthy-hosts (UnHealthyHostCount ≥ 1) and yat-lms-db-storage-low (FreeStorageSpace below 15%)</w:t>
            </w:r>
          </w:p>
        </w:tc>
      </w:tr>
    </w:tbl>
    <w:p/>
    <w:p>
      <w:pPr>
        <w:spacing w:after="80"/>
      </w:pPr>
      <w:r>
        <w:rPr>
          <w:sz w:val="21"/>
        </w:rPr>
        <w:t xml:space="preserve">•  </w:t>
      </w:r>
      <w:hyperlink r:id="rId20">
        <w:r>
          <w:rPr>
            <w:sz w:val="21"/>
            <w:color w:val="0563C1"/>
            <w:u w:val="single"/>
          </w:rPr>
          <w:t>Network diagram — this environment drawn out, including the campus it connects back to</w:t>
        </w:r>
      </w:hyperlink>
    </w:p>
    <w:p>
      <w:pPr>
        <w:spacing w:after="200"/>
      </w:pPr>
      <w:r>
        <w:rPr>
          <w:b w:val="0"/>
          <w:i/>
          <w:color w:val="6B6660"/>
          <w:sz w:val="19"/>
        </w:rPr>
        <w:t>Your work in this assessment is the AWS side only — the campus network is not yours to change and is not in scope.</w:t>
      </w:r>
    </w:p>
    <w:p>
      <w:pPr>
        <w:spacing w:before="200" w:after="0"/>
      </w:pPr>
      <w:r>
        <w:rPr>
          <w:b/>
          <w:color w:val="1F5A5C"/>
          <w:sz w:val="16"/>
        </w:rPr>
        <w:t>TASK 1</w:t>
      </w:r>
    </w:p>
    <w:p>
      <w:pPr>
        <w:pStyle w:val="Heading2"/>
      </w:pPr>
      <w:r>
        <w:rPr>
          <w:color w:val="1F5A5C"/>
        </w:rPr>
        <w:t>The targets this design has to meet</w:t>
      </w:r>
    </w:p>
    <w:p>
      <w:pPr>
        <w:spacing w:after="120"/>
      </w:pPr>
      <w:r>
        <w:rPr>
          <w:b w:val="0"/>
          <w:i w:val="0"/>
          <w:sz w:val="21"/>
        </w:rPr>
        <w:t>Before you design anything, establish what the design is held to. Read the LMS Cloud Migration Requirements and the LMS Application Specification, and record the availability, recovery and service-level targets the HA design must achieve. Name the document each figure came from.</w:t>
      </w:r>
    </w:p>
    <w:p>
      <w:pPr>
        <w:spacing w:after="60"/>
      </w:pPr>
      <w:r>
        <w:rPr>
          <w:b/>
          <w:i w:val="0"/>
          <w:sz w:val="19"/>
        </w:rPr>
        <w:t>Related resources</w:t>
      </w:r>
    </w:p>
    <w:p>
      <w:pPr>
        <w:spacing w:after="60"/>
        <w:ind w:left="340"/>
      </w:pPr>
      <w:r>
        <w:rPr>
          <w:sz w:val="19"/>
        </w:rPr>
        <w:t xml:space="preserve">•  </w:t>
      </w:r>
      <w:hyperlink r:id="rId18">
        <w:r>
          <w:rPr>
            <w:sz w:val="19"/>
            <w:color w:val="0563C1"/>
            <w:u w:val="single"/>
          </w:rPr>
          <w:t>LMS Cloud Migration Requirements — the availability, recovery and service-level targets the board signed off on. The figures you need are here</w:t>
        </w:r>
      </w:hyperlink>
    </w:p>
    <w:p>
      <w:pPr>
        <w:spacing w:after="60"/>
        <w:ind w:left="340"/>
      </w:pPr>
      <w:r>
        <w:rPr>
          <w:sz w:val="19"/>
        </w:rPr>
        <w:t xml:space="preserve">•  </w:t>
      </w:r>
      <w:hyperlink r:id="rId17">
        <w:r>
          <w:rPr>
            <w:sz w:val="19"/>
            <w:color w:val="0563C1"/>
            <w:u w:val="single"/>
          </w:rPr>
          <w:t>LMS Application Specification — the workload those targets are set against: who uses it, how many at once, and when</w:t>
        </w:r>
      </w:hyperlink>
    </w:p>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Requirement</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Target</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Where it came from</w:t>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Availability</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Recovery point objective (RPO)</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Recovery time objective (RTO)</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Peak concurrent users</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bl>
    <w:p/>
    <w:p>
      <w:pPr>
        <w:spacing w:before="200" w:after="0"/>
      </w:pPr>
      <w:r>
        <w:rPr>
          <w:b/>
          <w:color w:val="1F5A5C"/>
          <w:sz w:val="16"/>
        </w:rPr>
        <w:t>TASK 2</w:t>
      </w:r>
    </w:p>
    <w:p>
      <w:pPr>
        <w:pStyle w:val="Heading2"/>
      </w:pPr>
      <w:r>
        <w:rPr>
          <w:color w:val="1F5A5C"/>
        </w:rPr>
        <w:t>Review the current environment against those targets</w:t>
      </w:r>
    </w:p>
    <w:p>
      <w:pPr>
        <w:spacing w:after="120"/>
      </w:pPr>
      <w:r>
        <w:rPr>
          <w:b w:val="0"/>
          <w:i w:val="0"/>
          <w:sz w:val="21"/>
        </w:rPr>
        <w:t>Go through the current environment tier by tier. For each, say whether it meets the targets you recorded in task 1, and if it does not, why not. Work from what is described above — not from what you would expect a cloud environment to look like.</w:t>
      </w:r>
    </w:p>
    <w:p>
      <w:pPr>
        <w:spacing w:after="60"/>
      </w:pPr>
      <w:r>
        <w:rPr>
          <w:b/>
          <w:i w:val="0"/>
          <w:sz w:val="19"/>
        </w:rPr>
        <w:t>Related resources</w:t>
      </w:r>
    </w:p>
    <w:p>
      <w:pPr>
        <w:spacing w:after="60"/>
        <w:ind w:left="340"/>
      </w:pPr>
      <w:r>
        <w:rPr>
          <w:sz w:val="19"/>
        </w:rPr>
        <w:t xml:space="preserve">•  </w:t>
      </w:r>
      <w:hyperlink r:id="rId20">
        <w:r>
          <w:rPr>
            <w:sz w:val="19"/>
            <w:color w:val="0563C1"/>
            <w:u w:val="single"/>
          </w:rPr>
          <w:t>Network Diagram — the environment drawn out, so you can see which tier sits where. Your work is the AWS side only</w:t>
        </w:r>
      </w:hyperlink>
    </w:p>
    <w:p>
      <w:pPr>
        <w:spacing w:after="60"/>
        <w:ind w:left="340"/>
      </w:pPr>
      <w:r>
        <w:rPr>
          <w:sz w:val="19"/>
        </w:rPr>
        <w:t xml:space="preserve">•  </w:t>
      </w:r>
      <w:hyperlink r:id="rId21">
        <w:r>
          <w:rPr>
            <w:sz w:val="19"/>
            <w:color w:val="0563C1"/>
            <w:u w:val="single"/>
          </w:rPr>
          <w:t>LMS Server Status — what is actually running post-cutover, tier by tier</w:t>
        </w:r>
      </w:hyperlink>
    </w:p>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Tier</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Meets the targets?</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Why / why not</w:t>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Network</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Compute</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Load balancing</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Database</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Internet out</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Monitoring</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bl>
    <w:p/>
    <w:p>
      <w:pPr>
        <w:spacing w:before="200" w:after="0"/>
      </w:pPr>
      <w:r>
        <w:rPr>
          <w:b/>
          <w:color w:val="1F5A5C"/>
          <w:sz w:val="16"/>
        </w:rPr>
        <w:t>TASK 3</w:t>
      </w:r>
    </w:p>
    <w:p>
      <w:pPr>
        <w:pStyle w:val="Heading2"/>
      </w:pPr>
      <w:r>
        <w:rPr>
          <w:color w:val="1F5A5C"/>
        </w:rPr>
        <w:t>Single points of failure</w:t>
      </w:r>
    </w:p>
    <w:p>
      <w:pPr>
        <w:spacing w:after="120"/>
      </w:pPr>
      <w:r>
        <w:rPr>
          <w:b w:val="0"/>
          <w:i w:val="0"/>
          <w:sz w:val="21"/>
        </w:rPr>
        <w:t>Identify every single point of failure in the current environment — every component whose failure takes the LMS down or degrades it below the targets. For each, say what the failure looks like and what YAT loses. Be thorough: one you miss here is one your design will not remove and your simulations will not catch. Work through the environment tier by tier and ask what happens if that one component stops. Anything that exists once, in one place, is where to look.</w:t>
      </w:r>
    </w:p>
    <w:p>
      <w:pPr>
        <w:spacing w:after="60"/>
      </w:pPr>
      <w:r>
        <w:rPr>
          <w:b/>
          <w:i w:val="0"/>
          <w:sz w:val="19"/>
        </w:rPr>
        <w:t>Related resources</w:t>
      </w:r>
    </w:p>
    <w:p>
      <w:pPr>
        <w:spacing w:after="60"/>
        <w:ind w:left="340"/>
      </w:pPr>
      <w:r>
        <w:rPr>
          <w:sz w:val="19"/>
        </w:rPr>
        <w:t xml:space="preserve">•  </w:t>
      </w:r>
      <w:hyperlink r:id="rId20">
        <w:r>
          <w:rPr>
            <w:sz w:val="19"/>
            <w:color w:val="0563C1"/>
            <w:u w:val="single"/>
          </w:rPr>
          <w:t>Network Diagram — read it looking for anything there is only one of</w:t>
        </w:r>
      </w:hyperlink>
    </w:p>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Component</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Failure mode</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Consequence for YAT</w:t>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bl>
    <w:p/>
    <w:p>
      <w:pPr>
        <w:spacing w:before="200" w:after="0"/>
      </w:pPr>
      <w:r>
        <w:rPr>
          <w:b/>
          <w:color w:val="1F5A5C"/>
          <w:sz w:val="16"/>
        </w:rPr>
        <w:t>TASK 4</w:t>
      </w:r>
    </w:p>
    <w:p>
      <w:pPr>
        <w:pStyle w:val="Heading2"/>
      </w:pPr>
      <w:r>
        <w:rPr>
          <w:color w:val="1F5A5C"/>
        </w:rPr>
        <w:t>Recovery objectives the current environment actually achieves</w:t>
      </w:r>
    </w:p>
    <w:p>
      <w:pPr>
        <w:spacing w:after="120"/>
      </w:pPr>
      <w:r>
        <w:rPr>
          <w:b w:val="0"/>
          <w:i w:val="0"/>
          <w:sz w:val="21"/>
        </w:rPr>
        <w:t>For each component, estimate what the current environment delivers today — how much data would be lost, and how long recovery would take. Put numbers on it. “Worse than target” is not an estimate.</w:t>
      </w:r>
    </w:p>
    <w:p>
      <w:pPr>
        <w:spacing w:after="60"/>
      </w:pPr>
      <w:r>
        <w:rPr>
          <w:b/>
          <w:i w:val="0"/>
          <w:sz w:val="19"/>
        </w:rPr>
        <w:t>Related resources</w:t>
      </w:r>
    </w:p>
    <w:p>
      <w:pPr>
        <w:spacing w:after="60"/>
        <w:ind w:left="340"/>
      </w:pPr>
      <w:r>
        <w:rPr>
          <w:sz w:val="19"/>
        </w:rPr>
        <w:t xml:space="preserve">•  </w:t>
      </w:r>
      <w:hyperlink r:id="rId18">
        <w:r>
          <w:rPr>
            <w:sz w:val="19"/>
            <w:color w:val="0563C1"/>
            <w:u w:val="single"/>
          </w:rPr>
          <w:t>LMS Cloud Migration Requirements — the RPO and RTO targets you are measuring today's environment against</w:t>
        </w:r>
      </w:hyperlink>
    </w:p>
    <w:p>
      <w:pPr>
        <w:spacing w:after="60"/>
        <w:ind w:left="340"/>
      </w:pPr>
      <w:r>
        <w:rPr>
          <w:sz w:val="19"/>
        </w:rPr>
        <w:t xml:space="preserve">•  </w:t>
      </w:r>
      <w:hyperlink r:id="rId21">
        <w:r>
          <w:rPr>
            <w:sz w:val="19"/>
            <w:color w:val="0563C1"/>
            <w:u w:val="single"/>
          </w:rPr>
          <w:t>LMS Server Status — the backup arrangements currently in place, which set the RPO you can actually achieve</w:t>
        </w:r>
      </w:hyperlink>
    </w:p>
    <w:p/>
    <w:tbl>
      <w:tblPr>
        <w:tblW w:type="auto" w:w="0"/>
        <w:tblLook w:firstColumn="1" w:firstRow="1" w:lastColumn="0" w:lastRow="0" w:noHBand="0" w:noVBand="1" w:val="04A0"/>
      </w:tblPr>
      <w:tblGrid>
        <w:gridCol w:w="2616"/>
        <w:gridCol w:w="2616"/>
        <w:gridCol w:w="2616"/>
        <w:gridCol w:w="2616"/>
      </w:tblGrid>
      <w:tr>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Component</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Current RPO</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Current RTO</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Meets target?</w:t>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t>Application tier</w:t>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t>Database</w:t>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t>Whole service</w:t>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bl>
    <w:p/>
    <w:p>
      <w:pPr>
        <w:spacing w:before="200" w:after="0"/>
      </w:pPr>
      <w:r>
        <w:rPr>
          <w:b/>
          <w:color w:val="1F5A5C"/>
          <w:sz w:val="16"/>
        </w:rPr>
        <w:t>TASK 5</w:t>
      </w:r>
    </w:p>
    <w:p>
      <w:pPr>
        <w:pStyle w:val="Heading2"/>
      </w:pPr>
      <w:r>
        <w:rPr>
          <w:color w:val="1F5A5C"/>
        </w:rPr>
        <w:t>Components that have to scale vertically</w:t>
      </w:r>
    </w:p>
    <w:p>
      <w:pPr>
        <w:spacing w:after="120"/>
      </w:pPr>
      <w:r>
        <w:rPr>
          <w:b w:val="0"/>
          <w:i w:val="0"/>
          <w:sz w:val="21"/>
        </w:rPr>
        <w:t>Some components can only be made bigger, not more numerous. Identify which components in this environment are in that position, and what happens to availability while they are being resized. Look across compute, storage and the database — for each, ask whether you could add another one alongside it, or whether the only option is a bigger one.</w:t>
      </w:r>
    </w:p>
    <w:p>
      <w:pPr>
        <w:spacing w:after="60"/>
      </w:pPr>
      <w:r>
        <w:rPr>
          <w:b/>
          <w:i w:val="0"/>
          <w:sz w:val="19"/>
        </w:rPr>
        <w:t>Related resources</w:t>
      </w:r>
    </w:p>
    <w:p>
      <w:pPr>
        <w:spacing w:after="60"/>
        <w:ind w:left="340"/>
      </w:pPr>
      <w:r>
        <w:rPr>
          <w:sz w:val="19"/>
        </w:rPr>
        <w:t xml:space="preserve">•  </w:t>
      </w:r>
      <w:hyperlink r:id="rId17">
        <w:r>
          <w:rPr>
            <w:sz w:val="19"/>
            <w:color w:val="0563C1"/>
            <w:u w:val="single"/>
          </w:rPr>
          <w:t>LMS Application Specification — the load each tier carries, which is what tells you whether growth means more of them or bigger ones</w:t>
        </w:r>
      </w:hyperlink>
    </w:p>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Component</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Why it must scale vertically</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Availability impact while it scales</w:t>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bl>
    <w:p/>
    <w:p>
      <w:pPr>
        <w:spacing w:before="200" w:after="0"/>
      </w:pPr>
      <w:r>
        <w:rPr>
          <w:b/>
          <w:color w:val="1F5A5C"/>
          <w:sz w:val="16"/>
        </w:rPr>
        <w:t>TASK 6</w:t>
      </w:r>
    </w:p>
    <w:p>
      <w:pPr>
        <w:pStyle w:val="Heading2"/>
      </w:pPr>
      <w:r>
        <w:rPr>
          <w:color w:val="1F5A5C"/>
        </w:rPr>
        <w:t>Summarise your review</w:t>
      </w:r>
    </w:p>
    <w:p>
      <w:pPr>
        <w:spacing w:after="120"/>
      </w:pPr>
      <w:r>
        <w:rPr>
          <w:b w:val="0"/>
          <w:i w:val="0"/>
          <w:sz w:val="21"/>
        </w:rPr>
        <w:t>Write a short summary of what you found: the gap between the current environment and the targets from task 1, and which components drive that gap. Sam Walker will read this before approving the work, so write it for someone who runs YAT's ICT rather than someone who built this environment. Around 200 words.</w:t>
      </w:r>
    </w:p>
    <w:p>
      <w:pPr>
        <w:spacing w:after="60"/>
      </w:pPr>
      <w:r>
        <w:rPr>
          <w:b/>
          <w:i w:val="0"/>
          <w:sz w:val="19"/>
        </w:rPr>
        <w:t>Related resources</w:t>
      </w:r>
    </w:p>
    <w:p>
      <w:pPr>
        <w:spacing w:after="60"/>
        <w:ind w:left="340"/>
      </w:pPr>
      <w:r>
        <w:rPr>
          <w:sz w:val="19"/>
        </w:rPr>
        <w:t xml:space="preserve">•  </w:t>
      </w:r>
      <w:hyperlink r:id="rId22">
        <w:r>
          <w:rPr>
            <w:sz w:val="19"/>
            <w:color w:val="0563C1"/>
            <w:u w:val="single"/>
          </w:rPr>
          <w:t>LMS Migration Role Brief — who Sam Walker is and what they are accountable for. You are writing this summary for them</w:t>
        </w:r>
      </w:hyperlink>
    </w:p>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p>
      <w:pPr>
        <w:spacing w:before="200" w:after="0"/>
      </w:pPr>
      <w:r>
        <w:rPr>
          <w:b/>
          <w:color w:val="1F5A5C"/>
          <w:sz w:val="16"/>
        </w:rPr>
        <w:t>TASK 7</w:t>
      </w:r>
    </w:p>
    <w:p>
      <w:pPr>
        <w:pStyle w:val="Heading2"/>
      </w:pPr>
      <w:r>
        <w:rPr>
          <w:color w:val="1F5A5C"/>
        </w:rPr>
        <w:t>Design — the network</w:t>
      </w:r>
    </w:p>
    <w:p>
      <w:pPr>
        <w:spacing w:after="120"/>
      </w:pPr>
      <w:r>
        <w:rPr>
          <w:b w:val="0"/>
          <w:i w:val="0"/>
          <w:sz w:val="21"/>
        </w:rPr>
        <w:t>Your application tier has to be able to run in two availability zones. Look at the subnets that already exist. What do you need to add, and where? Record the subnet or subnets you are designing in, then sketch the network you are aiming for. Name it the way the existing subnets are named — what it carries, and which zone it is in.</w:t>
      </w:r>
    </w:p>
    <w:p>
      <w:pPr>
        <w:spacing w:after="60"/>
      </w:pPr>
      <w:r>
        <w:rPr>
          <w:b/>
          <w:i w:val="0"/>
          <w:sz w:val="19"/>
        </w:rPr>
        <w:t>Related resources</w:t>
      </w:r>
    </w:p>
    <w:p>
      <w:pPr>
        <w:spacing w:after="60"/>
        <w:ind w:left="340"/>
      </w:pPr>
      <w:r>
        <w:rPr>
          <w:sz w:val="19"/>
        </w:rPr>
        <w:t xml:space="preserve">•  </w:t>
      </w:r>
      <w:hyperlink r:id="rId23">
        <w:r>
          <w:rPr>
            <w:sz w:val="19"/>
            <w:color w:val="0563C1"/>
            <w:u w:val="single"/>
          </w:rPr>
          <w:t>LMS Cloud Architecture — Baseline Design — the addressing plan and naming conventions the environment already follows</w:t>
        </w:r>
      </w:hyperlink>
    </w:p>
    <w:p/>
    <w:tbl>
      <w:tblPr>
        <w:tblW w:type="auto" w:w="0"/>
        <w:tblLook w:firstColumn="1" w:firstRow="1" w:lastColumn="0" w:lastRow="0" w:noHBand="0" w:noVBand="1" w:val="04A0"/>
      </w:tblPr>
      <w:tblGrid>
        <w:gridCol w:w="2616"/>
        <w:gridCol w:w="2616"/>
        <w:gridCol w:w="2616"/>
        <w:gridCol w:w="2616"/>
      </w:tblGrid>
      <w:tr>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Subnet name</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CIDR</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Zone</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What it carries</w:t>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bl>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SKETCH OR PASTE YOUR DIAGRAM HERE ]</w:t>
            </w:r>
          </w:p>
          <w:p>
            <w:pPr>
              <w:jc w:val="left"/>
            </w:pPr>
            <w:r>
              <w:rPr>
                <w:b w:val="0"/>
                <w:i/>
                <w:color w:val="6B6660"/>
                <w:sz w:val="19"/>
              </w:rPr>
              <w:t>the environment you are designing — both zones, and which resources sit in each</w:t>
            </w:r>
          </w:p>
        </w:tc>
      </w:tr>
    </w:tbl>
    <w:p/>
    <w:p>
      <w:pPr>
        <w:spacing w:before="200" w:after="0"/>
      </w:pPr>
      <w:r>
        <w:rPr>
          <w:b/>
          <w:color w:val="1F5A5C"/>
          <w:sz w:val="16"/>
        </w:rPr>
        <w:t>TASK 8</w:t>
      </w:r>
    </w:p>
    <w:p>
      <w:pPr>
        <w:pStyle w:val="Heading2"/>
      </w:pPr>
      <w:r>
        <w:rPr>
          <w:color w:val="1F5A5C"/>
        </w:rPr>
        <w:t>Design — the application tier</w:t>
      </w:r>
    </w:p>
    <w:p>
      <w:pPr>
        <w:spacing w:after="120"/>
      </w:pPr>
      <w:r>
        <w:rPr>
          <w:b w:val="0"/>
          <w:i w:val="0"/>
          <w:sz w:val="21"/>
        </w:rPr>
        <w:t>You now have somewhere for a second application instance to run. Design the Auto Scaling group's configuration so the loss of one availability zone leaves the LMS serving. Give a reason for the capacity numbers you choose.</w:t>
      </w:r>
    </w:p>
    <w:p>
      <w:pPr>
        <w:spacing w:after="60"/>
      </w:pPr>
      <w:r>
        <w:rPr>
          <w:b/>
          <w:i w:val="0"/>
          <w:sz w:val="19"/>
        </w:rPr>
        <w:t>Related resources</w:t>
      </w:r>
    </w:p>
    <w:p>
      <w:pPr>
        <w:spacing w:after="60"/>
        <w:ind w:left="340"/>
      </w:pPr>
      <w:r>
        <w:rPr>
          <w:sz w:val="19"/>
        </w:rPr>
        <w:t xml:space="preserve">•  </w:t>
      </w:r>
      <w:hyperlink r:id="rId17">
        <w:r>
          <w:rPr>
            <w:sz w:val="19"/>
            <w:color w:val="0563C1"/>
            <w:u w:val="single"/>
          </w:rPr>
          <w:t>LMS Application Specification — the concurrent-user load and the peak periods your capacity numbers have to carry</w:t>
        </w:r>
      </w:hyperlink>
    </w:p>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Setting</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Your design</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Why</w:t>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Subnets</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Minimum</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Desired</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Maximum</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Scaling policy</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bl>
    <w:p/>
    <w:p>
      <w:pPr>
        <w:spacing w:before="200" w:after="0"/>
      </w:pPr>
      <w:r>
        <w:rPr>
          <w:b/>
          <w:color w:val="1F5A5C"/>
          <w:sz w:val="16"/>
        </w:rPr>
        <w:t>TASK 9</w:t>
      </w:r>
    </w:p>
    <w:p>
      <w:pPr>
        <w:pStyle w:val="Heading2"/>
      </w:pPr>
      <w:r>
        <w:rPr>
          <w:color w:val="1F5A5C"/>
        </w:rPr>
        <w:t>Design — the load balancer</w:t>
      </w:r>
    </w:p>
    <w:p>
      <w:pPr>
        <w:spacing w:after="120"/>
      </w:pPr>
      <w:r>
        <w:rPr>
          <w:b w:val="0"/>
          <w:i w:val="0"/>
          <w:sz w:val="21"/>
        </w:rPr>
        <w:t>What did you decide about the load balancer, and why? Look at what is already there before you answer.</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p>
      <w:pPr>
        <w:spacing w:before="200" w:after="0"/>
      </w:pPr>
      <w:r>
        <w:rPr>
          <w:b/>
          <w:color w:val="1F5A5C"/>
          <w:sz w:val="16"/>
        </w:rPr>
        <w:t>TASK 10</w:t>
      </w:r>
    </w:p>
    <w:p>
      <w:pPr>
        <w:pStyle w:val="Heading2"/>
      </w:pPr>
      <w:r>
        <w:rPr>
          <w:color w:val="1F5A5C"/>
        </w:rPr>
        <w:t>Design — the database</w:t>
      </w:r>
    </w:p>
    <w:p>
      <w:pPr>
        <w:spacing w:after="120"/>
      </w:pPr>
      <w:r>
        <w:rPr>
          <w:b w:val="0"/>
          <w:i w:val="0"/>
          <w:sz w:val="21"/>
        </w:rPr>
        <w:t>The database is the component with the worst recovery numbers in task 4. Design the change that fixes it, and state what it gives you that the current configuration does not. The settings worth considering include how the deployment is spread across availability zones, how long backups are retained, and what the application connects to. You do not need all of them — start with what fixes the recovery numbers.</w:t>
      </w:r>
    </w:p>
    <w:p>
      <w:pPr>
        <w:spacing w:after="60"/>
      </w:pPr>
      <w:r>
        <w:rPr>
          <w:b/>
          <w:i w:val="0"/>
          <w:sz w:val="19"/>
        </w:rPr>
        <w:t>Related resources</w:t>
      </w:r>
    </w:p>
    <w:p>
      <w:pPr>
        <w:spacing w:after="60"/>
        <w:ind w:left="340"/>
      </w:pPr>
      <w:r>
        <w:rPr>
          <w:sz w:val="19"/>
        </w:rPr>
        <w:t xml:space="preserve">•  </w:t>
      </w:r>
      <w:hyperlink r:id="rId24">
        <w:r>
          <w:rPr>
            <w:sz w:val="19"/>
            <w:color w:val="0563C1"/>
            <w:u w:val="single"/>
          </w:rPr>
          <w:t>LMS HA Database Requirements — what the database specifically has to achieve, and the constraints on how</w:t>
        </w:r>
      </w:hyperlink>
    </w:p>
    <w:p>
      <w:pPr>
        <w:spacing w:after="60"/>
        <w:ind w:left="340"/>
      </w:pPr>
      <w:r>
        <w:rPr>
          <w:sz w:val="19"/>
        </w:rPr>
        <w:t xml:space="preserve">•  </w:t>
      </w:r>
      <w:hyperlink r:id="rId18">
        <w:r>
          <w:rPr>
            <w:sz w:val="19"/>
            <w:color w:val="0563C1"/>
            <w:u w:val="single"/>
          </w:rPr>
          <w:t>LMS Cloud Migration Requirements — the RPO and RTO the database change has to deliver</w:t>
        </w:r>
      </w:hyperlink>
    </w:p>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Setting</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Your design</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Why</w:t>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bl>
    <w:p/>
    <w:p>
      <w:pPr>
        <w:spacing w:before="200" w:after="0"/>
      </w:pPr>
      <w:r>
        <w:rPr>
          <w:b/>
          <w:color w:val="1F5A5C"/>
          <w:sz w:val="16"/>
        </w:rPr>
        <w:t>TASK 11</w:t>
      </w:r>
    </w:p>
    <w:p>
      <w:pPr>
        <w:pStyle w:val="Heading2"/>
      </w:pPr>
      <w:r>
        <w:rPr>
          <w:color w:val="1F5A5C"/>
        </w:rPr>
        <w:t>Design — the outbound path</w:t>
      </w:r>
    </w:p>
    <w:p>
      <w:pPr>
        <w:spacing w:after="120"/>
      </w:pPr>
      <w:r>
        <w:rPr>
          <w:b w:val="0"/>
          <w:i w:val="0"/>
          <w:sz w:val="21"/>
        </w:rPr>
        <w:t>Your application tier will now run in two zones. Think about what the instances in the new zone use to reach the internet. Design your answer, and be explicit if you are accepting a risk rather than removing it. Things you might record here: the gateway itself, and the route table that decides where a subnet's traffic goes.</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Setting</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Your design</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Why</w:t>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bl>
    <w:p/>
    <w:p>
      <w:pPr>
        <w:spacing w:before="200" w:after="0"/>
      </w:pPr>
      <w:r>
        <w:rPr>
          <w:b/>
          <w:color w:val="1F5A5C"/>
          <w:sz w:val="16"/>
        </w:rPr>
        <w:t>TASK 12</w:t>
      </w:r>
    </w:p>
    <w:p>
      <w:pPr>
        <w:pStyle w:val="Heading2"/>
      </w:pPr>
      <w:r>
        <w:rPr>
          <w:color w:val="1F5A5C"/>
        </w:rPr>
        <w:t>Design — monitoring</w:t>
      </w:r>
    </w:p>
    <w:p>
      <w:pPr>
        <w:spacing w:after="120"/>
      </w:pPr>
      <w:r>
        <w:rPr>
          <w:b w:val="0"/>
          <w:i w:val="0"/>
          <w:sz w:val="21"/>
        </w:rPr>
        <w:t>The two existing alarms tell you a target is unhealthy or storage is low. Neither tells you a zone has gone or a database has failed over. Design the monitoring that would tell you, and say what each alarm detects. An alarm needs a metric, a threshold and a failure it would catch. The two that exist today catch an unhealthy target and low database storage — start from what they would miss.</w:t>
      </w:r>
    </w:p>
    <w:p>
      <w:pPr>
        <w:spacing w:after="60"/>
      </w:pPr>
      <w:r>
        <w:rPr>
          <w:b/>
          <w:i w:val="0"/>
          <w:sz w:val="19"/>
        </w:rPr>
        <w:t>Related resources</w:t>
      </w:r>
    </w:p>
    <w:p>
      <w:pPr>
        <w:spacing w:after="60"/>
        <w:ind w:left="340"/>
      </w:pPr>
      <w:r>
        <w:rPr>
          <w:sz w:val="19"/>
        </w:rPr>
        <w:t xml:space="preserve">•  </w:t>
      </w:r>
      <w:hyperlink r:id="rId18">
        <w:r>
          <w:rPr>
            <w:sz w:val="19"/>
            <w:color w:val="0563C1"/>
            <w:u w:val="single"/>
          </w:rPr>
          <w:t>LMS Cloud Migration Requirements — the service levels your monitoring has to be able to report against</w:t>
        </w:r>
      </w:hyperlink>
    </w:p>
    <w:p/>
    <w:tbl>
      <w:tblPr>
        <w:tblW w:type="auto" w:w="0"/>
        <w:tblLook w:firstColumn="1" w:firstRow="1" w:lastColumn="0" w:lastRow="0" w:noHBand="0" w:noVBand="1" w:val="04A0"/>
      </w:tblPr>
      <w:tblGrid>
        <w:gridCol w:w="2616"/>
        <w:gridCol w:w="2616"/>
        <w:gridCol w:w="2616"/>
        <w:gridCol w:w="2616"/>
      </w:tblGrid>
      <w:tr>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Alarm</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What it measures</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Threshold</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What it detects</w:t>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bl>
    <w:p/>
    <w:p>
      <w:pPr>
        <w:spacing w:before="200" w:after="0"/>
      </w:pPr>
      <w:r>
        <w:rPr>
          <w:b/>
          <w:color w:val="1F5A5C"/>
          <w:sz w:val="16"/>
        </w:rPr>
        <w:t>TASK 13</w:t>
      </w:r>
    </w:p>
    <w:p>
      <w:pPr>
        <w:pStyle w:val="Heading2"/>
      </w:pPr>
      <w:r>
        <w:rPr>
          <w:color w:val="1F5A5C"/>
        </w:rPr>
        <w:t>Which single points of failure does your design remove?</w:t>
      </w:r>
    </w:p>
    <w:p>
      <w:pPr>
        <w:spacing w:after="120"/>
      </w:pPr>
      <w:r>
        <w:rPr>
          <w:b w:val="0"/>
          <w:i w:val="0"/>
          <w:sz w:val="21"/>
        </w:rPr>
        <w:t>Go back to your answer to task 3. For each single point of failure you found there, say what in your design removes it — or state plainly that it remains, and why you accepted it.</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Point of failure (from task 3)</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Removed by</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Or accepted because</w:t>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bl>
    <w:p/>
    <w:p>
      <w:pPr>
        <w:spacing w:before="200" w:after="0"/>
      </w:pPr>
      <w:r>
        <w:rPr>
          <w:b/>
          <w:color w:val="1F5A5C"/>
          <w:sz w:val="16"/>
        </w:rPr>
        <w:t>TASK 14</w:t>
      </w:r>
    </w:p>
    <w:p>
      <w:pPr>
        <w:pStyle w:val="Heading2"/>
      </w:pPr>
      <w:r>
        <w:rPr>
          <w:color w:val="1F5A5C"/>
        </w:rPr>
        <w:t>Recovery objectives your design achieves</w:t>
      </w:r>
    </w:p>
    <w:p>
      <w:pPr>
        <w:spacing w:after="120"/>
      </w:pPr>
      <w:r>
        <w:rPr>
          <w:b w:val="0"/>
          <w:i w:val="0"/>
          <w:sz w:val="21"/>
        </w:rPr>
        <w:t>Redo task 4 against your design. What does each component deliver now, and does the whole service meet the targets from task 1?</w:t>
      </w:r>
    </w:p>
    <w:p>
      <w:pPr>
        <w:spacing w:after="60"/>
      </w:pPr>
      <w:r>
        <w:rPr>
          <w:b/>
          <w:i w:val="0"/>
          <w:sz w:val="19"/>
        </w:rPr>
        <w:t>Related resources</w:t>
      </w:r>
    </w:p>
    <w:p>
      <w:pPr>
        <w:spacing w:after="60"/>
        <w:ind w:left="340"/>
      </w:pPr>
      <w:r>
        <w:rPr>
          <w:sz w:val="19"/>
        </w:rPr>
        <w:t xml:space="preserve">•  </w:t>
      </w:r>
      <w:hyperlink r:id="rId18">
        <w:r>
          <w:rPr>
            <w:sz w:val="19"/>
            <w:color w:val="0563C1"/>
            <w:u w:val="single"/>
          </w:rPr>
          <w:t>LMS Cloud Migration Requirements — the targets you are checking your design against</w:t>
        </w:r>
      </w:hyperlink>
    </w:p>
    <w:p/>
    <w:tbl>
      <w:tblPr>
        <w:tblW w:type="auto" w:w="0"/>
        <w:tblLook w:firstColumn="1" w:firstRow="1" w:lastColumn="0" w:lastRow="0" w:noHBand="0" w:noVBand="1" w:val="04A0"/>
      </w:tblPr>
      <w:tblGrid>
        <w:gridCol w:w="2616"/>
        <w:gridCol w:w="2616"/>
        <w:gridCol w:w="2616"/>
        <w:gridCol w:w="2616"/>
      </w:tblGrid>
      <w:tr>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Component</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Designed RPO</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Designed RTO</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Meets target?</w:t>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t>Application tier</w:t>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t>Database</w:t>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t>Whole service</w:t>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bl>
    <w:p/>
    <w:p>
      <w:pPr>
        <w:spacing w:before="200" w:after="0"/>
      </w:pPr>
      <w:r>
        <w:rPr>
          <w:b/>
          <w:color w:val="1F5A5C"/>
          <w:sz w:val="16"/>
        </w:rPr>
        <w:t>TASK 15</w:t>
      </w:r>
    </w:p>
    <w:p>
      <w:pPr>
        <w:pStyle w:val="Heading2"/>
      </w:pPr>
      <w:r>
        <w:rPr>
          <w:color w:val="1F5A5C"/>
        </w:rPr>
        <w:t>What still has to scale vertically?</w:t>
      </w:r>
    </w:p>
    <w:p>
      <w:pPr>
        <w:spacing w:after="120"/>
      </w:pPr>
      <w:r>
        <w:rPr>
          <w:b w:val="0"/>
          <w:i w:val="0"/>
          <w:sz w:val="21"/>
        </w:rPr>
        <w:t>Redo task 5 against your design. Which components still can only be made bigger, and what does resizing cost you in availability now? Start from the components you listed in task 5.</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Component</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Still scales vertically?</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Availability impact now</w:t>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bl>
    <w:p/>
    <w:p>
      <w:pPr>
        <w:spacing w:before="200" w:after="0"/>
      </w:pPr>
      <w:r>
        <w:rPr>
          <w:b/>
          <w:color w:val="1F5A5C"/>
          <w:sz w:val="16"/>
        </w:rPr>
        <w:t>TASK 16</w:t>
      </w:r>
    </w:p>
    <w:p>
      <w:pPr>
        <w:pStyle w:val="Heading2"/>
      </w:pPr>
      <w:r>
        <w:rPr>
          <w:color w:val="1F5A5C"/>
        </w:rPr>
        <w:t>Is your design complete?</w:t>
      </w:r>
    </w:p>
    <w:p>
      <w:pPr>
        <w:spacing w:after="120"/>
      </w:pPr>
      <w:r>
        <w:rPr>
          <w:b w:val="0"/>
          <w:i w:val="0"/>
          <w:sz w:val="21"/>
        </w:rPr>
        <w:t>Read back over tasks 7 to 15 as one document. Does it hang together — does every layer have an answer, do the answers agree with each other, and would Sam Walker be able to approve it without asking you what you meant? Note anything you had to change on this read-through.</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p>
      <w:pPr>
        <w:spacing w:before="200" w:after="0"/>
      </w:pPr>
      <w:r>
        <w:rPr>
          <w:b/>
          <w:color w:val="1F5A5C"/>
          <w:sz w:val="16"/>
        </w:rPr>
        <w:t>TASK 17</w:t>
      </w:r>
    </w:p>
    <w:p>
      <w:pPr>
        <w:pStyle w:val="Heading2"/>
      </w:pPr>
      <w:r>
        <w:rPr>
          <w:color w:val="1F5A5C"/>
        </w:rPr>
        <w:t>The order you will do it in</w:t>
      </w:r>
    </w:p>
    <w:p>
      <w:pPr>
        <w:spacing w:after="120"/>
      </w:pPr>
      <w:r>
        <w:rPr>
          <w:b w:val="0"/>
          <w:i w:val="0"/>
          <w:sz w:val="21"/>
        </w:rPr>
        <w:t>You have a maintenance window of about 3.5 hours on a Saturday night. Plan the order you will apply your changes in. For each change give how long you expect it to take, what the LMS looks like to a user while it happens, how you will confirm it worked, and what you will do if it does not. State the total and the buffer you have left.</w:t>
      </w:r>
    </w:p>
    <w:p>
      <w:pPr>
        <w:spacing w:after="60"/>
      </w:pPr>
      <w:r>
        <w:rPr>
          <w:b/>
          <w:i w:val="0"/>
          <w:sz w:val="19"/>
        </w:rPr>
        <w:t>Related resources</w:t>
      </w:r>
    </w:p>
    <w:p>
      <w:pPr>
        <w:spacing w:after="60"/>
        <w:ind w:left="340"/>
      </w:pPr>
      <w:r>
        <w:rPr>
          <w:sz w:val="19"/>
        </w:rPr>
        <w:t xml:space="preserve">•  </w:t>
      </w:r>
      <w:hyperlink r:id="rId25">
        <w:r>
          <w:rPr>
            <w:sz w:val="19"/>
            <w:color w:val="0563C1"/>
            <w:u w:val="single"/>
          </w:rPr>
          <w:t>Change Management Procedure — YAT's rules for changing a production system: notice, approval, and what a rollback plan has to contain</w:t>
        </w:r>
      </w:hyperlink>
    </w:p>
    <w:p/>
    <w:tbl>
      <w:tblPr>
        <w:tblW w:type="auto" w:w="0"/>
        <w:tblLook w:firstColumn="1" w:firstRow="1" w:lastColumn="0" w:lastRow="0" w:noHBand="0" w:noVBand="1" w:val="04A0"/>
      </w:tblPr>
      <w:tblGrid>
        <w:gridCol w:w="1744"/>
        <w:gridCol w:w="1744"/>
        <w:gridCol w:w="1744"/>
        <w:gridCol w:w="1744"/>
        <w:gridCol w:w="1744"/>
        <w:gridCol w:w="1744"/>
      </w:tblGrid>
      <w:tr>
        <w:tc>
          <w:tcPr>
            <w:tcW w:type="dxa" w:w="1744"/>
            <w:tcBorders>
              <w:top w:val="single" w:sz="4" w:space="0" w:color="E4DED3"/>
              <w:left w:val="single" w:sz="4" w:space="0" w:color="E4DED3"/>
              <w:bottom w:val="single" w:sz="4" w:space="0" w:color="E4DED3"/>
              <w:right w:val="single" w:sz="4" w:space="0" w:color="E4DED3"/>
            </w:tcBorders>
            <w:shd w:val="clear" w:color="auto" w:fill="F8F4ED"/>
          </w:tcPr>
          <w:p>
            <w:r>
              <w:rPr>
                <w:b/>
                <w:sz w:val="18"/>
              </w:rPr>
              <w:t>#</w:t>
            </w:r>
          </w:p>
        </w:tc>
        <w:tc>
          <w:tcPr>
            <w:tcW w:type="dxa" w:w="1744"/>
            <w:tcBorders>
              <w:top w:val="single" w:sz="4" w:space="0" w:color="E4DED3"/>
              <w:left w:val="single" w:sz="4" w:space="0" w:color="E4DED3"/>
              <w:bottom w:val="single" w:sz="4" w:space="0" w:color="E4DED3"/>
              <w:right w:val="single" w:sz="4" w:space="0" w:color="E4DED3"/>
            </w:tcBorders>
            <w:shd w:val="clear" w:color="auto" w:fill="F8F4ED"/>
          </w:tcPr>
          <w:p>
            <w:r>
              <w:rPr>
                <w:b/>
                <w:sz w:val="18"/>
              </w:rPr>
              <w:t>Change</w:t>
            </w:r>
          </w:p>
        </w:tc>
        <w:tc>
          <w:tcPr>
            <w:tcW w:type="dxa" w:w="1744"/>
            <w:tcBorders>
              <w:top w:val="single" w:sz="4" w:space="0" w:color="E4DED3"/>
              <w:left w:val="single" w:sz="4" w:space="0" w:color="E4DED3"/>
              <w:bottom w:val="single" w:sz="4" w:space="0" w:color="E4DED3"/>
              <w:right w:val="single" w:sz="4" w:space="0" w:color="E4DED3"/>
            </w:tcBorders>
            <w:shd w:val="clear" w:color="auto" w:fill="F8F4ED"/>
          </w:tcPr>
          <w:p>
            <w:r>
              <w:rPr>
                <w:b/>
                <w:sz w:val="18"/>
              </w:rPr>
              <w:t>Time</w:t>
            </w:r>
          </w:p>
        </w:tc>
        <w:tc>
          <w:tcPr>
            <w:tcW w:type="dxa" w:w="1744"/>
            <w:tcBorders>
              <w:top w:val="single" w:sz="4" w:space="0" w:color="E4DED3"/>
              <w:left w:val="single" w:sz="4" w:space="0" w:color="E4DED3"/>
              <w:bottom w:val="single" w:sz="4" w:space="0" w:color="E4DED3"/>
              <w:right w:val="single" w:sz="4" w:space="0" w:color="E4DED3"/>
            </w:tcBorders>
            <w:shd w:val="clear" w:color="auto" w:fill="F8F4ED"/>
          </w:tcPr>
          <w:p>
            <w:r>
              <w:rPr>
                <w:b/>
                <w:sz w:val="18"/>
              </w:rPr>
              <w:t>Impact on the LMS</w:t>
            </w:r>
          </w:p>
        </w:tc>
        <w:tc>
          <w:tcPr>
            <w:tcW w:type="dxa" w:w="1744"/>
            <w:tcBorders>
              <w:top w:val="single" w:sz="4" w:space="0" w:color="E4DED3"/>
              <w:left w:val="single" w:sz="4" w:space="0" w:color="E4DED3"/>
              <w:bottom w:val="single" w:sz="4" w:space="0" w:color="E4DED3"/>
              <w:right w:val="single" w:sz="4" w:space="0" w:color="E4DED3"/>
            </w:tcBorders>
            <w:shd w:val="clear" w:color="auto" w:fill="F8F4ED"/>
          </w:tcPr>
          <w:p>
            <w:r>
              <w:rPr>
                <w:b/>
                <w:sz w:val="18"/>
              </w:rPr>
              <w:t>How you verify it</w:t>
            </w:r>
          </w:p>
        </w:tc>
        <w:tc>
          <w:tcPr>
            <w:tcW w:type="dxa" w:w="1744"/>
            <w:tcBorders>
              <w:top w:val="single" w:sz="4" w:space="0" w:color="E4DED3"/>
              <w:left w:val="single" w:sz="4" w:space="0" w:color="E4DED3"/>
              <w:bottom w:val="single" w:sz="4" w:space="0" w:color="E4DED3"/>
              <w:right w:val="single" w:sz="4" w:space="0" w:color="E4DED3"/>
            </w:tcBorders>
            <w:shd w:val="clear" w:color="auto" w:fill="F8F4ED"/>
          </w:tcPr>
          <w:p>
            <w:r>
              <w:rPr>
                <w:b/>
                <w:sz w:val="18"/>
              </w:rPr>
              <w:t>If it fails</w:t>
            </w:r>
          </w:p>
        </w:tc>
      </w:tr>
      <w:tr>
        <w:tc>
          <w:tcPr>
            <w:tcW w:type="dxa" w:w="1744"/>
            <w:tcBorders>
              <w:top w:val="single" w:sz="4" w:space="0" w:color="E4DED3"/>
              <w:left w:val="single" w:sz="4" w:space="0" w:color="E4DED3"/>
              <w:bottom w:val="single" w:sz="4" w:space="0" w:color="E4DED3"/>
              <w:right w:val="single" w:sz="4" w:space="0" w:color="E4DED3"/>
            </w:tcBorders>
          </w:tcPr>
          <w:p>
            <w:r>
              <w:rPr>
                <w:sz w:val="18"/>
              </w:rPr>
              <w:t>1</w:t>
            </w:r>
          </w:p>
        </w:tc>
        <w:tc>
          <w:tcPr>
            <w:tcW w:type="dxa" w:w="1744"/>
            <w:tcBorders>
              <w:top w:val="single" w:sz="4" w:space="0" w:color="E4DED3"/>
              <w:left w:val="single" w:sz="4" w:space="0" w:color="E4DED3"/>
              <w:bottom w:val="single" w:sz="4" w:space="0" w:color="E4DED3"/>
              <w:right w:val="single" w:sz="4" w:space="0" w:color="E4DED3"/>
            </w:tcBorders>
          </w:tcPr>
          <w:p>
            <w:r>
              <w:rPr>
                <w:sz w:val="18"/>
              </w:rPr>
            </w:r>
          </w:p>
        </w:tc>
        <w:tc>
          <w:tcPr>
            <w:tcW w:type="dxa" w:w="1744"/>
            <w:tcBorders>
              <w:top w:val="single" w:sz="4" w:space="0" w:color="E4DED3"/>
              <w:left w:val="single" w:sz="4" w:space="0" w:color="E4DED3"/>
              <w:bottom w:val="single" w:sz="4" w:space="0" w:color="E4DED3"/>
              <w:right w:val="single" w:sz="4" w:space="0" w:color="E4DED3"/>
            </w:tcBorders>
          </w:tcPr>
          <w:p>
            <w:r>
              <w:rPr>
                <w:sz w:val="18"/>
              </w:rPr>
            </w:r>
          </w:p>
        </w:tc>
        <w:tc>
          <w:tcPr>
            <w:tcW w:type="dxa" w:w="1744"/>
            <w:tcBorders>
              <w:top w:val="single" w:sz="4" w:space="0" w:color="E4DED3"/>
              <w:left w:val="single" w:sz="4" w:space="0" w:color="E4DED3"/>
              <w:bottom w:val="single" w:sz="4" w:space="0" w:color="E4DED3"/>
              <w:right w:val="single" w:sz="4" w:space="0" w:color="E4DED3"/>
            </w:tcBorders>
          </w:tcPr>
          <w:p>
            <w:r>
              <w:rPr>
                <w:sz w:val="18"/>
              </w:rPr>
            </w:r>
          </w:p>
        </w:tc>
        <w:tc>
          <w:tcPr>
            <w:tcW w:type="dxa" w:w="1744"/>
            <w:tcBorders>
              <w:top w:val="single" w:sz="4" w:space="0" w:color="E4DED3"/>
              <w:left w:val="single" w:sz="4" w:space="0" w:color="E4DED3"/>
              <w:bottom w:val="single" w:sz="4" w:space="0" w:color="E4DED3"/>
              <w:right w:val="single" w:sz="4" w:space="0" w:color="E4DED3"/>
            </w:tcBorders>
          </w:tcPr>
          <w:p>
            <w:r>
              <w:rPr>
                <w:sz w:val="18"/>
              </w:rPr>
            </w:r>
          </w:p>
        </w:tc>
        <w:tc>
          <w:tcPr>
            <w:tcW w:type="dxa" w:w="1744"/>
            <w:tcBorders>
              <w:top w:val="single" w:sz="4" w:space="0" w:color="E4DED3"/>
              <w:left w:val="single" w:sz="4" w:space="0" w:color="E4DED3"/>
              <w:bottom w:val="single" w:sz="4" w:space="0" w:color="E4DED3"/>
              <w:right w:val="single" w:sz="4" w:space="0" w:color="E4DED3"/>
            </w:tcBorders>
          </w:tcPr>
          <w:p>
            <w:r>
              <w:rPr>
                <w:sz w:val="18"/>
              </w:rPr>
            </w:r>
          </w:p>
        </w:tc>
      </w:tr>
      <w:tr>
        <w:tc>
          <w:tcPr>
            <w:tcW w:type="dxa" w:w="1744"/>
            <w:tcBorders>
              <w:top w:val="single" w:sz="4" w:space="0" w:color="E4DED3"/>
              <w:left w:val="single" w:sz="4" w:space="0" w:color="E4DED3"/>
              <w:bottom w:val="single" w:sz="4" w:space="0" w:color="E4DED3"/>
              <w:right w:val="single" w:sz="4" w:space="0" w:color="E4DED3"/>
            </w:tcBorders>
          </w:tcPr>
          <w:p>
            <w:r>
              <w:rPr>
                <w:sz w:val="18"/>
              </w:rPr>
              <w:t>2</w:t>
            </w:r>
          </w:p>
        </w:tc>
        <w:tc>
          <w:tcPr>
            <w:tcW w:type="dxa" w:w="1744"/>
            <w:tcBorders>
              <w:top w:val="single" w:sz="4" w:space="0" w:color="E4DED3"/>
              <w:left w:val="single" w:sz="4" w:space="0" w:color="E4DED3"/>
              <w:bottom w:val="single" w:sz="4" w:space="0" w:color="E4DED3"/>
              <w:right w:val="single" w:sz="4" w:space="0" w:color="E4DED3"/>
            </w:tcBorders>
          </w:tcPr>
          <w:p>
            <w:r>
              <w:rPr>
                <w:sz w:val="18"/>
              </w:rPr>
            </w:r>
          </w:p>
        </w:tc>
        <w:tc>
          <w:tcPr>
            <w:tcW w:type="dxa" w:w="1744"/>
            <w:tcBorders>
              <w:top w:val="single" w:sz="4" w:space="0" w:color="E4DED3"/>
              <w:left w:val="single" w:sz="4" w:space="0" w:color="E4DED3"/>
              <w:bottom w:val="single" w:sz="4" w:space="0" w:color="E4DED3"/>
              <w:right w:val="single" w:sz="4" w:space="0" w:color="E4DED3"/>
            </w:tcBorders>
          </w:tcPr>
          <w:p>
            <w:r>
              <w:rPr>
                <w:sz w:val="18"/>
              </w:rPr>
            </w:r>
          </w:p>
        </w:tc>
        <w:tc>
          <w:tcPr>
            <w:tcW w:type="dxa" w:w="1744"/>
            <w:tcBorders>
              <w:top w:val="single" w:sz="4" w:space="0" w:color="E4DED3"/>
              <w:left w:val="single" w:sz="4" w:space="0" w:color="E4DED3"/>
              <w:bottom w:val="single" w:sz="4" w:space="0" w:color="E4DED3"/>
              <w:right w:val="single" w:sz="4" w:space="0" w:color="E4DED3"/>
            </w:tcBorders>
          </w:tcPr>
          <w:p>
            <w:r>
              <w:rPr>
                <w:sz w:val="18"/>
              </w:rPr>
            </w:r>
          </w:p>
        </w:tc>
        <w:tc>
          <w:tcPr>
            <w:tcW w:type="dxa" w:w="1744"/>
            <w:tcBorders>
              <w:top w:val="single" w:sz="4" w:space="0" w:color="E4DED3"/>
              <w:left w:val="single" w:sz="4" w:space="0" w:color="E4DED3"/>
              <w:bottom w:val="single" w:sz="4" w:space="0" w:color="E4DED3"/>
              <w:right w:val="single" w:sz="4" w:space="0" w:color="E4DED3"/>
            </w:tcBorders>
          </w:tcPr>
          <w:p>
            <w:r>
              <w:rPr>
                <w:sz w:val="18"/>
              </w:rPr>
            </w:r>
          </w:p>
        </w:tc>
        <w:tc>
          <w:tcPr>
            <w:tcW w:type="dxa" w:w="1744"/>
            <w:tcBorders>
              <w:top w:val="single" w:sz="4" w:space="0" w:color="E4DED3"/>
              <w:left w:val="single" w:sz="4" w:space="0" w:color="E4DED3"/>
              <w:bottom w:val="single" w:sz="4" w:space="0" w:color="E4DED3"/>
              <w:right w:val="single" w:sz="4" w:space="0" w:color="E4DED3"/>
            </w:tcBorders>
          </w:tcPr>
          <w:p>
            <w:r>
              <w:rPr>
                <w:sz w:val="18"/>
              </w:rPr>
            </w:r>
          </w:p>
        </w:tc>
      </w:tr>
      <w:tr>
        <w:tc>
          <w:tcPr>
            <w:tcW w:type="dxa" w:w="1744"/>
            <w:tcBorders>
              <w:top w:val="single" w:sz="4" w:space="0" w:color="E4DED3"/>
              <w:left w:val="single" w:sz="4" w:space="0" w:color="E4DED3"/>
              <w:bottom w:val="single" w:sz="4" w:space="0" w:color="E4DED3"/>
              <w:right w:val="single" w:sz="4" w:space="0" w:color="E4DED3"/>
            </w:tcBorders>
          </w:tcPr>
          <w:p>
            <w:r>
              <w:rPr>
                <w:sz w:val="18"/>
              </w:rPr>
              <w:t>3</w:t>
            </w:r>
          </w:p>
        </w:tc>
        <w:tc>
          <w:tcPr>
            <w:tcW w:type="dxa" w:w="1744"/>
            <w:tcBorders>
              <w:top w:val="single" w:sz="4" w:space="0" w:color="E4DED3"/>
              <w:left w:val="single" w:sz="4" w:space="0" w:color="E4DED3"/>
              <w:bottom w:val="single" w:sz="4" w:space="0" w:color="E4DED3"/>
              <w:right w:val="single" w:sz="4" w:space="0" w:color="E4DED3"/>
            </w:tcBorders>
          </w:tcPr>
          <w:p>
            <w:r>
              <w:rPr>
                <w:sz w:val="18"/>
              </w:rPr>
            </w:r>
          </w:p>
        </w:tc>
        <w:tc>
          <w:tcPr>
            <w:tcW w:type="dxa" w:w="1744"/>
            <w:tcBorders>
              <w:top w:val="single" w:sz="4" w:space="0" w:color="E4DED3"/>
              <w:left w:val="single" w:sz="4" w:space="0" w:color="E4DED3"/>
              <w:bottom w:val="single" w:sz="4" w:space="0" w:color="E4DED3"/>
              <w:right w:val="single" w:sz="4" w:space="0" w:color="E4DED3"/>
            </w:tcBorders>
          </w:tcPr>
          <w:p>
            <w:r>
              <w:rPr>
                <w:sz w:val="18"/>
              </w:rPr>
            </w:r>
          </w:p>
        </w:tc>
        <w:tc>
          <w:tcPr>
            <w:tcW w:type="dxa" w:w="1744"/>
            <w:tcBorders>
              <w:top w:val="single" w:sz="4" w:space="0" w:color="E4DED3"/>
              <w:left w:val="single" w:sz="4" w:space="0" w:color="E4DED3"/>
              <w:bottom w:val="single" w:sz="4" w:space="0" w:color="E4DED3"/>
              <w:right w:val="single" w:sz="4" w:space="0" w:color="E4DED3"/>
            </w:tcBorders>
          </w:tcPr>
          <w:p>
            <w:r>
              <w:rPr>
                <w:sz w:val="18"/>
              </w:rPr>
            </w:r>
          </w:p>
        </w:tc>
        <w:tc>
          <w:tcPr>
            <w:tcW w:type="dxa" w:w="1744"/>
            <w:tcBorders>
              <w:top w:val="single" w:sz="4" w:space="0" w:color="E4DED3"/>
              <w:left w:val="single" w:sz="4" w:space="0" w:color="E4DED3"/>
              <w:bottom w:val="single" w:sz="4" w:space="0" w:color="E4DED3"/>
              <w:right w:val="single" w:sz="4" w:space="0" w:color="E4DED3"/>
            </w:tcBorders>
          </w:tcPr>
          <w:p>
            <w:r>
              <w:rPr>
                <w:sz w:val="18"/>
              </w:rPr>
            </w:r>
          </w:p>
        </w:tc>
        <w:tc>
          <w:tcPr>
            <w:tcW w:type="dxa" w:w="1744"/>
            <w:tcBorders>
              <w:top w:val="single" w:sz="4" w:space="0" w:color="E4DED3"/>
              <w:left w:val="single" w:sz="4" w:space="0" w:color="E4DED3"/>
              <w:bottom w:val="single" w:sz="4" w:space="0" w:color="E4DED3"/>
              <w:right w:val="single" w:sz="4" w:space="0" w:color="E4DED3"/>
            </w:tcBorders>
          </w:tcPr>
          <w:p>
            <w:r>
              <w:rPr>
                <w:sz w:val="18"/>
              </w:rPr>
            </w:r>
          </w:p>
        </w:tc>
      </w:tr>
      <w:tr>
        <w:tc>
          <w:tcPr>
            <w:tcW w:type="dxa" w:w="1744"/>
            <w:tcBorders>
              <w:top w:val="single" w:sz="4" w:space="0" w:color="E4DED3"/>
              <w:left w:val="single" w:sz="4" w:space="0" w:color="E4DED3"/>
              <w:bottom w:val="single" w:sz="4" w:space="0" w:color="E4DED3"/>
              <w:right w:val="single" w:sz="4" w:space="0" w:color="E4DED3"/>
            </w:tcBorders>
          </w:tcPr>
          <w:p>
            <w:r>
              <w:rPr>
                <w:sz w:val="18"/>
              </w:rPr>
              <w:t>4</w:t>
            </w:r>
          </w:p>
        </w:tc>
        <w:tc>
          <w:tcPr>
            <w:tcW w:type="dxa" w:w="1744"/>
            <w:tcBorders>
              <w:top w:val="single" w:sz="4" w:space="0" w:color="E4DED3"/>
              <w:left w:val="single" w:sz="4" w:space="0" w:color="E4DED3"/>
              <w:bottom w:val="single" w:sz="4" w:space="0" w:color="E4DED3"/>
              <w:right w:val="single" w:sz="4" w:space="0" w:color="E4DED3"/>
            </w:tcBorders>
          </w:tcPr>
          <w:p>
            <w:r>
              <w:rPr>
                <w:sz w:val="18"/>
              </w:rPr>
            </w:r>
          </w:p>
        </w:tc>
        <w:tc>
          <w:tcPr>
            <w:tcW w:type="dxa" w:w="1744"/>
            <w:tcBorders>
              <w:top w:val="single" w:sz="4" w:space="0" w:color="E4DED3"/>
              <w:left w:val="single" w:sz="4" w:space="0" w:color="E4DED3"/>
              <w:bottom w:val="single" w:sz="4" w:space="0" w:color="E4DED3"/>
              <w:right w:val="single" w:sz="4" w:space="0" w:color="E4DED3"/>
            </w:tcBorders>
          </w:tcPr>
          <w:p>
            <w:r>
              <w:rPr>
                <w:sz w:val="18"/>
              </w:rPr>
            </w:r>
          </w:p>
        </w:tc>
        <w:tc>
          <w:tcPr>
            <w:tcW w:type="dxa" w:w="1744"/>
            <w:tcBorders>
              <w:top w:val="single" w:sz="4" w:space="0" w:color="E4DED3"/>
              <w:left w:val="single" w:sz="4" w:space="0" w:color="E4DED3"/>
              <w:bottom w:val="single" w:sz="4" w:space="0" w:color="E4DED3"/>
              <w:right w:val="single" w:sz="4" w:space="0" w:color="E4DED3"/>
            </w:tcBorders>
          </w:tcPr>
          <w:p>
            <w:r>
              <w:rPr>
                <w:sz w:val="18"/>
              </w:rPr>
            </w:r>
          </w:p>
        </w:tc>
        <w:tc>
          <w:tcPr>
            <w:tcW w:type="dxa" w:w="1744"/>
            <w:tcBorders>
              <w:top w:val="single" w:sz="4" w:space="0" w:color="E4DED3"/>
              <w:left w:val="single" w:sz="4" w:space="0" w:color="E4DED3"/>
              <w:bottom w:val="single" w:sz="4" w:space="0" w:color="E4DED3"/>
              <w:right w:val="single" w:sz="4" w:space="0" w:color="E4DED3"/>
            </w:tcBorders>
          </w:tcPr>
          <w:p>
            <w:r>
              <w:rPr>
                <w:sz w:val="18"/>
              </w:rPr>
            </w:r>
          </w:p>
        </w:tc>
        <w:tc>
          <w:tcPr>
            <w:tcW w:type="dxa" w:w="1744"/>
            <w:tcBorders>
              <w:top w:val="single" w:sz="4" w:space="0" w:color="E4DED3"/>
              <w:left w:val="single" w:sz="4" w:space="0" w:color="E4DED3"/>
              <w:bottom w:val="single" w:sz="4" w:space="0" w:color="E4DED3"/>
              <w:right w:val="single" w:sz="4" w:space="0" w:color="E4DED3"/>
            </w:tcBorders>
          </w:tcPr>
          <w:p>
            <w:r>
              <w:rPr>
                <w:sz w:val="18"/>
              </w:rPr>
            </w:r>
          </w:p>
        </w:tc>
      </w:tr>
      <w:tr>
        <w:tc>
          <w:tcPr>
            <w:tcW w:type="dxa" w:w="1744"/>
            <w:tcBorders>
              <w:top w:val="single" w:sz="4" w:space="0" w:color="E4DED3"/>
              <w:left w:val="single" w:sz="4" w:space="0" w:color="E4DED3"/>
              <w:bottom w:val="single" w:sz="4" w:space="0" w:color="E4DED3"/>
              <w:right w:val="single" w:sz="4" w:space="0" w:color="E4DED3"/>
            </w:tcBorders>
          </w:tcPr>
          <w:p>
            <w:r>
              <w:rPr>
                <w:sz w:val="18"/>
              </w:rPr>
              <w:t>5</w:t>
            </w:r>
          </w:p>
        </w:tc>
        <w:tc>
          <w:tcPr>
            <w:tcW w:type="dxa" w:w="1744"/>
            <w:tcBorders>
              <w:top w:val="single" w:sz="4" w:space="0" w:color="E4DED3"/>
              <w:left w:val="single" w:sz="4" w:space="0" w:color="E4DED3"/>
              <w:bottom w:val="single" w:sz="4" w:space="0" w:color="E4DED3"/>
              <w:right w:val="single" w:sz="4" w:space="0" w:color="E4DED3"/>
            </w:tcBorders>
          </w:tcPr>
          <w:p>
            <w:r>
              <w:rPr>
                <w:sz w:val="18"/>
              </w:rPr>
            </w:r>
          </w:p>
        </w:tc>
        <w:tc>
          <w:tcPr>
            <w:tcW w:type="dxa" w:w="1744"/>
            <w:tcBorders>
              <w:top w:val="single" w:sz="4" w:space="0" w:color="E4DED3"/>
              <w:left w:val="single" w:sz="4" w:space="0" w:color="E4DED3"/>
              <w:bottom w:val="single" w:sz="4" w:space="0" w:color="E4DED3"/>
              <w:right w:val="single" w:sz="4" w:space="0" w:color="E4DED3"/>
            </w:tcBorders>
          </w:tcPr>
          <w:p>
            <w:r>
              <w:rPr>
                <w:sz w:val="18"/>
              </w:rPr>
            </w:r>
          </w:p>
        </w:tc>
        <w:tc>
          <w:tcPr>
            <w:tcW w:type="dxa" w:w="1744"/>
            <w:tcBorders>
              <w:top w:val="single" w:sz="4" w:space="0" w:color="E4DED3"/>
              <w:left w:val="single" w:sz="4" w:space="0" w:color="E4DED3"/>
              <w:bottom w:val="single" w:sz="4" w:space="0" w:color="E4DED3"/>
              <w:right w:val="single" w:sz="4" w:space="0" w:color="E4DED3"/>
            </w:tcBorders>
          </w:tcPr>
          <w:p>
            <w:r>
              <w:rPr>
                <w:sz w:val="18"/>
              </w:rPr>
            </w:r>
          </w:p>
        </w:tc>
        <w:tc>
          <w:tcPr>
            <w:tcW w:type="dxa" w:w="1744"/>
            <w:tcBorders>
              <w:top w:val="single" w:sz="4" w:space="0" w:color="E4DED3"/>
              <w:left w:val="single" w:sz="4" w:space="0" w:color="E4DED3"/>
              <w:bottom w:val="single" w:sz="4" w:space="0" w:color="E4DED3"/>
              <w:right w:val="single" w:sz="4" w:space="0" w:color="E4DED3"/>
            </w:tcBorders>
          </w:tcPr>
          <w:p>
            <w:r>
              <w:rPr>
                <w:sz w:val="18"/>
              </w:rPr>
            </w:r>
          </w:p>
        </w:tc>
        <w:tc>
          <w:tcPr>
            <w:tcW w:type="dxa" w:w="1744"/>
            <w:tcBorders>
              <w:top w:val="single" w:sz="4" w:space="0" w:color="E4DED3"/>
              <w:left w:val="single" w:sz="4" w:space="0" w:color="E4DED3"/>
              <w:bottom w:val="single" w:sz="4" w:space="0" w:color="E4DED3"/>
              <w:right w:val="single" w:sz="4" w:space="0" w:color="E4DED3"/>
            </w:tcBorders>
          </w:tcPr>
          <w:p>
            <w:r>
              <w:rPr>
                <w:sz w:val="18"/>
              </w:rPr>
            </w:r>
          </w:p>
        </w:tc>
      </w:tr>
      <w:tr>
        <w:tc>
          <w:tcPr>
            <w:tcW w:type="dxa" w:w="1744"/>
            <w:tcBorders>
              <w:top w:val="single" w:sz="4" w:space="0" w:color="E4DED3"/>
              <w:left w:val="single" w:sz="4" w:space="0" w:color="E4DED3"/>
              <w:bottom w:val="single" w:sz="4" w:space="0" w:color="E4DED3"/>
              <w:right w:val="single" w:sz="4" w:space="0" w:color="E4DED3"/>
            </w:tcBorders>
          </w:tcPr>
          <w:p>
            <w:r>
              <w:rPr>
                <w:sz w:val="18"/>
              </w:rPr>
              <w:t>Total</w:t>
            </w:r>
          </w:p>
        </w:tc>
        <w:tc>
          <w:tcPr>
            <w:tcW w:type="dxa" w:w="1744"/>
            <w:tcBorders>
              <w:top w:val="single" w:sz="4" w:space="0" w:color="E4DED3"/>
              <w:left w:val="single" w:sz="4" w:space="0" w:color="E4DED3"/>
              <w:bottom w:val="single" w:sz="4" w:space="0" w:color="E4DED3"/>
              <w:right w:val="single" w:sz="4" w:space="0" w:color="E4DED3"/>
            </w:tcBorders>
          </w:tcPr>
          <w:p>
            <w:r>
              <w:rPr>
                <w:sz w:val="18"/>
              </w:rPr>
            </w:r>
          </w:p>
        </w:tc>
        <w:tc>
          <w:tcPr>
            <w:tcW w:type="dxa" w:w="1744"/>
            <w:tcBorders>
              <w:top w:val="single" w:sz="4" w:space="0" w:color="E4DED3"/>
              <w:left w:val="single" w:sz="4" w:space="0" w:color="E4DED3"/>
              <w:bottom w:val="single" w:sz="4" w:space="0" w:color="E4DED3"/>
              <w:right w:val="single" w:sz="4" w:space="0" w:color="E4DED3"/>
            </w:tcBorders>
          </w:tcPr>
          <w:p>
            <w:r>
              <w:rPr>
                <w:sz w:val="18"/>
              </w:rPr>
            </w:r>
          </w:p>
        </w:tc>
        <w:tc>
          <w:tcPr>
            <w:tcW w:type="dxa" w:w="1744"/>
            <w:tcBorders>
              <w:top w:val="single" w:sz="4" w:space="0" w:color="E4DED3"/>
              <w:left w:val="single" w:sz="4" w:space="0" w:color="E4DED3"/>
              <w:bottom w:val="single" w:sz="4" w:space="0" w:color="E4DED3"/>
              <w:right w:val="single" w:sz="4" w:space="0" w:color="E4DED3"/>
            </w:tcBorders>
          </w:tcPr>
          <w:p>
            <w:r>
              <w:rPr>
                <w:sz w:val="18"/>
              </w:rPr>
            </w:r>
          </w:p>
        </w:tc>
        <w:tc>
          <w:tcPr>
            <w:tcW w:type="dxa" w:w="1744"/>
            <w:tcBorders>
              <w:top w:val="single" w:sz="4" w:space="0" w:color="E4DED3"/>
              <w:left w:val="single" w:sz="4" w:space="0" w:color="E4DED3"/>
              <w:bottom w:val="single" w:sz="4" w:space="0" w:color="E4DED3"/>
              <w:right w:val="single" w:sz="4" w:space="0" w:color="E4DED3"/>
            </w:tcBorders>
          </w:tcPr>
          <w:p>
            <w:r>
              <w:rPr>
                <w:sz w:val="18"/>
              </w:rPr>
            </w:r>
          </w:p>
        </w:tc>
        <w:tc>
          <w:tcPr>
            <w:tcW w:type="dxa" w:w="1744"/>
            <w:tcBorders>
              <w:top w:val="single" w:sz="4" w:space="0" w:color="E4DED3"/>
              <w:left w:val="single" w:sz="4" w:space="0" w:color="E4DED3"/>
              <w:bottom w:val="single" w:sz="4" w:space="0" w:color="E4DED3"/>
              <w:right w:val="single" w:sz="4" w:space="0" w:color="E4DED3"/>
            </w:tcBorders>
          </w:tcPr>
          <w:p>
            <w:r>
              <w:rPr>
                <w:sz w:val="18"/>
              </w:rPr>
            </w:r>
          </w:p>
        </w:tc>
      </w:tr>
    </w:tbl>
    <w:p/>
    <w:p>
      <w:pPr>
        <w:spacing w:before="200" w:after="0"/>
      </w:pPr>
      <w:r>
        <w:rPr>
          <w:b/>
          <w:color w:val="1F5A5C"/>
          <w:sz w:val="16"/>
        </w:rPr>
        <w:t>TASK 18</w:t>
      </w:r>
    </w:p>
    <w:p>
      <w:pPr>
        <w:pStyle w:val="Heading2"/>
      </w:pPr>
      <w:r>
        <w:rPr>
          <w:color w:val="1F5A5C"/>
        </w:rPr>
        <w:t>How you will prove it works</w:t>
      </w:r>
    </w:p>
    <w:p>
      <w:pPr>
        <w:spacing w:after="120"/>
      </w:pPr>
      <w:r>
        <w:rPr>
          <w:b w:val="0"/>
          <w:i w:val="0"/>
          <w:sz w:val="21"/>
        </w:rPr>
        <w:t>A design is a claim until something tests it. Plan the simulations you will run in Part B: at least one failure simulation and at least one resize simulation. For each, say what you will do, what you expect to happen, and how you will know whether it did.</w:t>
      </w:r>
    </w:p>
    <w:tbl>
      <w:tblPr>
        <w:tblW w:type="auto" w:w="0"/>
        <w:tblLook w:firstColumn="1" w:firstRow="1" w:lastColumn="0" w:lastRow="0" w:noHBand="0" w:noVBand="1" w:val="04A0"/>
      </w:tblPr>
      <w:tblGrid>
        <w:gridCol w:w="2093"/>
        <w:gridCol w:w="2093"/>
        <w:gridCol w:w="2093"/>
        <w:gridCol w:w="2093"/>
        <w:gridCol w:w="2093"/>
      </w:tblGrid>
      <w:tr>
        <w:tc>
          <w:tcPr>
            <w:tcW w:type="dxa" w:w="2093"/>
            <w:tcBorders>
              <w:top w:val="single" w:sz="4" w:space="0" w:color="E4DED3"/>
              <w:left w:val="single" w:sz="4" w:space="0" w:color="E4DED3"/>
              <w:bottom w:val="single" w:sz="4" w:space="0" w:color="E4DED3"/>
              <w:right w:val="single" w:sz="4" w:space="0" w:color="E4DED3"/>
            </w:tcBorders>
            <w:shd w:val="clear" w:color="auto" w:fill="F8F4ED"/>
          </w:tcPr>
          <w:p>
            <w:r>
              <w:rPr>
                <w:b/>
                <w:sz w:val="18"/>
              </w:rPr>
              <w:t>#</w:t>
            </w:r>
          </w:p>
        </w:tc>
        <w:tc>
          <w:tcPr>
            <w:tcW w:type="dxa" w:w="2093"/>
            <w:tcBorders>
              <w:top w:val="single" w:sz="4" w:space="0" w:color="E4DED3"/>
              <w:left w:val="single" w:sz="4" w:space="0" w:color="E4DED3"/>
              <w:bottom w:val="single" w:sz="4" w:space="0" w:color="E4DED3"/>
              <w:right w:val="single" w:sz="4" w:space="0" w:color="E4DED3"/>
            </w:tcBorders>
            <w:shd w:val="clear" w:color="auto" w:fill="F8F4ED"/>
          </w:tcPr>
          <w:p>
            <w:r>
              <w:rPr>
                <w:b/>
                <w:sz w:val="18"/>
              </w:rPr>
              <w:t>Simulation</w:t>
            </w:r>
          </w:p>
        </w:tc>
        <w:tc>
          <w:tcPr>
            <w:tcW w:type="dxa" w:w="2093"/>
            <w:tcBorders>
              <w:top w:val="single" w:sz="4" w:space="0" w:color="E4DED3"/>
              <w:left w:val="single" w:sz="4" w:space="0" w:color="E4DED3"/>
              <w:bottom w:val="single" w:sz="4" w:space="0" w:color="E4DED3"/>
              <w:right w:val="single" w:sz="4" w:space="0" w:color="E4DED3"/>
            </w:tcBorders>
            <w:shd w:val="clear" w:color="auto" w:fill="F8F4ED"/>
          </w:tcPr>
          <w:p>
            <w:r>
              <w:rPr>
                <w:b/>
                <w:sz w:val="18"/>
              </w:rPr>
              <w:t>What you will do</w:t>
            </w:r>
          </w:p>
        </w:tc>
        <w:tc>
          <w:tcPr>
            <w:tcW w:type="dxa" w:w="2093"/>
            <w:tcBorders>
              <w:top w:val="single" w:sz="4" w:space="0" w:color="E4DED3"/>
              <w:left w:val="single" w:sz="4" w:space="0" w:color="E4DED3"/>
              <w:bottom w:val="single" w:sz="4" w:space="0" w:color="E4DED3"/>
              <w:right w:val="single" w:sz="4" w:space="0" w:color="E4DED3"/>
            </w:tcBorders>
            <w:shd w:val="clear" w:color="auto" w:fill="F8F4ED"/>
          </w:tcPr>
          <w:p>
            <w:r>
              <w:rPr>
                <w:b/>
                <w:sz w:val="18"/>
              </w:rPr>
              <w:t>What you expect</w:t>
            </w:r>
          </w:p>
        </w:tc>
        <w:tc>
          <w:tcPr>
            <w:tcW w:type="dxa" w:w="2093"/>
            <w:tcBorders>
              <w:top w:val="single" w:sz="4" w:space="0" w:color="E4DED3"/>
              <w:left w:val="single" w:sz="4" w:space="0" w:color="E4DED3"/>
              <w:bottom w:val="single" w:sz="4" w:space="0" w:color="E4DED3"/>
              <w:right w:val="single" w:sz="4" w:space="0" w:color="E4DED3"/>
            </w:tcBorders>
            <w:shd w:val="clear" w:color="auto" w:fill="F8F4ED"/>
          </w:tcPr>
          <w:p>
            <w:r>
              <w:rPr>
                <w:b/>
                <w:sz w:val="18"/>
              </w:rPr>
              <w:t>How you will know</w:t>
            </w:r>
          </w:p>
        </w:tc>
      </w:tr>
      <w:tr>
        <w:tc>
          <w:tcPr>
            <w:tcW w:type="dxa" w:w="2093"/>
            <w:tcBorders>
              <w:top w:val="single" w:sz="4" w:space="0" w:color="E4DED3"/>
              <w:left w:val="single" w:sz="4" w:space="0" w:color="E4DED3"/>
              <w:bottom w:val="single" w:sz="4" w:space="0" w:color="E4DED3"/>
              <w:right w:val="single" w:sz="4" w:space="0" w:color="E4DED3"/>
            </w:tcBorders>
          </w:tcPr>
          <w:p>
            <w:r>
              <w:rPr>
                <w:sz w:val="18"/>
              </w:rPr>
              <w:t>F1</w:t>
            </w:r>
          </w:p>
        </w:tc>
        <w:tc>
          <w:tcPr>
            <w:tcW w:type="dxa" w:w="2093"/>
            <w:tcBorders>
              <w:top w:val="single" w:sz="4" w:space="0" w:color="E4DED3"/>
              <w:left w:val="single" w:sz="4" w:space="0" w:color="E4DED3"/>
              <w:bottom w:val="single" w:sz="4" w:space="0" w:color="E4DED3"/>
              <w:right w:val="single" w:sz="4" w:space="0" w:color="E4DED3"/>
            </w:tcBorders>
          </w:tcPr>
          <w:p>
            <w:r>
              <w:rPr>
                <w:sz w:val="18"/>
              </w:rPr>
              <w:t>Instance failure</w:t>
            </w:r>
          </w:p>
        </w:tc>
        <w:tc>
          <w:tcPr>
            <w:tcW w:type="dxa" w:w="2093"/>
            <w:tcBorders>
              <w:top w:val="single" w:sz="4" w:space="0" w:color="E4DED3"/>
              <w:left w:val="single" w:sz="4" w:space="0" w:color="E4DED3"/>
              <w:bottom w:val="single" w:sz="4" w:space="0" w:color="E4DED3"/>
              <w:right w:val="single" w:sz="4" w:space="0" w:color="E4DED3"/>
            </w:tcBorders>
          </w:tcPr>
          <w:p>
            <w:r>
              <w:rPr>
                <w:sz w:val="18"/>
              </w:rPr>
            </w:r>
          </w:p>
        </w:tc>
        <w:tc>
          <w:tcPr>
            <w:tcW w:type="dxa" w:w="2093"/>
            <w:tcBorders>
              <w:top w:val="single" w:sz="4" w:space="0" w:color="E4DED3"/>
              <w:left w:val="single" w:sz="4" w:space="0" w:color="E4DED3"/>
              <w:bottom w:val="single" w:sz="4" w:space="0" w:color="E4DED3"/>
              <w:right w:val="single" w:sz="4" w:space="0" w:color="E4DED3"/>
            </w:tcBorders>
          </w:tcPr>
          <w:p>
            <w:r>
              <w:rPr>
                <w:sz w:val="18"/>
              </w:rPr>
            </w:r>
          </w:p>
        </w:tc>
        <w:tc>
          <w:tcPr>
            <w:tcW w:type="dxa" w:w="2093"/>
            <w:tcBorders>
              <w:top w:val="single" w:sz="4" w:space="0" w:color="E4DED3"/>
              <w:left w:val="single" w:sz="4" w:space="0" w:color="E4DED3"/>
              <w:bottom w:val="single" w:sz="4" w:space="0" w:color="E4DED3"/>
              <w:right w:val="single" w:sz="4" w:space="0" w:color="E4DED3"/>
            </w:tcBorders>
          </w:tcPr>
          <w:p>
            <w:r>
              <w:rPr>
                <w:sz w:val="18"/>
              </w:rPr>
            </w:r>
          </w:p>
        </w:tc>
      </w:tr>
      <w:tr>
        <w:tc>
          <w:tcPr>
            <w:tcW w:type="dxa" w:w="2093"/>
            <w:tcBorders>
              <w:top w:val="single" w:sz="4" w:space="0" w:color="E4DED3"/>
              <w:left w:val="single" w:sz="4" w:space="0" w:color="E4DED3"/>
              <w:bottom w:val="single" w:sz="4" w:space="0" w:color="E4DED3"/>
              <w:right w:val="single" w:sz="4" w:space="0" w:color="E4DED3"/>
            </w:tcBorders>
          </w:tcPr>
          <w:p>
            <w:r>
              <w:rPr>
                <w:sz w:val="18"/>
              </w:rPr>
              <w:t>F2</w:t>
            </w:r>
          </w:p>
        </w:tc>
        <w:tc>
          <w:tcPr>
            <w:tcW w:type="dxa" w:w="2093"/>
            <w:tcBorders>
              <w:top w:val="single" w:sz="4" w:space="0" w:color="E4DED3"/>
              <w:left w:val="single" w:sz="4" w:space="0" w:color="E4DED3"/>
              <w:bottom w:val="single" w:sz="4" w:space="0" w:color="E4DED3"/>
              <w:right w:val="single" w:sz="4" w:space="0" w:color="E4DED3"/>
            </w:tcBorders>
          </w:tcPr>
          <w:p>
            <w:r>
              <w:rPr>
                <w:sz w:val="18"/>
              </w:rPr>
              <w:t>Database failover</w:t>
            </w:r>
          </w:p>
        </w:tc>
        <w:tc>
          <w:tcPr>
            <w:tcW w:type="dxa" w:w="2093"/>
            <w:tcBorders>
              <w:top w:val="single" w:sz="4" w:space="0" w:color="E4DED3"/>
              <w:left w:val="single" w:sz="4" w:space="0" w:color="E4DED3"/>
              <w:bottom w:val="single" w:sz="4" w:space="0" w:color="E4DED3"/>
              <w:right w:val="single" w:sz="4" w:space="0" w:color="E4DED3"/>
            </w:tcBorders>
          </w:tcPr>
          <w:p>
            <w:r>
              <w:rPr>
                <w:sz w:val="18"/>
              </w:rPr>
            </w:r>
          </w:p>
        </w:tc>
        <w:tc>
          <w:tcPr>
            <w:tcW w:type="dxa" w:w="2093"/>
            <w:tcBorders>
              <w:top w:val="single" w:sz="4" w:space="0" w:color="E4DED3"/>
              <w:left w:val="single" w:sz="4" w:space="0" w:color="E4DED3"/>
              <w:bottom w:val="single" w:sz="4" w:space="0" w:color="E4DED3"/>
              <w:right w:val="single" w:sz="4" w:space="0" w:color="E4DED3"/>
            </w:tcBorders>
          </w:tcPr>
          <w:p>
            <w:r>
              <w:rPr>
                <w:sz w:val="18"/>
              </w:rPr>
            </w:r>
          </w:p>
        </w:tc>
        <w:tc>
          <w:tcPr>
            <w:tcW w:type="dxa" w:w="2093"/>
            <w:tcBorders>
              <w:top w:val="single" w:sz="4" w:space="0" w:color="E4DED3"/>
              <w:left w:val="single" w:sz="4" w:space="0" w:color="E4DED3"/>
              <w:bottom w:val="single" w:sz="4" w:space="0" w:color="E4DED3"/>
              <w:right w:val="single" w:sz="4" w:space="0" w:color="E4DED3"/>
            </w:tcBorders>
          </w:tcPr>
          <w:p>
            <w:r>
              <w:rPr>
                <w:sz w:val="18"/>
              </w:rPr>
            </w:r>
          </w:p>
        </w:tc>
      </w:tr>
      <w:tr>
        <w:tc>
          <w:tcPr>
            <w:tcW w:type="dxa" w:w="2093"/>
            <w:tcBorders>
              <w:top w:val="single" w:sz="4" w:space="0" w:color="E4DED3"/>
              <w:left w:val="single" w:sz="4" w:space="0" w:color="E4DED3"/>
              <w:bottom w:val="single" w:sz="4" w:space="0" w:color="E4DED3"/>
              <w:right w:val="single" w:sz="4" w:space="0" w:color="E4DED3"/>
            </w:tcBorders>
          </w:tcPr>
          <w:p>
            <w:r>
              <w:rPr>
                <w:sz w:val="18"/>
              </w:rPr>
              <w:t>R1</w:t>
            </w:r>
          </w:p>
        </w:tc>
        <w:tc>
          <w:tcPr>
            <w:tcW w:type="dxa" w:w="2093"/>
            <w:tcBorders>
              <w:top w:val="single" w:sz="4" w:space="0" w:color="E4DED3"/>
              <w:left w:val="single" w:sz="4" w:space="0" w:color="E4DED3"/>
              <w:bottom w:val="single" w:sz="4" w:space="0" w:color="E4DED3"/>
              <w:right w:val="single" w:sz="4" w:space="0" w:color="E4DED3"/>
            </w:tcBorders>
          </w:tcPr>
          <w:p>
            <w:r>
              <w:rPr>
                <w:sz w:val="18"/>
              </w:rPr>
              <w:t>Resize</w:t>
            </w:r>
          </w:p>
        </w:tc>
        <w:tc>
          <w:tcPr>
            <w:tcW w:type="dxa" w:w="2093"/>
            <w:tcBorders>
              <w:top w:val="single" w:sz="4" w:space="0" w:color="E4DED3"/>
              <w:left w:val="single" w:sz="4" w:space="0" w:color="E4DED3"/>
              <w:bottom w:val="single" w:sz="4" w:space="0" w:color="E4DED3"/>
              <w:right w:val="single" w:sz="4" w:space="0" w:color="E4DED3"/>
            </w:tcBorders>
          </w:tcPr>
          <w:p>
            <w:r>
              <w:rPr>
                <w:sz w:val="18"/>
              </w:rPr>
            </w:r>
          </w:p>
        </w:tc>
        <w:tc>
          <w:tcPr>
            <w:tcW w:type="dxa" w:w="2093"/>
            <w:tcBorders>
              <w:top w:val="single" w:sz="4" w:space="0" w:color="E4DED3"/>
              <w:left w:val="single" w:sz="4" w:space="0" w:color="E4DED3"/>
              <w:bottom w:val="single" w:sz="4" w:space="0" w:color="E4DED3"/>
              <w:right w:val="single" w:sz="4" w:space="0" w:color="E4DED3"/>
            </w:tcBorders>
          </w:tcPr>
          <w:p>
            <w:r>
              <w:rPr>
                <w:sz w:val="18"/>
              </w:rPr>
            </w:r>
          </w:p>
        </w:tc>
        <w:tc>
          <w:tcPr>
            <w:tcW w:type="dxa" w:w="2093"/>
            <w:tcBorders>
              <w:top w:val="single" w:sz="4" w:space="0" w:color="E4DED3"/>
              <w:left w:val="single" w:sz="4" w:space="0" w:color="E4DED3"/>
              <w:bottom w:val="single" w:sz="4" w:space="0" w:color="E4DED3"/>
              <w:right w:val="single" w:sz="4" w:space="0" w:color="E4DED3"/>
            </w:tcBorders>
          </w:tcPr>
          <w:p>
            <w:r>
              <w:rPr>
                <w:sz w:val="18"/>
              </w:rPr>
            </w:r>
          </w:p>
        </w:tc>
      </w:tr>
    </w:tbl>
    <w:p/>
    <w:p>
      <w:pPr>
        <w:pStyle w:val="Heading1"/>
      </w:pPr>
      <w:r>
        <w:t>Part B — Implementation</w:t>
      </w:r>
    </w:p>
    <w:p>
      <w:pPr>
        <w:spacing w:after="200"/>
      </w:pPr>
      <w:r>
        <w:rPr>
          <w:b w:val="0"/>
          <w:i/>
          <w:color w:val="6B6660"/>
          <w:sz w:val="19"/>
        </w:rPr>
        <w:t>Your maintenance window is about 3.5 hours. Work the tasks in order — the order you planned in task 17 is the one to follow where it differs from the numbering here.</w:t>
      </w:r>
    </w:p>
    <w:p>
      <w:pPr>
        <w:spacing w:before="200" w:after="0"/>
      </w:pPr>
      <w:r>
        <w:rPr>
          <w:b/>
          <w:color w:val="1F5A5C"/>
          <w:sz w:val="16"/>
        </w:rPr>
        <w:t>TASK 19</w:t>
      </w:r>
    </w:p>
    <w:p>
      <w:pPr>
        <w:pStyle w:val="Heading2"/>
      </w:pPr>
      <w:r>
        <w:rPr>
          <w:color w:val="1F5A5C"/>
        </w:rPr>
        <w:t>Deploy the baseline environment</w:t>
      </w:r>
    </w:p>
    <w:p>
      <w:pPr>
        <w:spacing w:after="120"/>
      </w:pPr>
      <w:r>
        <w:rPr>
          <w:b w:val="0"/>
          <w:i w:val="0"/>
          <w:sz w:val="21"/>
        </w:rPr>
        <w:t>Deploy the lab-pack your assessor provided. It builds the environment described at the start of Part A, so that everyone starts the maintenance window from the same place.</w:t>
      </w:r>
    </w:p>
    <w:p>
      <w:pPr>
        <w:spacing w:after="60"/>
        <w:ind w:left="340"/>
      </w:pPr>
      <w:r>
        <w:rPr>
          <w:b/>
          <w:sz w:val="21"/>
        </w:rPr>
        <w:t xml:space="preserve">1.  </w:t>
      </w:r>
      <w:r>
        <w:rPr>
          <w:b w:val="0"/>
          <w:sz w:val="21"/>
        </w:rPr>
        <w:t>Download the lab-pack template from wherever your assessor has made it available.</w:t>
      </w:r>
    </w:p>
    <w:p>
      <w:pPr>
        <w:spacing w:after="60"/>
        <w:ind w:left="340"/>
      </w:pPr>
      <w:r>
        <w:rPr>
          <w:b/>
          <w:sz w:val="21"/>
        </w:rPr>
        <w:t xml:space="preserve">2.  </w:t>
      </w:r>
      <w:r>
        <w:rPr>
          <w:b w:val="0"/>
          <w:sz w:val="21"/>
        </w:rPr>
        <w:t xml:space="preserve">Set your region before anything else — the stack builds into whichever region is selected. For the scenario this is Sydney, ap-southeast-2; use it if the region selector offers it. </w:t>
      </w:r>
      <w:r>
        <w:rPr>
          <w:b/>
          <w:sz w:val="21"/>
        </w:rPr>
        <w:t>If you are working in AWS Academy Learner Lab or a similar restricted environment, Sydney will not be listed — choose us-east-1, or whichever region you do have. The template builds the same thing in any region.</w:t>
      </w:r>
    </w:p>
    <w:p>
      <w:pPr>
        <w:spacing w:after="60"/>
        <w:ind w:left="340"/>
      </w:pPr>
      <w:r>
        <w:rPr>
          <w:b/>
          <w:sz w:val="21"/>
        </w:rPr>
        <w:t xml:space="preserve">3.  </w:t>
      </w:r>
      <w:r>
        <w:rPr>
          <w:b w:val="0"/>
          <w:sz w:val="21"/>
        </w:rPr>
        <w:t>Open CloudFormation → Create stack → Upload a template file, and select it.</w:t>
      </w:r>
    </w:p>
    <w:p>
      <w:pPr>
        <w:spacing w:after="60"/>
        <w:ind w:left="340"/>
      </w:pPr>
      <w:r>
        <w:rPr>
          <w:b/>
          <w:sz w:val="21"/>
        </w:rPr>
        <w:t xml:space="preserve">4.  </w:t>
      </w:r>
      <w:r>
        <w:rPr>
          <w:b w:val="0"/>
          <w:sz w:val="21"/>
        </w:rPr>
        <w:t>Give the stack a name. Every parameter is defaulted except the database master password — type one of at least 8 characters and keep a note of it. Then launch the stack.</w:t>
      </w:r>
    </w:p>
    <w:p>
      <w:pPr>
        <w:spacing w:after="60"/>
        <w:ind w:left="340"/>
      </w:pPr>
      <w:r>
        <w:rPr>
          <w:b/>
          <w:sz w:val="21"/>
        </w:rPr>
        <w:t xml:space="preserve">5.  </w:t>
      </w:r>
      <w:r>
        <w:rPr>
          <w:b w:val="0"/>
          <w:sz w:val="21"/>
        </w:rPr>
        <w:t>Wait until the stack reads CREATE_COMPLETE. This takes 10–15 minutes.</w:t>
      </w:r>
    </w:p>
    <w:p>
      <w:pPr>
        <w:spacing w:after="60"/>
        <w:ind w:left="340"/>
      </w:pPr>
      <w:r>
        <w:rPr>
          <w:b/>
          <w:sz w:val="21"/>
        </w:rPr>
        <w:t xml:space="preserve">6.  </w:t>
      </w:r>
      <w:r>
        <w:rPr>
          <w:b w:val="0"/>
          <w:sz w:val="21"/>
        </w:rPr>
        <w:t>Open the load balancer's DNS name in a browser and confirm the placeholder page loads. Type http:// in front of it — the load balancer only listens on HTTP port 80, and a browser left to itself will try HTTPS and fail.</w:t>
      </w:r>
    </w:p>
    <w:p/>
    <w:p>
      <w:pPr>
        <w:spacing w:before="80" w:after="160"/>
        <w:ind w:left="227"/>
      </w:pPr>
      <w:r>
        <w:rPr>
          <w:b/>
          <w:color w:val="C5613B"/>
          <w:sz w:val="19"/>
        </w:rPr>
        <w:t xml:space="preserve">Environment constraint </w:t>
      </w:r>
      <w:r>
        <w:rPr>
          <w:i/>
          <w:color w:val="C5613B"/>
          <w:sz w:val="19"/>
        </w:rPr>
        <w:t>if the stack fails, read the Events tab — the first failure in the list is the cause; the rest are rollbacks of it. Tell your assessor before you start again.</w:t>
      </w:r>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stack at CREATE_COMPLETE, and the placeholder page loading through the load balancer.</w:t>
            </w:r>
          </w:p>
        </w:tc>
      </w:tr>
    </w:tbl>
    <w:p/>
    <w:p>
      <w:pPr>
        <w:spacing w:before="200" w:after="0"/>
      </w:pPr>
      <w:r>
        <w:rPr>
          <w:b/>
          <w:color w:val="1F5A5C"/>
          <w:sz w:val="16"/>
        </w:rPr>
        <w:t>TASK 20</w:t>
      </w:r>
    </w:p>
    <w:p>
      <w:pPr>
        <w:pStyle w:val="Heading2"/>
      </w:pPr>
      <w:r>
        <w:rPr>
          <w:color w:val="1F5A5C"/>
        </w:rPr>
        <w:t>Create the application subnet in the second zone</w:t>
      </w:r>
    </w:p>
    <w:p>
      <w:pPr>
        <w:spacing w:after="120"/>
      </w:pPr>
      <w:r>
        <w:rPr>
          <w:b w:val="0"/>
          <w:i w:val="0"/>
          <w:sz w:val="21"/>
        </w:rPr>
        <w:t>Create the subnet you designed. Copy your own answer across first, then build exactly that.</w:t>
      </w:r>
    </w:p>
    <w:p>
      <w:pPr>
        <w:spacing w:after="60"/>
      </w:pPr>
      <w:r>
        <w:rPr>
          <w:b/>
          <w:i w:val="0"/>
          <w:sz w:val="19"/>
        </w:rPr>
        <w:t>From your design — copy your answer to task 7 into this table before you build.</w:t>
      </w:r>
    </w:p>
    <w:tbl>
      <w:tblPr>
        <w:tblW w:type="auto" w:w="0"/>
        <w:tblLook w:firstColumn="1" w:firstRow="1" w:lastColumn="0" w:lastRow="0" w:noHBand="0" w:noVBand="1" w:val="04A0"/>
      </w:tblPr>
      <w:tblGrid>
        <w:gridCol w:w="2616"/>
        <w:gridCol w:w="2616"/>
        <w:gridCol w:w="2616"/>
        <w:gridCol w:w="2616"/>
      </w:tblGrid>
      <w:tr>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Subnet name</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CIDR</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Zone</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What it carries</w:t>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subnet list filtered to yat-lms-vpc, showing your new subnet and its Availability Zone.</w:t>
            </w:r>
          </w:p>
        </w:tc>
      </w:tr>
    </w:tbl>
    <w:p/>
    <w:p>
      <w:pPr>
        <w:spacing w:before="200" w:after="0"/>
      </w:pPr>
      <w:r>
        <w:rPr>
          <w:b/>
          <w:color w:val="1F5A5C"/>
          <w:sz w:val="16"/>
        </w:rPr>
        <w:t>TASK 21</w:t>
      </w:r>
    </w:p>
    <w:p>
      <w:pPr>
        <w:pStyle w:val="Heading2"/>
      </w:pPr>
      <w:r>
        <w:rPr>
          <w:color w:val="1F5A5C"/>
        </w:rPr>
        <w:t>Give the new subnet a path out</w:t>
      </w:r>
    </w:p>
    <w:p>
      <w:pPr>
        <w:spacing w:after="120"/>
      </w:pPr>
      <w:r>
        <w:rPr>
          <w:b w:val="0"/>
          <w:i w:val="0"/>
          <w:sz w:val="21"/>
        </w:rPr>
        <w:t>Build the outbound path you designed. If you designed a second NAT gateway, create it and its route table now. If you accepted the shared gateway, associate the new subnet with the existing private route table instead — and say so in the box.</w:t>
      </w:r>
    </w:p>
    <w:p>
      <w:pPr>
        <w:spacing w:after="60"/>
      </w:pPr>
      <w:r>
        <w:rPr>
          <w:b/>
          <w:i w:val="0"/>
          <w:sz w:val="19"/>
        </w:rPr>
        <w:t>From your design — copy your answer to task 11 into this table before you build.</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Setting</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Your design</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Why</w:t>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bl>
    <w:p/>
    <w:p>
      <w:pPr>
        <w:spacing w:before="80" w:after="160"/>
        <w:ind w:left="227"/>
      </w:pPr>
      <w:r>
        <w:rPr>
          <w:b/>
          <w:color w:val="C5613B"/>
          <w:sz w:val="19"/>
        </w:rPr>
        <w:t xml:space="preserve">Environment constraint </w:t>
      </w:r>
      <w:r>
        <w:rPr>
          <w:i/>
          <w:color w:val="C5613B"/>
          <w:sz w:val="19"/>
        </w:rPr>
        <w:t>a NAT gateway takes a few minutes to become Available. You cannot route to it until it is.</w:t>
      </w:r>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route table associated with your new subnet, showing its 0.0.0.0/0 route and the target it points at.</w:t>
            </w:r>
          </w:p>
        </w:tc>
      </w:tr>
    </w:tbl>
    <w:p/>
    <w:p>
      <w:pPr>
        <w:spacing w:before="200" w:after="0"/>
      </w:pPr>
      <w:r>
        <w:rPr>
          <w:b/>
          <w:color w:val="1F5A5C"/>
          <w:sz w:val="16"/>
        </w:rPr>
        <w:t>TASK 22</w:t>
      </w:r>
    </w:p>
    <w:p>
      <w:pPr>
        <w:pStyle w:val="Heading2"/>
      </w:pPr>
      <w:r>
        <w:rPr>
          <w:color w:val="1F5A5C"/>
        </w:rPr>
        <w:t>Extend the application tier across both zones</w:t>
      </w:r>
    </w:p>
    <w:p>
      <w:pPr>
        <w:spacing w:after="120"/>
      </w:pPr>
      <w:r>
        <w:rPr>
          <w:b w:val="0"/>
          <w:i w:val="0"/>
          <w:sz w:val="21"/>
        </w:rPr>
        <w:t>Edit the Auto Scaling group to match your design — the subnets it launches into, and its capacity. Then wait for the second instance to launch and become healthy.</w:t>
      </w:r>
    </w:p>
    <w:p>
      <w:pPr>
        <w:spacing w:after="60"/>
      </w:pPr>
      <w:r>
        <w:rPr>
          <w:b/>
          <w:i w:val="0"/>
          <w:sz w:val="19"/>
        </w:rPr>
        <w:t>From your design — copy your answer to task 8 into this table before you build.</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Setting</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Your design</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Why</w:t>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Subnets</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Minimum</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Desired</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Maximum</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t>Scaling policy</w:t>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bl>
    <w:p/>
    <w:p>
      <w:pPr>
        <w:spacing w:before="80" w:after="160"/>
        <w:ind w:left="227"/>
      </w:pPr>
      <w:r>
        <w:rPr>
          <w:b/>
          <w:color w:val="C5613B"/>
          <w:sz w:val="19"/>
        </w:rPr>
        <w:t xml:space="preserve">Environment constraint </w:t>
      </w:r>
      <w:r>
        <w:rPr>
          <w:i/>
          <w:color w:val="C5613B"/>
          <w:sz w:val="19"/>
        </w:rPr>
        <w:t>a new instance is not healthy the moment it launches. It has to boot and install its web server first, and while that happens the target group reports it Unhealthy with Request timed out — correctly, because nothing is listening on port 80 yet. On Windows it takes about six minutes, and can take ten. Wait for it. Do not change settings, terminate the instance or start over: an instance that looks stuck is almost always one that is still installing, and intervening is how you turn a five-minute wait into a rebuild.</w:t>
      </w:r>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Auto Scaling group's instances, showing instances in two different Availability Zones, and the target group showing both healthy.</w:t>
            </w:r>
          </w:p>
        </w:tc>
      </w:tr>
    </w:tbl>
    <w:p/>
    <w:p>
      <w:pPr>
        <w:spacing w:before="200" w:after="0"/>
      </w:pPr>
      <w:r>
        <w:rPr>
          <w:b/>
          <w:color w:val="1F5A5C"/>
          <w:sz w:val="16"/>
        </w:rPr>
        <w:t>TASK 23</w:t>
      </w:r>
    </w:p>
    <w:p>
      <w:pPr>
        <w:pStyle w:val="Heading2"/>
      </w:pPr>
      <w:r>
        <w:rPr>
          <w:color w:val="1F5A5C"/>
        </w:rPr>
        <w:t>Convert the database</w:t>
      </w:r>
    </w:p>
    <w:p>
      <w:pPr>
        <w:spacing w:after="120"/>
      </w:pPr>
      <w:r>
        <w:rPr>
          <w:b w:val="0"/>
          <w:i w:val="0"/>
          <w:sz w:val="21"/>
        </w:rPr>
        <w:t>Apply the database change you designed. Start this before the alarms task — it runs in the background and takes the longest of anything in this window.</w:t>
      </w:r>
    </w:p>
    <w:p>
      <w:pPr>
        <w:spacing w:after="60"/>
      </w:pPr>
      <w:r>
        <w:rPr>
          <w:b/>
          <w:i w:val="0"/>
          <w:sz w:val="19"/>
        </w:rPr>
        <w:t>From your design — copy your answer to task 10 into this table before you build.</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Setting</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Your design</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Why</w:t>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c>
          <w:tcPr>
            <w:tcW w:type="dxa" w:w="3489"/>
            <w:tcBorders>
              <w:top w:val="single" w:sz="4" w:space="0" w:color="E4DED3"/>
              <w:left w:val="single" w:sz="4" w:space="0" w:color="E4DED3"/>
              <w:bottom w:val="single" w:sz="4" w:space="0" w:color="E4DED3"/>
              <w:right w:val="single" w:sz="4" w:space="0" w:color="E4DED3"/>
            </w:tcBorders>
          </w:tcPr>
          <w:p>
            <w:r>
              <w:rPr>
                <w:sz w:val="18"/>
              </w:rPr>
            </w:r>
          </w:p>
        </w:tc>
      </w:tr>
    </w:tbl>
    <w:p/>
    <w:p>
      <w:pPr>
        <w:spacing w:before="80" w:after="160"/>
        <w:ind w:left="227"/>
      </w:pPr>
      <w:r>
        <w:rPr>
          <w:b/>
          <w:color w:val="C5613B"/>
          <w:sz w:val="19"/>
        </w:rPr>
        <w:t xml:space="preserve">Environment constraint </w:t>
      </w:r>
      <w:r>
        <w:rPr>
          <w:i/>
          <w:color w:val="C5613B"/>
          <w:sz w:val="19"/>
        </w:rPr>
        <w:t>apply it immediately rather than in the next maintenance window, or it will not have happened by the time you need to test it. The database stays available while it converts; the brief interruption comes later, when you fail it over.</w:t>
      </w:r>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database's Configuration tab showing Multi-AZ, and the zone its standby is in.</w:t>
            </w:r>
          </w:p>
        </w:tc>
      </w:tr>
    </w:tbl>
    <w:p/>
    <w:p>
      <w:pPr>
        <w:spacing w:before="200" w:after="0"/>
      </w:pPr>
      <w:r>
        <w:rPr>
          <w:b/>
          <w:color w:val="1F5A5C"/>
          <w:sz w:val="16"/>
        </w:rPr>
        <w:t>TASK 24</w:t>
      </w:r>
    </w:p>
    <w:p>
      <w:pPr>
        <w:pStyle w:val="Heading2"/>
      </w:pPr>
      <w:r>
        <w:rPr>
          <w:color w:val="1F5A5C"/>
        </w:rPr>
        <w:t>Build your HA monitoring</w:t>
      </w:r>
    </w:p>
    <w:p>
      <w:pPr>
        <w:spacing w:after="120"/>
      </w:pPr>
      <w:r>
        <w:rPr>
          <w:b w:val="0"/>
          <w:i w:val="0"/>
          <w:sz w:val="21"/>
        </w:rPr>
        <w:t>Create the alarms you designed, notifying the existing yat-lms-alerts topic. Build at least the first one; build the others if the window allows.</w:t>
      </w:r>
    </w:p>
    <w:p>
      <w:pPr>
        <w:spacing w:after="60"/>
      </w:pPr>
      <w:r>
        <w:rPr>
          <w:b/>
          <w:i w:val="0"/>
          <w:sz w:val="19"/>
        </w:rPr>
        <w:t>From your design — copy your answer to task 12 into this table before you build.</w:t>
      </w:r>
    </w:p>
    <w:tbl>
      <w:tblPr>
        <w:tblW w:type="auto" w:w="0"/>
        <w:tblLook w:firstColumn="1" w:firstRow="1" w:lastColumn="0" w:lastRow="0" w:noHBand="0" w:noVBand="1" w:val="04A0"/>
      </w:tblPr>
      <w:tblGrid>
        <w:gridCol w:w="2616"/>
        <w:gridCol w:w="2616"/>
        <w:gridCol w:w="2616"/>
        <w:gridCol w:w="2616"/>
      </w:tblGrid>
      <w:tr>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Alarm</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What it measures</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Threshold</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What it detects</w:t>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your new alarm or alarms in the CloudWatch console, showing the metric, the threshold and the state.</w:t>
            </w:r>
          </w:p>
        </w:tc>
      </w:tr>
    </w:tbl>
    <w:p/>
    <w:p>
      <w:pPr>
        <w:pStyle w:val="Heading1"/>
      </w:pPr>
      <w:r>
        <w:t>Testing and simulation</w:t>
      </w:r>
    </w:p>
    <w:p>
      <w:pPr>
        <w:spacing w:after="200"/>
      </w:pPr>
      <w:r>
        <w:rPr>
          <w:b w:val="0"/>
          <w:i/>
          <w:color w:val="6B6660"/>
          <w:sz w:val="19"/>
        </w:rPr>
        <w:t>These prove the design works. Run them yourself and record what actually happened — a simulation that exposed a problem you then fixed is worth more than one you skipped.</w:t>
      </w:r>
    </w:p>
    <w:p>
      <w:pPr>
        <w:spacing w:before="200" w:after="0"/>
      </w:pPr>
      <w:r>
        <w:rPr>
          <w:b/>
          <w:color w:val="1F5A5C"/>
          <w:sz w:val="16"/>
        </w:rPr>
        <w:t>TEST T1</w:t>
      </w:r>
    </w:p>
    <w:p>
      <w:pPr>
        <w:pStyle w:val="Heading2"/>
      </w:pPr>
      <w:r>
        <w:rPr>
          <w:color w:val="1F5A5C"/>
        </w:rPr>
        <w:t>Confirm every tier still works, in both zones</w:t>
      </w:r>
    </w:p>
    <w:p>
      <w:pPr>
        <w:spacing w:after="120"/>
      </w:pPr>
      <w:r>
        <w:rPr>
          <w:b w:val="0"/>
          <w:i w:val="0"/>
          <w:sz w:val="21"/>
        </w:rPr>
        <w:t>Before you break anything deliberately, confirm the environment you have just changed is healthy. A simulation against a broken environment tells you nothing.</w:t>
      </w:r>
    </w:p>
    <w:p>
      <w:pPr>
        <w:spacing w:after="60"/>
        <w:ind w:left="340"/>
      </w:pPr>
      <w:r>
        <w:rPr>
          <w:b/>
          <w:sz w:val="21"/>
        </w:rPr>
        <w:t xml:space="preserve">1.  </w:t>
      </w:r>
      <w:r>
        <w:rPr>
          <w:b w:val="0"/>
          <w:sz w:val="21"/>
        </w:rPr>
        <w:t>Open the load balancer's DNS name in a browser — with http:// in front — and confirm the placeholder page loads.</w:t>
      </w:r>
    </w:p>
    <w:p>
      <w:pPr>
        <w:spacing w:after="60"/>
        <w:ind w:left="340"/>
      </w:pPr>
      <w:r>
        <w:rPr>
          <w:b/>
          <w:sz w:val="21"/>
        </w:rPr>
        <w:t xml:space="preserve">2.  </w:t>
      </w:r>
      <w:r>
        <w:rPr>
          <w:b w:val="0"/>
          <w:sz w:val="21"/>
        </w:rPr>
        <w:t>Open the target group and confirm both instances are healthy, in two different zones.</w:t>
      </w:r>
    </w:p>
    <w:p>
      <w:pPr>
        <w:spacing w:after="60"/>
        <w:ind w:left="340"/>
      </w:pPr>
      <w:r>
        <w:rPr>
          <w:b/>
          <w:sz w:val="21"/>
        </w:rPr>
        <w:t xml:space="preserve">3.  </w:t>
      </w:r>
      <w:r>
        <w:rPr>
          <w:b w:val="0"/>
          <w:sz w:val="21"/>
        </w:rPr>
        <w:t>Connect to one instance with Session Manager and run the first command below. TcpTestSucceeded : True means the application tier reaches the database privately. Get the endpoint from RDS → Databases → your database → Connectivity &amp; security.</w:t>
      </w:r>
    </w:p>
    <w:p>
      <w:pPr>
        <w:spacing w:after="60"/>
        <w:ind w:left="340"/>
      </w:pPr>
      <w:r>
        <w:rPr>
          <w:b/>
          <w:sz w:val="21"/>
        </w:rPr>
        <w:t xml:space="preserve">4.  </w:t>
      </w:r>
      <w:r>
        <w:rPr>
          <w:b w:val="0"/>
          <w:sz w:val="21"/>
        </w:rPr>
        <w:t>Now run the same command on your OWN computer, not on the instance — the second one below. It must FAIL. That timeout is the evidence: the database has no public address and its security group accepts the application tier only. Confirm it alongside RDS → Connectivity &amp; security, where Publicly accessible reads No.</w:t>
      </w:r>
    </w:p>
    <w:p/>
    <w:p>
      <w:pPr>
        <w:spacing w:after="60"/>
      </w:pPr>
      <w:r>
        <w:rPr>
          <w:b/>
          <w:i w:val="0"/>
          <w:sz w:val="21"/>
        </w:rPr>
        <w:t>Run these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spacing w:after="0"/>
            </w:pPr>
            <w:r>
              <w:rPr>
                <w:rFonts w:ascii="Consolas" w:hAnsi="Consolas"/>
                <w:sz w:val="18"/>
              </w:rPr>
              <w:t># on the instance, via Session Manager - expect TcpTestSucceeded : True</w:t>
            </w:r>
          </w:p>
          <w:p>
            <w:pPr>
              <w:spacing w:after="0"/>
            </w:pPr>
            <w:r>
              <w:rPr>
                <w:rFonts w:ascii="Consolas" w:hAnsi="Consolas"/>
                <w:sz w:val="18"/>
              </w:rPr>
              <w:t>Test-NetConnection &lt;YOUR-DB-ENDPOINT&gt; -Port 3306</w:t>
            </w:r>
          </w:p>
          <w:p>
            <w:pPr>
              <w:spacing w:after="0"/>
            </w:pPr>
            <w:r>
              <w:rPr>
                <w:rFonts w:ascii="Consolas" w:hAnsi="Consolas"/>
                <w:sz w:val="18"/>
              </w:rPr>
            </w:r>
          </w:p>
          <w:p>
            <w:pPr>
              <w:spacing w:after="0"/>
            </w:pPr>
            <w:r>
              <w:rPr>
                <w:rFonts w:ascii="Consolas" w:hAnsi="Consolas"/>
                <w:sz w:val="18"/>
              </w:rPr>
              <w:t># on your own computer - expect it to time out and fail</w:t>
            </w:r>
          </w:p>
          <w:p>
            <w:pPr>
              <w:spacing w:after="0"/>
            </w:pPr>
            <w:r>
              <w:rPr>
                <w:rFonts w:ascii="Consolas" w:hAnsi="Consolas"/>
                <w:sz w:val="18"/>
              </w:rPr>
              <w:t># Windows, in PowerShell:</w:t>
            </w:r>
          </w:p>
          <w:p>
            <w:pPr>
              <w:spacing w:after="0"/>
            </w:pPr>
            <w:r>
              <w:rPr>
                <w:rFonts w:ascii="Consolas" w:hAnsi="Consolas"/>
                <w:sz w:val="18"/>
              </w:rPr>
              <w:t>Test-NetConnection &lt;YOUR-DB-ENDPOINT&gt; -Port 3306</w:t>
            </w:r>
          </w:p>
          <w:p>
            <w:pPr>
              <w:spacing w:after="0"/>
            </w:pPr>
            <w:r>
              <w:rPr>
                <w:rFonts w:ascii="Consolas" w:hAnsi="Consolas"/>
                <w:sz w:val="18"/>
              </w:rPr>
              <w:t># macOS or Linux, in Terminal:</w:t>
            </w:r>
          </w:p>
          <w:p>
            <w:pPr>
              <w:spacing w:after="0"/>
            </w:pPr>
            <w:r>
              <w:rPr>
                <w:rFonts w:ascii="Consolas" w:hAnsi="Consolas"/>
                <w:sz w:val="18"/>
              </w:rPr>
              <w:t>nc -zv -w 10 &lt;YOUR-DB-ENDPOINT&gt; 3306</w:t>
            </w:r>
          </w:p>
        </w:tc>
      </w:tr>
    </w:tbl>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browser showing the page, the target group showing two healthy targets in two zones, the port test from the instance returning TcpTestSucceeded : True, and the same test from your own computer failing.</w:t>
            </w:r>
          </w:p>
        </w:tc>
      </w:tr>
    </w:tbl>
    <w:p/>
    <w:p>
      <w:pPr>
        <w:spacing w:before="200" w:after="0"/>
      </w:pPr>
      <w:r>
        <w:rPr>
          <w:b/>
          <w:color w:val="1F5A5C"/>
          <w:sz w:val="16"/>
        </w:rPr>
        <w:t>TEST T2</w:t>
      </w:r>
    </w:p>
    <w:p>
      <w:pPr>
        <w:pStyle w:val="Heading2"/>
      </w:pPr>
      <w:r>
        <w:rPr>
          <w:color w:val="1F5A5C"/>
        </w:rPr>
        <w:t>Failure simulation</w:t>
      </w:r>
    </w:p>
    <w:p>
      <w:pPr>
        <w:spacing w:after="120"/>
      </w:pPr>
      <w:r>
        <w:rPr>
          <w:b w:val="0"/>
          <w:i w:val="0"/>
          <w:sz w:val="21"/>
        </w:rPr>
        <w:t>Run the failure simulation you planned in task 18. Watch what happens to the LMS while you do it — that is the evidence, not the console screen afterwards.</w:t>
      </w:r>
    </w:p>
    <w:p>
      <w:pPr>
        <w:spacing w:after="60"/>
        <w:ind w:left="340"/>
      </w:pPr>
      <w:r>
        <w:rPr>
          <w:b/>
          <w:sz w:val="21"/>
        </w:rPr>
        <w:t xml:space="preserve">1.  </w:t>
      </w:r>
      <w:r>
        <w:rPr>
          <w:b w:val="0"/>
          <w:sz w:val="21"/>
        </w:rPr>
        <w:t>Open the load balancer's address in a browser (http://, not https://) and set it refreshing, or keep reloading it by hand. This is how you will see whether the LMS stayed up.</w:t>
      </w:r>
    </w:p>
    <w:p>
      <w:pPr>
        <w:spacing w:after="60"/>
        <w:ind w:left="340"/>
      </w:pPr>
      <w:r>
        <w:rPr>
          <w:b/>
          <w:sz w:val="21"/>
        </w:rPr>
        <w:t xml:space="preserve">2.  </w:t>
      </w:r>
      <w:r>
        <w:rPr>
          <w:b w:val="0"/>
          <w:sz w:val="21"/>
        </w:rPr>
        <w:t>Execute the failure you planned — terminate an instance, or reboot the database with failover.</w:t>
      </w:r>
    </w:p>
    <w:p>
      <w:pPr>
        <w:spacing w:after="60"/>
        <w:ind w:left="340"/>
      </w:pPr>
      <w:r>
        <w:rPr>
          <w:b/>
          <w:sz w:val="21"/>
        </w:rPr>
        <w:t xml:space="preserve">3.  </w:t>
      </w:r>
      <w:r>
        <w:rPr>
          <w:b w:val="0"/>
          <w:sz w:val="21"/>
        </w:rPr>
        <w:t>Record the time it happened, what the browser did, and how long before it was normal again.</w:t>
      </w:r>
    </w:p>
    <w:p>
      <w:pPr>
        <w:spacing w:after="60"/>
        <w:ind w:left="340"/>
      </w:pPr>
      <w:r>
        <w:rPr>
          <w:b/>
          <w:sz w:val="21"/>
        </w:rPr>
        <w:t xml:space="preserve">4.  </w:t>
      </w:r>
      <w:r>
        <w:rPr>
          <w:b w:val="0"/>
          <w:sz w:val="21"/>
        </w:rPr>
        <w:t>Confirm the environment recovered — the Auto Scaling group replaced the instance, or the database came back on its standby.</w:t>
      </w:r>
    </w:p>
    <w:p/>
    <w:p>
      <w:pPr>
        <w:spacing w:before="80" w:after="160"/>
        <w:ind w:left="227"/>
      </w:pPr>
      <w:r>
        <w:rPr>
          <w:b/>
          <w:color w:val="C5613B"/>
          <w:sz w:val="19"/>
        </w:rPr>
        <w:t xml:space="preserve">Environment constraint </w:t>
      </w:r>
      <w:r>
        <w:rPr>
          <w:i/>
          <w:color w:val="C5613B"/>
          <w:sz w:val="19"/>
        </w:rPr>
        <w:t>if the LMS goes down and stays down, stop and fix it before continuing. A failed simulation you recovered from and documented is worth more than one you skipped.</w:t>
      </w:r>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three things, whichever simulation you ran: the ACTION you took (the terminating instance, or the RDS event showing the failover); the SERVICE while it happened (your browser still loading the page — include a clock or timestamp if you can); and the RECOVERY (the Auto Scaling group activity showing the replacement, or the target group returning to healthy). If the service did go down, capture that honestly — a recorded outage is evidence, and you compare it against what you predicted in task 18.</w:t>
            </w:r>
          </w:p>
        </w:tc>
      </w:tr>
    </w:tbl>
    <w:p/>
    <w:p>
      <w:pPr>
        <w:spacing w:before="200" w:after="0"/>
      </w:pPr>
      <w:r>
        <w:rPr>
          <w:b/>
          <w:color w:val="1F5A5C"/>
          <w:sz w:val="16"/>
        </w:rPr>
        <w:t>TEST T3</w:t>
      </w:r>
    </w:p>
    <w:p>
      <w:pPr>
        <w:pStyle w:val="Heading2"/>
      </w:pPr>
      <w:r>
        <w:rPr>
          <w:color w:val="1F5A5C"/>
        </w:rPr>
        <w:t>Resize simulation</w:t>
      </w:r>
    </w:p>
    <w:p>
      <w:pPr>
        <w:spacing w:after="120"/>
      </w:pPr>
      <w:r>
        <w:rPr>
          <w:b w:val="0"/>
          <w:i w:val="0"/>
          <w:sz w:val="21"/>
        </w:rPr>
        <w:t>Run the resize simulation you planned in task 18, and measure what it costs in availability.</w:t>
      </w:r>
    </w:p>
    <w:p>
      <w:pPr>
        <w:spacing w:after="60"/>
        <w:ind w:left="340"/>
      </w:pPr>
      <w:r>
        <w:rPr>
          <w:b/>
          <w:sz w:val="21"/>
        </w:rPr>
        <w:t xml:space="preserve">1.  </w:t>
      </w:r>
      <w:r>
        <w:rPr>
          <w:b w:val="0"/>
          <w:sz w:val="21"/>
        </w:rPr>
        <w:t>Keep the browser refreshing against the load balancer.</w:t>
      </w:r>
    </w:p>
    <w:p>
      <w:pPr>
        <w:spacing w:after="60"/>
        <w:ind w:left="340"/>
      </w:pPr>
      <w:r>
        <w:rPr>
          <w:b/>
          <w:sz w:val="21"/>
        </w:rPr>
        <w:t xml:space="preserve">2.  </w:t>
      </w:r>
      <w:r>
        <w:rPr>
          <w:b w:val="0"/>
          <w:sz w:val="21"/>
        </w:rPr>
        <w:t>Execute the resize you planned — change the desired capacity, or the database instance class.</w:t>
      </w:r>
    </w:p>
    <w:p>
      <w:pPr>
        <w:spacing w:after="60"/>
        <w:ind w:left="340"/>
      </w:pPr>
      <w:r>
        <w:rPr>
          <w:b/>
          <w:sz w:val="21"/>
        </w:rPr>
        <w:t xml:space="preserve">3.  </w:t>
      </w:r>
      <w:r>
        <w:rPr>
          <w:b w:val="0"/>
          <w:sz w:val="21"/>
        </w:rPr>
        <w:t>Record how long the change took and whether the LMS was affected at any point.</w:t>
      </w:r>
    </w:p>
    <w:p>
      <w:pPr>
        <w:spacing w:after="60"/>
        <w:ind w:left="340"/>
      </w:pPr>
      <w:r>
        <w:rPr>
          <w:b/>
          <w:sz w:val="21"/>
        </w:rPr>
        <w:t xml:space="preserve">4.  </w:t>
      </w:r>
      <w:r>
        <w:rPr>
          <w:b w:val="0"/>
          <w:sz w:val="21"/>
        </w:rPr>
        <w:t>Return the setting to where it was.</w:t>
      </w:r>
    </w:p>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resize in progress or complete, and what the service did while it happened.</w:t>
            </w:r>
          </w:p>
        </w:tc>
      </w:tr>
    </w:tbl>
    <w:p/>
    <w:p>
      <w:pPr>
        <w:spacing w:before="200" w:after="0"/>
      </w:pPr>
      <w:r>
        <w:rPr>
          <w:b/>
          <w:color w:val="1F5A5C"/>
          <w:sz w:val="16"/>
        </w:rPr>
        <w:t>TEST T4</w:t>
      </w:r>
    </w:p>
    <w:p>
      <w:pPr>
        <w:pStyle w:val="Heading2"/>
      </w:pPr>
      <w:r>
        <w:rPr>
          <w:color w:val="1F5A5C"/>
        </w:rPr>
        <w:t>Measure availability across the window</w:t>
      </w:r>
    </w:p>
    <w:p>
      <w:pPr>
        <w:spacing w:after="120"/>
      </w:pPr>
      <w:r>
        <w:rPr>
          <w:b w:val="0"/>
          <w:i w:val="0"/>
          <w:sz w:val="21"/>
        </w:rPr>
        <w:t>You have been changing a production system for the last few hours. Report what the LMS's availability actually was across that time, and say how you measured it.</w:t>
      </w:r>
    </w:p>
    <w:p>
      <w:pPr>
        <w:spacing w:after="60"/>
        <w:ind w:left="340"/>
      </w:pPr>
      <w:r>
        <w:rPr>
          <w:b/>
          <w:sz w:val="21"/>
        </w:rPr>
        <w:t xml:space="preserve">1.  </w:t>
      </w:r>
      <w:r>
        <w:rPr>
          <w:b w:val="0"/>
          <w:sz w:val="21"/>
        </w:rPr>
        <w:t>Open the load balancer's monitoring, or the target group's healthy-host metric, for the period of your maintenance window.</w:t>
      </w:r>
    </w:p>
    <w:p>
      <w:pPr>
        <w:spacing w:after="60"/>
        <w:ind w:left="340"/>
      </w:pPr>
      <w:r>
        <w:rPr>
          <w:b/>
          <w:sz w:val="21"/>
        </w:rPr>
        <w:t xml:space="preserve">2.  </w:t>
      </w:r>
      <w:r>
        <w:rPr>
          <w:b w:val="0"/>
          <w:sz w:val="21"/>
        </w:rPr>
        <w:t>Identify every period where the service was not serving — your simulations will show up here.</w:t>
      </w:r>
    </w:p>
    <w:p>
      <w:pPr>
        <w:spacing w:after="60"/>
        <w:ind w:left="340"/>
      </w:pPr>
      <w:r>
        <w:rPr>
          <w:b/>
          <w:sz w:val="21"/>
        </w:rPr>
        <w:t xml:space="preserve">3.  </w:t>
      </w:r>
      <w:r>
        <w:rPr>
          <w:b w:val="0"/>
          <w:sz w:val="21"/>
        </w:rPr>
        <w:t>Write one or two sentences reading the graph: whether the service stayed up, and what any dips were. A dip in one zone is not an outage if the other kept serving.</w:t>
      </w:r>
    </w:p>
    <w:p>
      <w:pPr>
        <w:spacing w:after="60"/>
        <w:ind w:left="340"/>
      </w:pPr>
      <w:r>
        <w:rPr>
          <w:b/>
          <w:sz w:val="21"/>
        </w:rPr>
        <w:t xml:space="preserve">4.  </w:t>
      </w:r>
      <w:r>
        <w:rPr>
          <w:b w:val="0"/>
          <w:sz w:val="21"/>
        </w:rPr>
        <w:t>Note the time range on the capture, so the period it covers is unambiguous.</w:t>
      </w:r>
    </w:p>
    <w:p/>
    <w:p>
      <w:pPr>
        <w:spacing w:after="60"/>
      </w:pPr>
      <w:r>
        <w:rPr>
          <w:b/>
          <w:i w:val="0"/>
          <w:sz w:val="21"/>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PASTE YOUR SCREENSHOT HERE ]</w:t>
            </w:r>
          </w:p>
          <w:p>
            <w:pPr>
              <w:jc w:val="left"/>
            </w:pPr>
            <w:r>
              <w:rPr>
                <w:b w:val="0"/>
                <w:i/>
                <w:color w:val="6B6660"/>
                <w:sz w:val="19"/>
              </w:rPr>
              <w:t>the metric graph across the whole window, both zones of the current target group, with the time range visible.</w:t>
            </w:r>
          </w:p>
        </w:tc>
      </w:tr>
    </w:tbl>
    <w:p/>
    <w:p>
      <w:pPr>
        <w:pStyle w:val="Heading1"/>
      </w:pPr>
      <w:r>
        <w:t>Closing the engagement</w:t>
      </w:r>
    </w:p>
    <w:p>
      <w:pPr>
        <w:spacing w:before="200" w:after="0"/>
      </w:pPr>
      <w:r>
        <w:rPr>
          <w:b/>
          <w:color w:val="1F5A5C"/>
          <w:sz w:val="16"/>
        </w:rPr>
        <w:t>TASK 25</w:t>
      </w:r>
    </w:p>
    <w:p>
      <w:pPr>
        <w:pStyle w:val="Heading2"/>
      </w:pPr>
      <w:r>
        <w:rPr>
          <w:color w:val="1F5A5C"/>
        </w:rPr>
        <w:t>What actually happened, against what you predicted</w:t>
      </w:r>
    </w:p>
    <w:p>
      <w:pPr>
        <w:spacing w:after="120"/>
      </w:pPr>
      <w:r>
        <w:rPr>
          <w:b w:val="0"/>
          <w:i w:val="0"/>
          <w:sz w:val="21"/>
        </w:rPr>
        <w:t>Go back to task 18. For each simulation, put your expected outcome next to what actually happened. Where they differ, say why. Where they matched, say what that confirms about your design.</w:t>
      </w:r>
    </w:p>
    <w:tbl>
      <w:tblPr>
        <w:tblW w:type="auto" w:w="0"/>
        <w:tblLook w:firstColumn="1" w:firstRow="1" w:lastColumn="0" w:lastRow="0" w:noHBand="0" w:noVBand="1" w:val="04A0"/>
      </w:tblPr>
      <w:tblGrid>
        <w:gridCol w:w="2616"/>
        <w:gridCol w:w="2616"/>
        <w:gridCol w:w="2616"/>
        <w:gridCol w:w="2616"/>
      </w:tblGrid>
      <w:tr>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What you expected (task 18)</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What actually happened</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Why they differ</w:t>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bl>
    <w:p/>
    <w:p>
      <w:pPr>
        <w:spacing w:before="200" w:after="0"/>
      </w:pPr>
      <w:r>
        <w:rPr>
          <w:b/>
          <w:color w:val="1F5A5C"/>
          <w:sz w:val="16"/>
        </w:rPr>
        <w:t>TASK 26</w:t>
      </w:r>
    </w:p>
    <w:p>
      <w:pPr>
        <w:pStyle w:val="Heading2"/>
      </w:pPr>
      <w:r>
        <w:rPr>
          <w:color w:val="1F5A5C"/>
        </w:rPr>
        <w:t>What you changed as a result</w:t>
      </w:r>
    </w:p>
    <w:p>
      <w:pPr>
        <w:spacing w:after="120"/>
      </w:pPr>
      <w:r>
        <w:rPr>
          <w:b w:val="0"/>
          <w:i w:val="0"/>
          <w:sz w:val="21"/>
        </w:rPr>
        <w:t>Did your simulations reveal anything you needed to fix? If so, say what you changed and why. If nothing needed changing, say that — and say what evidence makes you confident, rather than just that nothing broke.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p>
      <w:pPr>
        <w:spacing w:before="200" w:after="0"/>
      </w:pPr>
      <w:r>
        <w:rPr>
          <w:b/>
          <w:color w:val="1F5A5C"/>
          <w:sz w:val="16"/>
        </w:rPr>
        <w:t>TASK 27</w:t>
      </w:r>
    </w:p>
    <w:p>
      <w:pPr>
        <w:pStyle w:val="Heading2"/>
      </w:pPr>
      <w:r>
        <w:rPr>
          <w:color w:val="1F5A5C"/>
        </w:rPr>
        <w:t>Hand it over</w:t>
      </w:r>
    </w:p>
    <w:p>
      <w:pPr>
        <w:spacing w:after="120"/>
      </w:pPr>
      <w:r>
        <w:rPr>
          <w:b w:val="0"/>
          <w:i w:val="0"/>
          <w:sz w:val="21"/>
        </w:rPr>
        <w:t>Take your completed work to Sam Walker, the YAT ICT Manager — your assessor plays this role. Walk them through what you changed and what the simulations showed. Record the feedback you get, your response to it, and anything you changed as a result.</w:t>
      </w:r>
    </w:p>
    <w:p>
      <w:pPr>
        <w:spacing w:after="60"/>
      </w:pPr>
      <w:r>
        <w:rPr>
          <w:b/>
          <w:i w:val="0"/>
          <w:sz w:val="19"/>
        </w:rPr>
        <w:t>Related resources</w:t>
      </w:r>
    </w:p>
    <w:p>
      <w:pPr>
        <w:spacing w:after="60"/>
        <w:ind w:left="340"/>
      </w:pPr>
      <w:r>
        <w:rPr>
          <w:sz w:val="19"/>
        </w:rPr>
        <w:t xml:space="preserve">•  </w:t>
      </w:r>
      <w:hyperlink r:id="rId25">
        <w:r>
          <w:rPr>
            <w:sz w:val="19"/>
            <w:color w:val="0563C1"/>
            <w:u w:val="single"/>
          </w:rPr>
          <w:t>Change Management Procedure — the feedback and approval steps this engagement closes through</w:t>
        </w:r>
      </w:hyperlink>
    </w:p>
    <w:p/>
    <w:tbl>
      <w:tblPr>
        <w:tblW w:type="auto" w:w="0"/>
        <w:tblLook w:firstColumn="1" w:firstRow="1" w:lastColumn="0" w:lastRow="0" w:noHBand="0" w:noVBand="1" w:val="04A0"/>
      </w:tblPr>
      <w:tblGrid>
        <w:gridCol w:w="2616"/>
        <w:gridCol w:w="2616"/>
        <w:gridCol w:w="2616"/>
        <w:gridCol w:w="2616"/>
      </w:tblGrid>
      <w:tr>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Feedback received</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From</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Your response</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What you changed</w:t>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c>
          <w:tcPr>
            <w:tcW w:type="dxa" w:w="2616"/>
            <w:tcBorders>
              <w:top w:val="single" w:sz="4" w:space="0" w:color="E4DED3"/>
              <w:left w:val="single" w:sz="4" w:space="0" w:color="E4DED3"/>
              <w:bottom w:val="single" w:sz="4" w:space="0" w:color="E4DED3"/>
              <w:right w:val="single" w:sz="4" w:space="0" w:color="E4DED3"/>
            </w:tcBorders>
          </w:tcPr>
          <w:p>
            <w:r>
              <w:rPr>
                <w:sz w:val="18"/>
              </w:rPr>
            </w:r>
          </w:p>
        </w:tc>
      </w:tr>
    </w:tbl>
    <w:p/>
    <w:p>
      <w:pPr>
        <w:spacing w:before="200" w:after="0"/>
      </w:pPr>
      <w:r>
        <w:rPr>
          <w:b/>
          <w:color w:val="1F5A5C"/>
          <w:sz w:val="16"/>
        </w:rPr>
        <w:t>TASK 28</w:t>
      </w:r>
    </w:p>
    <w:p>
      <w:pPr>
        <w:pStyle w:val="Heading2"/>
      </w:pPr>
      <w:r>
        <w:rPr>
          <w:color w:val="1F5A5C"/>
        </w:rPr>
        <w:t>File it</w:t>
      </w:r>
    </w:p>
    <w:p>
      <w:pPr>
        <w:spacing w:after="120"/>
      </w:pPr>
      <w:r>
        <w:rPr>
          <w:b w:val="0"/>
          <w:i w:val="0"/>
          <w:sz w:val="21"/>
        </w:rPr>
        <w:t>File this completed workbook where YAT's records procedures require, so YAT ICT can find it after the engagement ends. State where you filed it and which YAT policy required that location.</w:t>
      </w:r>
    </w:p>
    <w:p>
      <w:pPr>
        <w:spacing w:after="60"/>
      </w:pPr>
      <w:r>
        <w:rPr>
          <w:b/>
          <w:i w:val="0"/>
          <w:sz w:val="19"/>
        </w:rPr>
        <w:t>Related resources</w:t>
      </w:r>
    </w:p>
    <w:p>
      <w:pPr>
        <w:spacing w:after="60"/>
        <w:ind w:left="340"/>
      </w:pPr>
      <w:r>
        <w:rPr>
          <w:sz w:val="19"/>
        </w:rPr>
        <w:t xml:space="preserve">•  </w:t>
      </w:r>
      <w:hyperlink r:id="rId19">
        <w:r>
          <w:rPr>
            <w:sz w:val="19"/>
            <w:color w:val="0563C1"/>
            <w:u w:val="single"/>
          </w:rPr>
          <w:t>Records Management Policy — where a completed engagement document has to be filed</w:t>
        </w:r>
      </w:hyperlink>
    </w:p>
    <w:p>
      <w:pPr>
        <w:spacing w:after="60"/>
        <w:ind w:left="340"/>
      </w:pPr>
      <w:r>
        <w:rPr>
          <w:sz w:val="19"/>
        </w:rPr>
        <w:t xml:space="preserve">•  </w:t>
      </w:r>
      <w:hyperlink r:id="rId26">
        <w:r>
          <w:rPr>
            <w:sz w:val="19"/>
            <w:color w:val="0563C1"/>
            <w:u w:val="single"/>
          </w:rPr>
          <w:t>Backup and Retention Policy — how long it has to be kept once it is there</w:t>
        </w:r>
      </w:hyperlink>
    </w:p>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p>
      <w:pPr>
        <w:pStyle w:val="Heading1"/>
      </w:pPr>
      <w:r>
        <w:t>Knowledge questions</w:t>
      </w:r>
    </w:p>
    <w:p>
      <w:pPr>
        <w:spacing w:after="200"/>
      </w:pPr>
      <w:r>
        <w:rPr>
          <w:b w:val="0"/>
          <w:i/>
          <w:color w:val="6B6660"/>
          <w:sz w:val="19"/>
        </w:rPr>
        <w:t>Answer each question about your own design and your own build. Refer to what you actually decided and what actually happened.</w:t>
      </w:r>
    </w:p>
    <w:p>
      <w:pPr>
        <w:spacing w:before="200" w:after="0"/>
      </w:pPr>
      <w:r>
        <w:rPr>
          <w:b/>
          <w:color w:val="1F5A5C"/>
          <w:sz w:val="16"/>
        </w:rPr>
        <w:t>KNOWLEDGE QUESTION 1</w:t>
      </w:r>
    </w:p>
    <w:p>
      <w:pPr>
        <w:pStyle w:val="Heading2"/>
      </w:pPr>
      <w:r>
        <w:rPr>
          <w:color w:val="1F5A5C"/>
        </w:rPr>
        <w:t>Choose at least three of these and explain each in your own words, the…</w:t>
      </w:r>
    </w:p>
    <w:p>
      <w:pPr>
        <w:spacing w:after="120"/>
      </w:pPr>
      <w:r>
        <w:rPr>
          <w:b w:val="0"/>
          <w:i w:val="0"/>
          <w:sz w:val="21"/>
        </w:rPr>
        <w:t>Choose at least three of these and explain each in your own words, then say where it appears in your own work and how it shaped a decision you made: fault tolerance, single points of failure, reliability (MTTF / MTTR / MTBF), recoverability (RPO / RTO), service level agreements, vertical versus horizontal scalability.</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p>
      <w:pPr>
        <w:spacing w:before="200" w:after="0"/>
      </w:pPr>
      <w:r>
        <w:rPr>
          <w:b/>
          <w:color w:val="1F5A5C"/>
          <w:sz w:val="16"/>
        </w:rPr>
        <w:t>KNOWLEDGE QUESTION 2</w:t>
      </w:r>
    </w:p>
    <w:p>
      <w:pPr>
        <w:pStyle w:val="Heading2"/>
      </w:pPr>
      <w:r>
        <w:rPr>
          <w:color w:val="1F5A5C"/>
        </w:rPr>
        <w:t>From your own testing: (a) how did you avoid creating a new single poi…</w:t>
      </w:r>
    </w:p>
    <w:p>
      <w:pPr>
        <w:spacing w:after="120"/>
      </w:pPr>
      <w:r>
        <w:rPr>
          <w:b w:val="0"/>
          <w:i w:val="0"/>
          <w:sz w:val="21"/>
        </w:rPr>
        <w:t>From your own testing: (a) how did you avoid creating a new single point of failure while you were testing? (b) something did not go as expected at some point — how did you work out what was causing it? If nothing went wrong, describe how you would have isolated the most likely problem.</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p>
      <w:pPr>
        <w:spacing w:before="200" w:after="0"/>
      </w:pPr>
      <w:r>
        <w:rPr>
          <w:b/>
          <w:color w:val="1F5A5C"/>
          <w:sz w:val="16"/>
        </w:rPr>
        <w:t>KNOWLEDGE QUESTION 3</w:t>
      </w:r>
    </w:p>
    <w:p>
      <w:pPr>
        <w:pStyle w:val="Heading2"/>
      </w:pPr>
      <w:r>
        <w:rPr>
          <w:color w:val="1F5A5C"/>
        </w:rPr>
        <w:t>Which tools did you use to measure the availability impact of a failur…</w:t>
      </w:r>
    </w:p>
    <w:p>
      <w:pPr>
        <w:spacing w:after="120"/>
      </w:pPr>
      <w:r>
        <w:rPr>
          <w:b w:val="0"/>
          <w:i w:val="0"/>
          <w:sz w:val="21"/>
        </w:rPr>
        <w:t>Which tools did you use to measure the availability impact of a failure? Show the calculation you did for one specific simulation, using your own timing data, and name one thing your method could not see.</w:t>
      </w:r>
    </w:p>
    <w:p>
      <w:pPr>
        <w:spacing w:after="60"/>
      </w:pPr>
      <w:r>
        <w:rPr>
          <w:b/>
          <w:i w:val="0"/>
          <w:sz w:val="19"/>
        </w:rPr>
        <w:t>Related resources</w:t>
      </w:r>
    </w:p>
    <w:p>
      <w:pPr>
        <w:spacing w:after="60"/>
        <w:ind w:left="340"/>
      </w:pPr>
      <w:r>
        <w:rPr>
          <w:sz w:val="19"/>
        </w:rPr>
        <w:t xml:space="preserve">•  </w:t>
      </w:r>
      <w:hyperlink r:id="rId18">
        <w:r>
          <w:rPr>
            <w:sz w:val="19"/>
            <w:color w:val="0563C1"/>
            <w:u w:val="single"/>
          </w:rPr>
          <w:t>LMS Cloud Migration Requirements — the availability target your measurement is reported against</w:t>
        </w:r>
      </w:hyperlink>
    </w:p>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p>
      <w:pPr>
        <w:spacing w:before="200" w:after="0"/>
      </w:pPr>
      <w:r>
        <w:rPr>
          <w:b/>
          <w:color w:val="1F5A5C"/>
          <w:sz w:val="16"/>
        </w:rPr>
        <w:t>KNOWLEDGE QUESTION 4</w:t>
      </w:r>
    </w:p>
    <w:p>
      <w:pPr>
        <w:pStyle w:val="Heading2"/>
      </w:pPr>
      <w:r>
        <w:rPr>
          <w:color w:val="1F5A5C"/>
        </w:rPr>
        <w:t>For the services in your environment — the load balancer, the database…</w:t>
      </w:r>
    </w:p>
    <w:p>
      <w:pPr>
        <w:spacing w:after="120"/>
      </w:pPr>
      <w:r>
        <w:rPr>
          <w:b w:val="0"/>
          <w:i w:val="0"/>
          <w:sz w:val="21"/>
        </w:rPr>
        <w:t>For the services in your environment — the load balancer, the database, object storage — explain which fault tolerance AWS provides for you and which you had to design yourself. Be precise about where the line falls for each.</w:t>
      </w:r>
    </w:p>
    <w:p>
      <w:pPr>
        <w:spacing w:after="60"/>
      </w:pPr>
      <w:r>
        <w:rPr>
          <w:b/>
          <w:i w:val="0"/>
          <w:sz w:val="19"/>
        </w:rPr>
        <w:t>Related resources</w:t>
      </w:r>
    </w:p>
    <w:p>
      <w:pPr>
        <w:spacing w:after="60"/>
        <w:ind w:left="340"/>
      </w:pPr>
      <w:r>
        <w:rPr>
          <w:sz w:val="19"/>
        </w:rPr>
        <w:t xml:space="preserve">•  </w:t>
      </w:r>
      <w:hyperlink r:id="rId23">
        <w:r>
          <w:rPr>
            <w:sz w:val="19"/>
            <w:color w:val="0563C1"/>
            <w:u w:val="single"/>
          </w:rPr>
          <w:t>LMS Cloud Architecture — Baseline Design — which services the environment uses, so you can draw the responsibility line for each</w:t>
        </w:r>
      </w:hyperlink>
    </w:p>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p>
      <w:pPr>
        <w:spacing w:before="200" w:after="0"/>
      </w:pPr>
      <w:r>
        <w:rPr>
          <w:b/>
          <w:color w:val="1F5A5C"/>
          <w:sz w:val="16"/>
        </w:rPr>
        <w:t>KNOWLEDGE QUESTION 5</w:t>
      </w:r>
    </w:p>
    <w:p>
      <w:pPr>
        <w:pStyle w:val="Heading2"/>
      </w:pPr>
      <w:r>
        <w:rPr>
          <w:color w:val="1F5A5C"/>
        </w:rPr>
        <w:t>Load balancing and autoscaling deliver something together that neither…</w:t>
      </w:r>
    </w:p>
    <w:p>
      <w:pPr>
        <w:spacing w:after="120"/>
      </w:pPr>
      <w:r>
        <w:rPr>
          <w:b w:val="0"/>
          <w:i w:val="0"/>
          <w:sz w:val="21"/>
        </w:rPr>
        <w:t>Load balancing and autoscaling deliver something together that neither delivers alone. Explain what, then point to the specific moment in your own testing where that combination was what kept the LMS up.</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p>
      <w:pPr>
        <w:spacing w:before="200" w:after="0"/>
      </w:pPr>
      <w:r>
        <w:rPr>
          <w:b/>
          <w:color w:val="1F5A5C"/>
          <w:sz w:val="16"/>
        </w:rPr>
        <w:t>KNOWLEDGE QUESTION 6</w:t>
      </w:r>
    </w:p>
    <w:p>
      <w:pPr>
        <w:pStyle w:val="Heading2"/>
      </w:pPr>
      <w:r>
        <w:rPr>
          <w:color w:val="1F5A5C"/>
        </w:rPr>
        <w:t>Name one high-availability metric you configured in task 12 and built …</w:t>
      </w:r>
    </w:p>
    <w:p>
      <w:pPr>
        <w:spacing w:after="120"/>
      </w:pPr>
      <w:r>
        <w:rPr>
          <w:b w:val="0"/>
          <w:i w:val="0"/>
          <w:sz w:val="21"/>
        </w:rPr>
        <w:t>Name one high-availability metric you configured in task 12 and built in task 24. State what it measures, the threshold you set, why that threshold, and the failure it would catch that the baseline alarms would have missed.</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p>
      <w:pPr>
        <w:pStyle w:val="Heading1"/>
      </w:pPr>
      <w:r>
        <w:t>Reflection</w:t>
      </w:r>
    </w:p>
    <w:p>
      <w:pPr>
        <w:spacing w:after="200"/>
      </w:pPr>
      <w:r>
        <w:rPr>
          <w:b w:val="0"/>
          <w:i/>
          <w:color w:val="6B6660"/>
          <w:sz w:val="19"/>
        </w:rPr>
        <w:t>Reflect on your own work — your judgement and your experience, not a summary of what you built. An honest “here is what I would change” earns more credit than “everything went perfectly”.</w:t>
      </w:r>
    </w:p>
    <w:p>
      <w:pPr>
        <w:spacing w:before="200" w:after="0"/>
      </w:pPr>
      <w:r>
        <w:rPr>
          <w:b/>
          <w:color w:val="1F5A5C"/>
          <w:sz w:val="16"/>
        </w:rPr>
        <w:t>REFLECTION 1</w:t>
      </w:r>
    </w:p>
    <w:p>
      <w:pPr>
        <w:pStyle w:val="Heading2"/>
      </w:pPr>
      <w:r>
        <w:rPr>
          <w:color w:val="1F5A5C"/>
        </w:rPr>
        <w:t>Decisions in hindsight</w:t>
      </w:r>
    </w:p>
    <w:p>
      <w:pPr>
        <w:spacing w:after="120"/>
      </w:pPr>
      <w:r>
        <w:rPr>
          <w:b w:val="0"/>
          <w:i w:val="0"/>
          <w:sz w:val="21"/>
        </w:rPr>
        <w:t>Name one decision in your HA work you would make the same way again, and why it proved right. Then name one you would revise, and what you would do differently.</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p>
      <w:pPr>
        <w:spacing w:before="200" w:after="0"/>
      </w:pPr>
      <w:r>
        <w:rPr>
          <w:b/>
          <w:color w:val="1F5A5C"/>
          <w:sz w:val="16"/>
        </w:rPr>
        <w:t>REFLECTION 2</w:t>
      </w:r>
    </w:p>
    <w:p>
      <w:pPr>
        <w:pStyle w:val="Heading2"/>
      </w:pPr>
      <w:r>
        <w:rPr>
          <w:color w:val="1F5A5C"/>
        </w:rPr>
        <w:t>Working under time pressure</w:t>
      </w:r>
    </w:p>
    <w:p>
      <w:pPr>
        <w:spacing w:after="120"/>
      </w:pPr>
      <w:r>
        <w:rPr>
          <w:b w:val="0"/>
          <w:i w:val="0"/>
          <w:sz w:val="21"/>
        </w:rPr>
        <w:t>Describe a moment in the maintenance window where something did not go as expected and you had to decide how to respond — what happened, how you diagnosed it, and the call you made. If nothing went wrong, say so honestly and describe the problem you were watching for and how you would have handled it.</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p>
      <w:pPr>
        <w:spacing w:before="200" w:after="0"/>
      </w:pPr>
      <w:r>
        <w:rPr>
          <w:b/>
          <w:color w:val="1F5A5C"/>
          <w:sz w:val="16"/>
        </w:rPr>
        <w:t>REFLECTION 3</w:t>
      </w:r>
    </w:p>
    <w:p>
      <w:pPr>
        <w:pStyle w:val="Heading2"/>
      </w:pPr>
      <w:r>
        <w:rPr>
          <w:color w:val="1F5A5C"/>
        </w:rPr>
        <w:t>What you would carry forward</w:t>
      </w:r>
    </w:p>
    <w:p>
      <w:pPr>
        <w:spacing w:after="120"/>
      </w:pPr>
      <w:r>
        <w:rPr>
          <w:b w:val="0"/>
          <w:i w:val="0"/>
          <w:sz w:val="21"/>
        </w:rPr>
        <w:t>Describe one lesson from this work that you would take into a future cloud project. Say how you arrived at it — what happened here that taught it to you — and why it would apply somewhere else.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center"/>
            </w:pPr>
            <w:r>
              <w:rPr>
                <w:b/>
                <w:i w:val="0"/>
                <w:sz w:val="20"/>
              </w:rPr>
              <w:t>[ WRITE YOUR ANSWER HERE ]</w:t>
            </w:r>
          </w:p>
        </w:tc>
      </w:tr>
    </w:tbl>
    <w:p/>
    <w:sectPr w:rsidR="00FA41B0" w:rsidRPr="00FA41B0" w:rsidSect="00C30098">
      <w:headerReference w:type="even" r:id="rId11"/>
      <w:headerReference w:type="default" r:id="rId12"/>
      <w:footerReference w:type="default" r:id="rId13"/>
      <w:headerReference w:type="first" r:id="rId14"/>
      <w:pgSz w:w="11906" w:h="16838"/>
      <w:pgMar w:top="720" w:right="720" w:bottom="720" w:left="720" w:header="567" w:footer="51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6BF68B9" w14:textId="77777777" w:rsidR="00C30098" w:rsidRDefault="00C30098" w:rsidP="00C022D4">
      <w:r>
        <w:separator/>
      </w:r>
    </w:p>
  </w:endnote>
  <w:endnote w:type="continuationSeparator" w:id="0">
    <w:p w14:paraId="2571CD4B" w14:textId="77777777" w:rsidR="00C30098" w:rsidRDefault="00C30098" w:rsidP="00C022D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C18BEB" w14:textId="77777777" w:rsidR="00ED22F9" w:rsidRPr="00C022D4" w:rsidRDefault="00ED22F9" w:rsidP="000333FE">
    <w:pPr>
      <w:pStyle w:val="Footer"/>
      <w:jc w:val="center"/>
    </w:pPr>
    <w:r w:rsidRPr="00C022D4">
      <w:t>Bendigo Kangan Institute trading as Bendigo TAFE and Kangan Institute.</w:t>
    </w:r>
  </w:p>
  <w:p w14:paraId="46217C47" w14:textId="77777777" w:rsidR="00ED22F9" w:rsidRPr="00C022D4" w:rsidRDefault="00ED22F9" w:rsidP="000333FE">
    <w:pPr>
      <w:pStyle w:val="Footer"/>
      <w:jc w:val="center"/>
    </w:pPr>
    <w:r w:rsidRPr="00C022D4">
      <w:t>RTO 3077 | CRICOS provider number 01218G</w:t>
    </w:r>
  </w:p>
  <w:p w14:paraId="618059EA" w14:textId="223B875D" w:rsidR="00F6546A" w:rsidRPr="00C022D4" w:rsidRDefault="00ED22F9" w:rsidP="000333FE">
    <w:pPr>
      <w:pStyle w:val="Footer"/>
      <w:tabs>
        <w:tab w:val="center" w:pos="5245"/>
        <w:tab w:val="right" w:pos="10632"/>
      </w:tabs>
    </w:pPr>
    <w:r w:rsidRPr="00C022D4">
      <w:t>Version 1.</w:t>
    </w:r>
    <w:r w:rsidR="00667552">
      <w:t>0</w:t>
    </w:r>
    <w:r w:rsidR="00667552">
      <w:rPr>
        <w:rStyle w:val="FooterChar"/>
      </w:rPr>
      <w:t xml:space="preserve">   (Template Version 1.3)</w:t>
    </w:r>
    <w:r w:rsidRPr="00C022D4">
      <w:tab/>
      <w:t xml:space="preserve">Last saved </w:t>
    </w:r>
    <w:r w:rsidRPr="00C022D4">
      <w:fldChar w:fldCharType="begin"/>
    </w:r>
    <w:r w:rsidRPr="00C022D4">
      <w:instrText xml:space="preserve"> SAVEDATE  \@ "d MMMM yyyy"  \* MERGEFORMAT </w:instrText>
    </w:r>
    <w:r w:rsidRPr="00C022D4">
      <w:fldChar w:fldCharType="separate"/>
    </w:r>
    <w:r w:rsidR="00667552">
      <w:rPr>
        <w:noProof/>
      </w:rPr>
      <w:t>13 April 2022</w:t>
    </w:r>
    <w:r w:rsidRPr="00C022D4">
      <w:fldChar w:fldCharType="end"/>
    </w:r>
    <w:r w:rsidRPr="00C022D4">
      <w:tab/>
      <w:t xml:space="preserve">Page </w:t>
    </w:r>
    <w:r w:rsidR="006478AF" w:rsidRPr="00C022D4">
      <w:fldChar w:fldCharType="begin"/>
    </w:r>
    <w:r w:rsidR="006478AF" w:rsidRPr="00C022D4">
      <w:instrText xml:space="preserve"> PAGE   \* MERGEFORMAT </w:instrText>
    </w:r>
    <w:r w:rsidR="006478AF" w:rsidRPr="00C022D4">
      <w:fldChar w:fldCharType="separate"/>
    </w:r>
    <w:r w:rsidR="00A96D27">
      <w:rPr>
        <w:noProof/>
      </w:rPr>
      <w:t>1</w:t>
    </w:r>
    <w:r w:rsidR="006478AF" w:rsidRPr="00C022D4">
      <w:fldChar w:fldCharType="end"/>
    </w:r>
    <w:r w:rsidRPr="00C022D4">
      <w:t xml:space="preserve"> of </w:t>
    </w:r>
    <w:fldSimple w:instr=" NUMPAGES   \* MERGEFORMAT ">
      <w:r w:rsidR="00A96D27">
        <w:rPr>
          <w:noProof/>
        </w:rPr>
        <w:t>2</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172D2A" w14:textId="77777777" w:rsidR="00C30098" w:rsidRDefault="00C30098" w:rsidP="00C022D4">
      <w:r>
        <w:separator/>
      </w:r>
    </w:p>
  </w:footnote>
  <w:footnote w:type="continuationSeparator" w:id="0">
    <w:p w14:paraId="48A88BC6" w14:textId="77777777" w:rsidR="00C30098" w:rsidRDefault="00C30098" w:rsidP="00C022D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64A1B4" w14:textId="4F9B04AC" w:rsidR="00667552" w:rsidRDefault="00667552">
    <w:pPr>
      <w:pStyle w:val="Header"/>
    </w:pPr>
    <w:r>
      <w:rPr>
        <w:noProof/>
      </w:rPr>
      <mc:AlternateContent>
        <mc:Choice Requires="wps">
          <w:drawing>
            <wp:anchor distT="0" distB="0" distL="0" distR="0" simplePos="0" relativeHeight="251659264" behindDoc="0" locked="0" layoutInCell="1" allowOverlap="1" wp14:anchorId="090F1141" wp14:editId="77B056E0">
              <wp:simplePos x="635" y="635"/>
              <wp:positionH relativeFrom="page">
                <wp:align>center</wp:align>
              </wp:positionH>
              <wp:positionV relativeFrom="page">
                <wp:align>top</wp:align>
              </wp:positionV>
              <wp:extent cx="443865" cy="443865"/>
              <wp:effectExtent l="0" t="0" r="635" b="4445"/>
              <wp:wrapNone/>
              <wp:docPr id="1984913583" name="Text Box 2"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889A0E8" w14:textId="02EECD56"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090F1141" id="_x0000_t202" coordsize="21600,21600" o:spt="202" path="m,l,21600r21600,l21600,xe">
              <v:stroke joinstyle="miter"/>
              <v:path gradientshapeok="t" o:connecttype="rect"/>
            </v:shapetype>
            <v:shape id="Text Box 2" o:spid="_x0000_s1026" type="#_x0000_t202" alt="OFFICIAL" style="position:absolute;margin-left:0;margin-top:0;width:34.95pt;height:34.95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" filled="f" stroked="f">
              <v:fill o:detectmouseclick="t"/>
              <v:textbox style="mso-fit-shape-to-text:t" inset="0,15pt,0,0">
                <w:txbxContent>
                  <w:p w14:paraId="6889A0E8" w14:textId="02EECD56"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343CC9" w14:textId="34ADF34F" w:rsidR="00667552" w:rsidRDefault="00667552">
    <w:pPr>
      <w:pStyle w:val="Header"/>
    </w:pPr>
    <w:r>
      <w:rPr>
        <w:noProof/>
      </w:rPr>
      <mc:AlternateContent>
        <mc:Choice Requires="wps">
          <w:drawing>
            <wp:anchor distT="0" distB="0" distL="0" distR="0" simplePos="0" relativeHeight="251660288" behindDoc="0" locked="0" layoutInCell="1" allowOverlap="1" wp14:anchorId="105BE57C" wp14:editId="16ED05F6">
              <wp:simplePos x="457200" y="361950"/>
              <wp:positionH relativeFrom="page">
                <wp:align>center</wp:align>
              </wp:positionH>
              <wp:positionV relativeFrom="page">
                <wp:align>top</wp:align>
              </wp:positionV>
              <wp:extent cx="443865" cy="443865"/>
              <wp:effectExtent l="0" t="0" r="635" b="4445"/>
              <wp:wrapNone/>
              <wp:docPr id="1233566969" name="Text Box 3"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543606D" w14:textId="64D72C6F"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05BE57C" id="_x0000_t202" coordsize="21600,21600" o:spt="202" path="m,l,21600r21600,l21600,xe">
              <v:stroke joinstyle="miter"/>
              <v:path gradientshapeok="t" o:connecttype="rect"/>
            </v:shapetype>
            <v:shape id="Text Box 3" o:spid="_x0000_s1027" type="#_x0000_t202" alt="OFFICIAL" style="position:absolute;margin-left:0;margin-top:0;width:34.95pt;height:34.95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" filled="f" stroked="f">
              <v:fill o:detectmouseclick="t"/>
              <v:textbox style="mso-fit-shape-to-text:t" inset="0,15pt,0,0">
                <w:txbxContent>
                  <w:p w14:paraId="6543606D" w14:textId="64D72C6F"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45F2F1" w14:textId="33B1C9AD" w:rsidR="00667552" w:rsidRDefault="00667552">
    <w:pPr>
      <w:pStyle w:val="Header"/>
    </w:pPr>
    <w:r>
      <w:rPr>
        <w:noProof/>
      </w:rPr>
      <mc:AlternateContent>
        <mc:Choice Requires="wps">
          <w:drawing>
            <wp:anchor distT="0" distB="0" distL="0" distR="0" simplePos="0" relativeHeight="251658240" behindDoc="0" locked="0" layoutInCell="1" allowOverlap="1" wp14:anchorId="4692CC49" wp14:editId="204BAE13">
              <wp:simplePos x="635" y="635"/>
              <wp:positionH relativeFrom="page">
                <wp:align>center</wp:align>
              </wp:positionH>
              <wp:positionV relativeFrom="page">
                <wp:align>top</wp:align>
              </wp:positionV>
              <wp:extent cx="443865" cy="443865"/>
              <wp:effectExtent l="0" t="0" r="635" b="4445"/>
              <wp:wrapNone/>
              <wp:docPr id="640007634" name="Text Box 1"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29F37A9" w14:textId="51272456"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692CC49" id="_x0000_t202" coordsize="21600,21600" o:spt="202" path="m,l,21600r21600,l21600,xe">
              <v:stroke joinstyle="miter"/>
              <v:path gradientshapeok="t" o:connecttype="rect"/>
            </v:shapetype>
            <v:shape id="Text Box 1" o:spid="_x0000_s1028" type="#_x0000_t202" alt="OFFICIAL" style="position:absolute;margin-left:0;margin-top:0;width:34.95pt;height:34.9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" filled="f" stroked="f">
              <v:fill o:detectmouseclick="t"/>
              <v:textbox style="mso-fit-shape-to-text:t" inset="0,15pt,0,0">
                <w:txbxContent>
                  <w:p w14:paraId="229F37A9" w14:textId="51272456" w:rsidR="00667552" w:rsidRPr="00667552" w:rsidRDefault="00667552" w:rsidP="00667552">
                    <w:pPr>
                      <w:rPr>
                        <w:rFonts w:ascii="Calibri" w:eastAsia="Calibri" w:hAnsi="Calibri" w:cs="Calibri"/>
                        <w:noProof/>
                        <w:color w:val="FF0000"/>
                        <w:sz w:val="24"/>
                        <w:szCs w:val="24"/>
                      </w:rPr>
                    </w:pPr>
                    <w:r w:rsidRPr="00667552">
                      <w:rPr>
                        <w:rFonts w:ascii="Calibri" w:eastAsia="Calibri" w:hAnsi="Calibri" w:cs="Calibri"/>
                        <w:noProof/>
                        <w:color w:val="FF0000"/>
                        <w:sz w:val="24"/>
                        <w:szCs w:val="24"/>
                      </w:rPr>
                      <w:t>OFFICIAL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715F6"/>
    <w:multiLevelType w:val="hybridMultilevel"/>
    <w:tmpl w:val="4E5EFC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6AF16D4A"/>
    <w:multiLevelType w:val="hybridMultilevel"/>
    <w:tmpl w:val="170C928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818380564">
    <w:abstractNumId w:val="0"/>
  </w:num>
  <w:num w:numId="2" w16cid:durableId="1511336736">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77089"/>
    <w:rsid w:val="00005483"/>
    <w:rsid w:val="00010B10"/>
    <w:rsid w:val="00010BF6"/>
    <w:rsid w:val="000137A9"/>
    <w:rsid w:val="000310A3"/>
    <w:rsid w:val="000333FE"/>
    <w:rsid w:val="00044B62"/>
    <w:rsid w:val="00054A74"/>
    <w:rsid w:val="00055BE3"/>
    <w:rsid w:val="00057B45"/>
    <w:rsid w:val="00063A13"/>
    <w:rsid w:val="00076D93"/>
    <w:rsid w:val="00096DC8"/>
    <w:rsid w:val="000C5DCF"/>
    <w:rsid w:val="000D4A69"/>
    <w:rsid w:val="000D5272"/>
    <w:rsid w:val="000D5C56"/>
    <w:rsid w:val="000E7FC5"/>
    <w:rsid w:val="000F75D7"/>
    <w:rsid w:val="001033DE"/>
    <w:rsid w:val="00115976"/>
    <w:rsid w:val="00115C1E"/>
    <w:rsid w:val="0013430A"/>
    <w:rsid w:val="00144B4B"/>
    <w:rsid w:val="001508CF"/>
    <w:rsid w:val="0016369D"/>
    <w:rsid w:val="001801EF"/>
    <w:rsid w:val="001A0758"/>
    <w:rsid w:val="001A0BF7"/>
    <w:rsid w:val="001A58E6"/>
    <w:rsid w:val="001A6C48"/>
    <w:rsid w:val="001A7DBF"/>
    <w:rsid w:val="001B05E7"/>
    <w:rsid w:val="001B1015"/>
    <w:rsid w:val="001B6CE8"/>
    <w:rsid w:val="001C1000"/>
    <w:rsid w:val="001C3E6D"/>
    <w:rsid w:val="001D729E"/>
    <w:rsid w:val="001D78D9"/>
    <w:rsid w:val="001E3325"/>
    <w:rsid w:val="001E6FFB"/>
    <w:rsid w:val="001E71A7"/>
    <w:rsid w:val="00202B8A"/>
    <w:rsid w:val="002044F8"/>
    <w:rsid w:val="00205DFA"/>
    <w:rsid w:val="002229E8"/>
    <w:rsid w:val="00222A66"/>
    <w:rsid w:val="002267D1"/>
    <w:rsid w:val="00226D05"/>
    <w:rsid w:val="00227508"/>
    <w:rsid w:val="00227BBC"/>
    <w:rsid w:val="0023398A"/>
    <w:rsid w:val="00236318"/>
    <w:rsid w:val="002363FC"/>
    <w:rsid w:val="00237960"/>
    <w:rsid w:val="00267155"/>
    <w:rsid w:val="00290616"/>
    <w:rsid w:val="0029391E"/>
    <w:rsid w:val="00293984"/>
    <w:rsid w:val="002A6715"/>
    <w:rsid w:val="002B15B6"/>
    <w:rsid w:val="002B1EC1"/>
    <w:rsid w:val="002B4C2D"/>
    <w:rsid w:val="002C2E32"/>
    <w:rsid w:val="002C33AB"/>
    <w:rsid w:val="002D1EB4"/>
    <w:rsid w:val="002D2911"/>
    <w:rsid w:val="002E69B5"/>
    <w:rsid w:val="002E7C77"/>
    <w:rsid w:val="002F4DC7"/>
    <w:rsid w:val="002F73F4"/>
    <w:rsid w:val="002F7C81"/>
    <w:rsid w:val="0030198C"/>
    <w:rsid w:val="003167D9"/>
    <w:rsid w:val="00324B5A"/>
    <w:rsid w:val="00332299"/>
    <w:rsid w:val="003406E0"/>
    <w:rsid w:val="003426E3"/>
    <w:rsid w:val="0035343B"/>
    <w:rsid w:val="003545CC"/>
    <w:rsid w:val="00364719"/>
    <w:rsid w:val="00365730"/>
    <w:rsid w:val="003765FD"/>
    <w:rsid w:val="003A316B"/>
    <w:rsid w:val="003B1864"/>
    <w:rsid w:val="003C34A3"/>
    <w:rsid w:val="003C4945"/>
    <w:rsid w:val="003C63C3"/>
    <w:rsid w:val="003D3503"/>
    <w:rsid w:val="003F1F4E"/>
    <w:rsid w:val="003F3E39"/>
    <w:rsid w:val="003F4160"/>
    <w:rsid w:val="003F6EFC"/>
    <w:rsid w:val="00403949"/>
    <w:rsid w:val="00405C1A"/>
    <w:rsid w:val="004127A0"/>
    <w:rsid w:val="0041439C"/>
    <w:rsid w:val="00416D85"/>
    <w:rsid w:val="00421C6B"/>
    <w:rsid w:val="00423EF4"/>
    <w:rsid w:val="00424023"/>
    <w:rsid w:val="004272E6"/>
    <w:rsid w:val="00432DB0"/>
    <w:rsid w:val="0044532B"/>
    <w:rsid w:val="00452058"/>
    <w:rsid w:val="004622B1"/>
    <w:rsid w:val="00470387"/>
    <w:rsid w:val="0048089C"/>
    <w:rsid w:val="00486C54"/>
    <w:rsid w:val="00486CCF"/>
    <w:rsid w:val="004879B2"/>
    <w:rsid w:val="0049547D"/>
    <w:rsid w:val="004A03AF"/>
    <w:rsid w:val="004B05BC"/>
    <w:rsid w:val="004B46C0"/>
    <w:rsid w:val="004C25D0"/>
    <w:rsid w:val="004D1249"/>
    <w:rsid w:val="004D3BC4"/>
    <w:rsid w:val="004E423A"/>
    <w:rsid w:val="004E4425"/>
    <w:rsid w:val="004E78AD"/>
    <w:rsid w:val="004E793C"/>
    <w:rsid w:val="004F2400"/>
    <w:rsid w:val="00502337"/>
    <w:rsid w:val="00515F85"/>
    <w:rsid w:val="005163FA"/>
    <w:rsid w:val="00523F77"/>
    <w:rsid w:val="005377AE"/>
    <w:rsid w:val="00547501"/>
    <w:rsid w:val="00554E87"/>
    <w:rsid w:val="00571F38"/>
    <w:rsid w:val="00577089"/>
    <w:rsid w:val="005800A9"/>
    <w:rsid w:val="005903E8"/>
    <w:rsid w:val="00590EBA"/>
    <w:rsid w:val="005A352E"/>
    <w:rsid w:val="005A6F91"/>
    <w:rsid w:val="005C0FC4"/>
    <w:rsid w:val="005D57BD"/>
    <w:rsid w:val="005E3E16"/>
    <w:rsid w:val="005F1106"/>
    <w:rsid w:val="005F4DEF"/>
    <w:rsid w:val="00601957"/>
    <w:rsid w:val="00605082"/>
    <w:rsid w:val="00620EB1"/>
    <w:rsid w:val="00623CE3"/>
    <w:rsid w:val="00630E16"/>
    <w:rsid w:val="00634FF3"/>
    <w:rsid w:val="006370DB"/>
    <w:rsid w:val="006472F5"/>
    <w:rsid w:val="006478AF"/>
    <w:rsid w:val="00651611"/>
    <w:rsid w:val="00656E53"/>
    <w:rsid w:val="00666B2D"/>
    <w:rsid w:val="00667552"/>
    <w:rsid w:val="00685BD5"/>
    <w:rsid w:val="0069030A"/>
    <w:rsid w:val="00690E61"/>
    <w:rsid w:val="00694DF2"/>
    <w:rsid w:val="006C62B4"/>
    <w:rsid w:val="006D706F"/>
    <w:rsid w:val="006E33EF"/>
    <w:rsid w:val="006E5479"/>
    <w:rsid w:val="006F10D0"/>
    <w:rsid w:val="00701387"/>
    <w:rsid w:val="00711F64"/>
    <w:rsid w:val="0072388E"/>
    <w:rsid w:val="0074548C"/>
    <w:rsid w:val="00751C09"/>
    <w:rsid w:val="007538D7"/>
    <w:rsid w:val="00756E13"/>
    <w:rsid w:val="007610DD"/>
    <w:rsid w:val="007615C5"/>
    <w:rsid w:val="00772309"/>
    <w:rsid w:val="0078162A"/>
    <w:rsid w:val="0078312D"/>
    <w:rsid w:val="00795732"/>
    <w:rsid w:val="007973CB"/>
    <w:rsid w:val="007A63E4"/>
    <w:rsid w:val="007A6568"/>
    <w:rsid w:val="007A7B35"/>
    <w:rsid w:val="007C0DAF"/>
    <w:rsid w:val="007C6FBF"/>
    <w:rsid w:val="007D5702"/>
    <w:rsid w:val="007F1267"/>
    <w:rsid w:val="007F2BE6"/>
    <w:rsid w:val="00802842"/>
    <w:rsid w:val="00805C42"/>
    <w:rsid w:val="00805E0B"/>
    <w:rsid w:val="00816E9C"/>
    <w:rsid w:val="00822988"/>
    <w:rsid w:val="008541F0"/>
    <w:rsid w:val="0086098D"/>
    <w:rsid w:val="00861D3D"/>
    <w:rsid w:val="00862361"/>
    <w:rsid w:val="008829DD"/>
    <w:rsid w:val="008831D3"/>
    <w:rsid w:val="00885847"/>
    <w:rsid w:val="0088695F"/>
    <w:rsid w:val="00886B4C"/>
    <w:rsid w:val="008A0AD8"/>
    <w:rsid w:val="008A49B2"/>
    <w:rsid w:val="008C5064"/>
    <w:rsid w:val="008E0A88"/>
    <w:rsid w:val="008E2BF9"/>
    <w:rsid w:val="008E5611"/>
    <w:rsid w:val="008F1F56"/>
    <w:rsid w:val="008F230E"/>
    <w:rsid w:val="009108B2"/>
    <w:rsid w:val="009119BD"/>
    <w:rsid w:val="00913BA4"/>
    <w:rsid w:val="009270C9"/>
    <w:rsid w:val="009328FE"/>
    <w:rsid w:val="00950D11"/>
    <w:rsid w:val="00954EFB"/>
    <w:rsid w:val="00954EFE"/>
    <w:rsid w:val="00961AFC"/>
    <w:rsid w:val="00985471"/>
    <w:rsid w:val="00993D3D"/>
    <w:rsid w:val="009A0177"/>
    <w:rsid w:val="009A0DA8"/>
    <w:rsid w:val="009C0C9E"/>
    <w:rsid w:val="009D309A"/>
    <w:rsid w:val="009D3245"/>
    <w:rsid w:val="009F30C9"/>
    <w:rsid w:val="009F5553"/>
    <w:rsid w:val="009F62F5"/>
    <w:rsid w:val="00A12591"/>
    <w:rsid w:val="00A20E3D"/>
    <w:rsid w:val="00A22CAE"/>
    <w:rsid w:val="00A24C4F"/>
    <w:rsid w:val="00A30983"/>
    <w:rsid w:val="00A37FE7"/>
    <w:rsid w:val="00A574C0"/>
    <w:rsid w:val="00A6427F"/>
    <w:rsid w:val="00A650F7"/>
    <w:rsid w:val="00A7355E"/>
    <w:rsid w:val="00A85679"/>
    <w:rsid w:val="00A918E0"/>
    <w:rsid w:val="00A96D27"/>
    <w:rsid w:val="00AB2A73"/>
    <w:rsid w:val="00AB7DBF"/>
    <w:rsid w:val="00AC0655"/>
    <w:rsid w:val="00AC4C6E"/>
    <w:rsid w:val="00AD34BA"/>
    <w:rsid w:val="00AD64E8"/>
    <w:rsid w:val="00AE3A2C"/>
    <w:rsid w:val="00AF65B9"/>
    <w:rsid w:val="00B00F3B"/>
    <w:rsid w:val="00B07BF3"/>
    <w:rsid w:val="00B10E78"/>
    <w:rsid w:val="00B215D2"/>
    <w:rsid w:val="00B32741"/>
    <w:rsid w:val="00B4252C"/>
    <w:rsid w:val="00B43136"/>
    <w:rsid w:val="00B43D0B"/>
    <w:rsid w:val="00B46200"/>
    <w:rsid w:val="00B56858"/>
    <w:rsid w:val="00B60EFE"/>
    <w:rsid w:val="00B6719F"/>
    <w:rsid w:val="00B84213"/>
    <w:rsid w:val="00BA3E48"/>
    <w:rsid w:val="00BA48B6"/>
    <w:rsid w:val="00BA6476"/>
    <w:rsid w:val="00BA6713"/>
    <w:rsid w:val="00BC75A7"/>
    <w:rsid w:val="00BD209C"/>
    <w:rsid w:val="00BE1B4A"/>
    <w:rsid w:val="00BE4F3C"/>
    <w:rsid w:val="00BE554D"/>
    <w:rsid w:val="00BE665F"/>
    <w:rsid w:val="00BF0FDD"/>
    <w:rsid w:val="00BF117B"/>
    <w:rsid w:val="00C022D4"/>
    <w:rsid w:val="00C02DC7"/>
    <w:rsid w:val="00C2180F"/>
    <w:rsid w:val="00C272EB"/>
    <w:rsid w:val="00C27947"/>
    <w:rsid w:val="00C30098"/>
    <w:rsid w:val="00C358A5"/>
    <w:rsid w:val="00C519EC"/>
    <w:rsid w:val="00C60745"/>
    <w:rsid w:val="00C64447"/>
    <w:rsid w:val="00C664DD"/>
    <w:rsid w:val="00C70115"/>
    <w:rsid w:val="00C72912"/>
    <w:rsid w:val="00C82E31"/>
    <w:rsid w:val="00C853B8"/>
    <w:rsid w:val="00CA0229"/>
    <w:rsid w:val="00CA1C63"/>
    <w:rsid w:val="00CA383B"/>
    <w:rsid w:val="00CA7224"/>
    <w:rsid w:val="00CA7E20"/>
    <w:rsid w:val="00CB0664"/>
    <w:rsid w:val="00CB3DCD"/>
    <w:rsid w:val="00CB6655"/>
    <w:rsid w:val="00CC2D84"/>
    <w:rsid w:val="00CC63F7"/>
    <w:rsid w:val="00CD0E7D"/>
    <w:rsid w:val="00CD7EFF"/>
    <w:rsid w:val="00CE06BC"/>
    <w:rsid w:val="00CF102A"/>
    <w:rsid w:val="00CF6858"/>
    <w:rsid w:val="00D1174F"/>
    <w:rsid w:val="00D151E8"/>
    <w:rsid w:val="00D262CE"/>
    <w:rsid w:val="00D26634"/>
    <w:rsid w:val="00D32428"/>
    <w:rsid w:val="00D53C99"/>
    <w:rsid w:val="00D54D46"/>
    <w:rsid w:val="00D5698B"/>
    <w:rsid w:val="00D57FAA"/>
    <w:rsid w:val="00D669F7"/>
    <w:rsid w:val="00D71584"/>
    <w:rsid w:val="00D71797"/>
    <w:rsid w:val="00D82065"/>
    <w:rsid w:val="00D8354B"/>
    <w:rsid w:val="00D90E35"/>
    <w:rsid w:val="00D911E5"/>
    <w:rsid w:val="00DC39FE"/>
    <w:rsid w:val="00DC70C4"/>
    <w:rsid w:val="00DD0221"/>
    <w:rsid w:val="00DD760C"/>
    <w:rsid w:val="00DF0A26"/>
    <w:rsid w:val="00E02C1C"/>
    <w:rsid w:val="00E12FFD"/>
    <w:rsid w:val="00E21F54"/>
    <w:rsid w:val="00E25BCA"/>
    <w:rsid w:val="00E31110"/>
    <w:rsid w:val="00E3533E"/>
    <w:rsid w:val="00E3570B"/>
    <w:rsid w:val="00E4047C"/>
    <w:rsid w:val="00E44321"/>
    <w:rsid w:val="00E5370C"/>
    <w:rsid w:val="00E55003"/>
    <w:rsid w:val="00E64921"/>
    <w:rsid w:val="00E73E50"/>
    <w:rsid w:val="00E81213"/>
    <w:rsid w:val="00E9103A"/>
    <w:rsid w:val="00E95E46"/>
    <w:rsid w:val="00EA227E"/>
    <w:rsid w:val="00EB2369"/>
    <w:rsid w:val="00EB7F79"/>
    <w:rsid w:val="00EC0249"/>
    <w:rsid w:val="00EC663F"/>
    <w:rsid w:val="00EC6C5D"/>
    <w:rsid w:val="00EC78CD"/>
    <w:rsid w:val="00ED22F9"/>
    <w:rsid w:val="00ED3590"/>
    <w:rsid w:val="00EE0C3F"/>
    <w:rsid w:val="00EF0326"/>
    <w:rsid w:val="00EF17DC"/>
    <w:rsid w:val="00EF29FC"/>
    <w:rsid w:val="00EF7306"/>
    <w:rsid w:val="00F018F4"/>
    <w:rsid w:val="00F114EB"/>
    <w:rsid w:val="00F202B0"/>
    <w:rsid w:val="00F20C93"/>
    <w:rsid w:val="00F26820"/>
    <w:rsid w:val="00F27BEE"/>
    <w:rsid w:val="00F34EF5"/>
    <w:rsid w:val="00F40219"/>
    <w:rsid w:val="00F40308"/>
    <w:rsid w:val="00F46169"/>
    <w:rsid w:val="00F511FA"/>
    <w:rsid w:val="00F51402"/>
    <w:rsid w:val="00F6231D"/>
    <w:rsid w:val="00F6546A"/>
    <w:rsid w:val="00F72F31"/>
    <w:rsid w:val="00F746C7"/>
    <w:rsid w:val="00F80891"/>
    <w:rsid w:val="00F8192E"/>
    <w:rsid w:val="00FA41B0"/>
    <w:rsid w:val="00FC2E29"/>
    <w:rsid w:val="00FD2774"/>
    <w:rsid w:val="00FD7203"/>
    <w:rsid w:val="00FE50B7"/>
    <w:rsid w:val="00FE5400"/>
    <w:rsid w:val="00FF33D6"/>
    <w:rsid w:val="00FF6A3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2B64A1"/>
  <w15:docId w15:val="{8A6309BB-D1D2-497A-B295-C573DC5242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022D4"/>
    <w:pPr>
      <w:spacing w:after="0" w:line="240" w:lineRule="auto"/>
    </w:pPr>
  </w:style>
  <w:style w:type="paragraph" w:styleId="Heading1">
    <w:name w:val="heading 1"/>
    <w:basedOn w:val="NoSpacing"/>
    <w:next w:val="Normal"/>
    <w:link w:val="Heading1Char"/>
    <w:uiPriority w:val="9"/>
    <w:qFormat/>
    <w:rsid w:val="00C022D4"/>
    <w:pPr>
      <w:spacing w:after="60"/>
      <w:outlineLvl w:val="0"/>
    </w:pPr>
    <w:rPr>
      <w:sz w:val="44"/>
      <w:szCs w:val="44"/>
    </w:rPr>
  </w:style>
  <w:style w:type="paragraph" w:styleId="Heading2">
    <w:name w:val="heading 2"/>
    <w:basedOn w:val="Heading3"/>
    <w:next w:val="Normal"/>
    <w:link w:val="Heading2Char"/>
    <w:uiPriority w:val="9"/>
    <w:unhideWhenUsed/>
    <w:qFormat/>
    <w:rsid w:val="000333FE"/>
    <w:pPr>
      <w:outlineLvl w:val="1"/>
    </w:pPr>
    <w:rPr>
      <w:color w:val="FFFFFF" w:themeColor="background1"/>
      <w:sz w:val="26"/>
    </w:rPr>
  </w:style>
  <w:style w:type="paragraph" w:styleId="Heading3">
    <w:name w:val="heading 3"/>
    <w:basedOn w:val="Heading4"/>
    <w:next w:val="Normal"/>
    <w:link w:val="Heading3Char"/>
    <w:uiPriority w:val="9"/>
    <w:unhideWhenUsed/>
    <w:qFormat/>
    <w:rsid w:val="000333FE"/>
    <w:pPr>
      <w:outlineLvl w:val="2"/>
    </w:pPr>
  </w:style>
  <w:style w:type="paragraph" w:styleId="Heading4">
    <w:name w:val="heading 4"/>
    <w:basedOn w:val="NoSpacing"/>
    <w:next w:val="Normal"/>
    <w:link w:val="Heading4Char"/>
    <w:uiPriority w:val="9"/>
    <w:unhideWhenUsed/>
    <w:rsid w:val="00C022D4"/>
    <w:pPr>
      <w:spacing w:after="60"/>
      <w:outlineLvl w:val="3"/>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022D4"/>
    <w:rPr>
      <w:sz w:val="44"/>
      <w:szCs w:val="44"/>
    </w:rPr>
  </w:style>
  <w:style w:type="paragraph" w:styleId="NoSpacing">
    <w:name w:val="No Spacing"/>
    <w:link w:val="NoSpacingChar"/>
    <w:uiPriority w:val="1"/>
    <w:qFormat/>
    <w:rsid w:val="00577089"/>
    <w:pPr>
      <w:spacing w:after="0" w:line="240" w:lineRule="auto"/>
    </w:pPr>
  </w:style>
  <w:style w:type="paragraph" w:styleId="TOCHeading">
    <w:name w:val="TOC Heading"/>
    <w:basedOn w:val="Heading1"/>
    <w:next w:val="Normal"/>
    <w:uiPriority w:val="39"/>
    <w:semiHidden/>
    <w:unhideWhenUsed/>
    <w:qFormat/>
    <w:rsid w:val="003167D9"/>
    <w:pPr>
      <w:spacing w:before="480" w:line="276" w:lineRule="auto"/>
      <w:outlineLvl w:val="9"/>
    </w:pPr>
    <w:rPr>
      <w:lang w:val="en-US" w:eastAsia="ja-JP"/>
    </w:rPr>
  </w:style>
  <w:style w:type="paragraph" w:styleId="TOC1">
    <w:name w:val="toc 1"/>
    <w:basedOn w:val="Normal"/>
    <w:next w:val="Normal"/>
    <w:autoRedefine/>
    <w:uiPriority w:val="39"/>
    <w:unhideWhenUsed/>
    <w:rsid w:val="003167D9"/>
    <w:pPr>
      <w:spacing w:after="100"/>
    </w:pPr>
  </w:style>
  <w:style w:type="character" w:styleId="Hyperlink">
    <w:name w:val="Hyperlink"/>
    <w:basedOn w:val="DefaultParagraphFont"/>
    <w:uiPriority w:val="99"/>
    <w:unhideWhenUsed/>
    <w:rsid w:val="003167D9"/>
    <w:rPr>
      <w:color w:val="0000FF" w:themeColor="hyperlink"/>
      <w:u w:val="single"/>
    </w:rPr>
  </w:style>
  <w:style w:type="paragraph" w:styleId="BalloonText">
    <w:name w:val="Balloon Text"/>
    <w:basedOn w:val="Normal"/>
    <w:link w:val="BalloonTextChar"/>
    <w:uiPriority w:val="99"/>
    <w:semiHidden/>
    <w:unhideWhenUsed/>
    <w:rsid w:val="003167D9"/>
    <w:rPr>
      <w:rFonts w:ascii="Tahoma" w:hAnsi="Tahoma" w:cs="Tahoma"/>
      <w:sz w:val="16"/>
      <w:szCs w:val="16"/>
    </w:rPr>
  </w:style>
  <w:style w:type="character" w:customStyle="1" w:styleId="BalloonTextChar">
    <w:name w:val="Balloon Text Char"/>
    <w:basedOn w:val="DefaultParagraphFont"/>
    <w:link w:val="BalloonText"/>
    <w:uiPriority w:val="99"/>
    <w:semiHidden/>
    <w:rsid w:val="003167D9"/>
    <w:rPr>
      <w:rFonts w:ascii="Tahoma" w:hAnsi="Tahoma" w:cs="Tahoma"/>
      <w:sz w:val="16"/>
      <w:szCs w:val="16"/>
    </w:rPr>
  </w:style>
  <w:style w:type="character" w:customStyle="1" w:styleId="Heading2Char">
    <w:name w:val="Heading 2 Char"/>
    <w:basedOn w:val="DefaultParagraphFont"/>
    <w:link w:val="Heading2"/>
    <w:uiPriority w:val="9"/>
    <w:rsid w:val="000333FE"/>
    <w:rPr>
      <w:b/>
      <w:color w:val="FFFFFF" w:themeColor="background1"/>
      <w:sz w:val="26"/>
    </w:rPr>
  </w:style>
  <w:style w:type="paragraph" w:styleId="TOC2">
    <w:name w:val="toc 2"/>
    <w:basedOn w:val="Normal"/>
    <w:next w:val="Normal"/>
    <w:autoRedefine/>
    <w:uiPriority w:val="39"/>
    <w:unhideWhenUsed/>
    <w:rsid w:val="004622B1"/>
    <w:pPr>
      <w:tabs>
        <w:tab w:val="right" w:leader="dot" w:pos="10456"/>
      </w:tabs>
      <w:spacing w:after="40"/>
      <w:ind w:left="221"/>
    </w:pPr>
  </w:style>
  <w:style w:type="character" w:customStyle="1" w:styleId="Heading3Char">
    <w:name w:val="Heading 3 Char"/>
    <w:basedOn w:val="DefaultParagraphFont"/>
    <w:link w:val="Heading3"/>
    <w:uiPriority w:val="9"/>
    <w:rsid w:val="000333FE"/>
    <w:rPr>
      <w:b/>
    </w:rPr>
  </w:style>
  <w:style w:type="character" w:customStyle="1" w:styleId="Heading4Char">
    <w:name w:val="Heading 4 Char"/>
    <w:basedOn w:val="DefaultParagraphFont"/>
    <w:link w:val="Heading4"/>
    <w:uiPriority w:val="9"/>
    <w:rsid w:val="00C022D4"/>
    <w:rPr>
      <w:b/>
    </w:rPr>
  </w:style>
  <w:style w:type="paragraph" w:styleId="ListParagraph">
    <w:name w:val="List Paragraph"/>
    <w:basedOn w:val="Normal"/>
    <w:uiPriority w:val="34"/>
    <w:rsid w:val="00802842"/>
    <w:pPr>
      <w:ind w:left="720"/>
      <w:contextualSpacing/>
    </w:pPr>
  </w:style>
  <w:style w:type="table" w:styleId="TableGrid">
    <w:name w:val="Table Grid"/>
    <w:basedOn w:val="TableNormal"/>
    <w:uiPriority w:val="59"/>
    <w:rsid w:val="00B4620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AC0655"/>
    <w:pPr>
      <w:spacing w:after="100"/>
      <w:ind w:left="440"/>
    </w:pPr>
  </w:style>
  <w:style w:type="paragraph" w:styleId="Header">
    <w:name w:val="header"/>
    <w:basedOn w:val="Normal"/>
    <w:link w:val="HeaderChar"/>
    <w:uiPriority w:val="99"/>
    <w:unhideWhenUsed/>
    <w:rsid w:val="001B6CE8"/>
    <w:pPr>
      <w:tabs>
        <w:tab w:val="center" w:pos="4513"/>
        <w:tab w:val="right" w:pos="9026"/>
      </w:tabs>
    </w:pPr>
  </w:style>
  <w:style w:type="character" w:customStyle="1" w:styleId="HeaderChar">
    <w:name w:val="Header Char"/>
    <w:basedOn w:val="DefaultParagraphFont"/>
    <w:link w:val="Header"/>
    <w:uiPriority w:val="99"/>
    <w:rsid w:val="001B6CE8"/>
  </w:style>
  <w:style w:type="paragraph" w:styleId="Footer">
    <w:name w:val="footer"/>
    <w:basedOn w:val="Normal"/>
    <w:link w:val="FooterChar"/>
    <w:uiPriority w:val="99"/>
    <w:unhideWhenUsed/>
    <w:qFormat/>
    <w:rsid w:val="000333FE"/>
    <w:rPr>
      <w:sz w:val="16"/>
      <w:szCs w:val="16"/>
    </w:rPr>
  </w:style>
  <w:style w:type="character" w:customStyle="1" w:styleId="FooterChar">
    <w:name w:val="Footer Char"/>
    <w:basedOn w:val="DefaultParagraphFont"/>
    <w:link w:val="Footer"/>
    <w:uiPriority w:val="99"/>
    <w:rsid w:val="000333FE"/>
    <w:rPr>
      <w:sz w:val="16"/>
      <w:szCs w:val="16"/>
    </w:rPr>
  </w:style>
  <w:style w:type="character" w:styleId="CommentReference">
    <w:name w:val="annotation reference"/>
    <w:basedOn w:val="DefaultParagraphFont"/>
    <w:uiPriority w:val="99"/>
    <w:semiHidden/>
    <w:unhideWhenUsed/>
    <w:rsid w:val="006E5479"/>
    <w:rPr>
      <w:sz w:val="16"/>
      <w:szCs w:val="16"/>
    </w:rPr>
  </w:style>
  <w:style w:type="paragraph" w:styleId="CommentText">
    <w:name w:val="annotation text"/>
    <w:basedOn w:val="Normal"/>
    <w:link w:val="CommentTextChar"/>
    <w:uiPriority w:val="99"/>
    <w:unhideWhenUsed/>
    <w:rsid w:val="006E5479"/>
    <w:rPr>
      <w:szCs w:val="20"/>
    </w:rPr>
  </w:style>
  <w:style w:type="character" w:customStyle="1" w:styleId="CommentTextChar">
    <w:name w:val="Comment Text Char"/>
    <w:basedOn w:val="DefaultParagraphFont"/>
    <w:link w:val="CommentText"/>
    <w:uiPriority w:val="99"/>
    <w:rsid w:val="006E5479"/>
    <w:rPr>
      <w:sz w:val="20"/>
      <w:szCs w:val="20"/>
    </w:rPr>
  </w:style>
  <w:style w:type="paragraph" w:styleId="CommentSubject">
    <w:name w:val="annotation subject"/>
    <w:basedOn w:val="CommentText"/>
    <w:next w:val="CommentText"/>
    <w:link w:val="CommentSubjectChar"/>
    <w:uiPriority w:val="99"/>
    <w:semiHidden/>
    <w:unhideWhenUsed/>
    <w:rsid w:val="006E5479"/>
    <w:rPr>
      <w:b/>
      <w:bCs/>
    </w:rPr>
  </w:style>
  <w:style w:type="character" w:customStyle="1" w:styleId="CommentSubjectChar">
    <w:name w:val="Comment Subject Char"/>
    <w:basedOn w:val="CommentTextChar"/>
    <w:link w:val="CommentSubject"/>
    <w:uiPriority w:val="99"/>
    <w:semiHidden/>
    <w:rsid w:val="006E5479"/>
    <w:rPr>
      <w:b/>
      <w:bCs/>
      <w:sz w:val="20"/>
      <w:szCs w:val="20"/>
    </w:rPr>
  </w:style>
  <w:style w:type="table" w:customStyle="1" w:styleId="TableGrid1">
    <w:name w:val="Table Grid1"/>
    <w:basedOn w:val="TableNormal"/>
    <w:next w:val="TableGrid"/>
    <w:uiPriority w:val="59"/>
    <w:rsid w:val="00F20C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rsid w:val="00C64447"/>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C64447"/>
    <w:rPr>
      <w:rFonts w:asciiTheme="majorHAnsi" w:eastAsiaTheme="majorEastAsia" w:hAnsiTheme="majorHAnsi" w:cstheme="majorBidi"/>
      <w:color w:val="17365D" w:themeColor="text2" w:themeShade="BF"/>
      <w:spacing w:val="5"/>
      <w:kern w:val="28"/>
      <w:sz w:val="52"/>
      <w:szCs w:val="52"/>
    </w:rPr>
  </w:style>
  <w:style w:type="table" w:customStyle="1" w:styleId="TableGrid2">
    <w:name w:val="Table Grid2"/>
    <w:basedOn w:val="TableNormal"/>
    <w:next w:val="TableGrid"/>
    <w:uiPriority w:val="59"/>
    <w:rsid w:val="00FA41B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6C62B4"/>
    <w:pPr>
      <w:spacing w:after="100"/>
      <w:ind w:left="660"/>
    </w:pPr>
    <w:rPr>
      <w:rFonts w:eastAsiaTheme="minorEastAsia"/>
      <w:lang w:eastAsia="en-AU"/>
    </w:rPr>
  </w:style>
  <w:style w:type="paragraph" w:styleId="TOC5">
    <w:name w:val="toc 5"/>
    <w:basedOn w:val="Normal"/>
    <w:next w:val="Normal"/>
    <w:autoRedefine/>
    <w:uiPriority w:val="39"/>
    <w:unhideWhenUsed/>
    <w:rsid w:val="006C62B4"/>
    <w:pPr>
      <w:spacing w:after="100"/>
      <w:ind w:left="880"/>
    </w:pPr>
    <w:rPr>
      <w:rFonts w:eastAsiaTheme="minorEastAsia"/>
      <w:lang w:eastAsia="en-AU"/>
    </w:rPr>
  </w:style>
  <w:style w:type="paragraph" w:styleId="TOC6">
    <w:name w:val="toc 6"/>
    <w:basedOn w:val="Normal"/>
    <w:next w:val="Normal"/>
    <w:autoRedefine/>
    <w:uiPriority w:val="39"/>
    <w:unhideWhenUsed/>
    <w:rsid w:val="006C62B4"/>
    <w:pPr>
      <w:spacing w:after="100"/>
      <w:ind w:left="1100"/>
    </w:pPr>
    <w:rPr>
      <w:rFonts w:eastAsiaTheme="minorEastAsia"/>
      <w:lang w:eastAsia="en-AU"/>
    </w:rPr>
  </w:style>
  <w:style w:type="paragraph" w:styleId="TOC7">
    <w:name w:val="toc 7"/>
    <w:basedOn w:val="Normal"/>
    <w:next w:val="Normal"/>
    <w:autoRedefine/>
    <w:uiPriority w:val="39"/>
    <w:unhideWhenUsed/>
    <w:rsid w:val="006C62B4"/>
    <w:pPr>
      <w:spacing w:after="100"/>
      <w:ind w:left="1320"/>
    </w:pPr>
    <w:rPr>
      <w:rFonts w:eastAsiaTheme="minorEastAsia"/>
      <w:lang w:eastAsia="en-AU"/>
    </w:rPr>
  </w:style>
  <w:style w:type="paragraph" w:styleId="TOC8">
    <w:name w:val="toc 8"/>
    <w:basedOn w:val="Normal"/>
    <w:next w:val="Normal"/>
    <w:autoRedefine/>
    <w:uiPriority w:val="39"/>
    <w:unhideWhenUsed/>
    <w:rsid w:val="006C62B4"/>
    <w:pPr>
      <w:spacing w:after="100"/>
      <w:ind w:left="1540"/>
    </w:pPr>
    <w:rPr>
      <w:rFonts w:eastAsiaTheme="minorEastAsia"/>
      <w:lang w:eastAsia="en-AU"/>
    </w:rPr>
  </w:style>
  <w:style w:type="paragraph" w:styleId="TOC9">
    <w:name w:val="toc 9"/>
    <w:basedOn w:val="Normal"/>
    <w:next w:val="Normal"/>
    <w:autoRedefine/>
    <w:uiPriority w:val="39"/>
    <w:unhideWhenUsed/>
    <w:rsid w:val="006C62B4"/>
    <w:pPr>
      <w:spacing w:after="100"/>
      <w:ind w:left="1760"/>
    </w:pPr>
    <w:rPr>
      <w:rFonts w:eastAsiaTheme="minorEastAsia"/>
      <w:lang w:eastAsia="en-AU"/>
    </w:rPr>
  </w:style>
  <w:style w:type="paragraph" w:styleId="Revision">
    <w:name w:val="Revision"/>
    <w:hidden/>
    <w:uiPriority w:val="99"/>
    <w:semiHidden/>
    <w:rsid w:val="00BD209C"/>
    <w:pPr>
      <w:spacing w:after="0" w:line="240" w:lineRule="auto"/>
    </w:pPr>
  </w:style>
  <w:style w:type="paragraph" w:customStyle="1" w:styleId="Assessortext">
    <w:name w:val="Assessor text"/>
    <w:basedOn w:val="NoSpacing"/>
    <w:link w:val="AssessortextChar"/>
    <w:qFormat/>
    <w:rsid w:val="00822988"/>
    <w:rPr>
      <w:color w:val="1F497D" w:themeColor="text2"/>
    </w:rPr>
  </w:style>
  <w:style w:type="character" w:customStyle="1" w:styleId="NoSpacingChar">
    <w:name w:val="No Spacing Char"/>
    <w:basedOn w:val="DefaultParagraphFont"/>
    <w:link w:val="NoSpacing"/>
    <w:uiPriority w:val="1"/>
    <w:rsid w:val="00C022D4"/>
  </w:style>
  <w:style w:type="character" w:customStyle="1" w:styleId="AssessortextChar">
    <w:name w:val="Assessor text Char"/>
    <w:basedOn w:val="NoSpacingChar"/>
    <w:link w:val="Assessortext"/>
    <w:rsid w:val="00822988"/>
    <w:rPr>
      <w:color w:val="1F497D" w:themeColor="text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423894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 Id="rId17" Type="http://schemas.openxmlformats.org/officeDocument/2006/relationships/hyperlink" Target="https://yat.timbaird.com/intranet/s1-cl1-at3/ict/lms-application-spec" TargetMode="External"/><Relationship Id="rId18" Type="http://schemas.openxmlformats.org/officeDocument/2006/relationships/hyperlink" Target="https://yat.timbaird.com/intranet/s1-cl1-at3/projects/lms-cloud-infrastructure/migration-requirements" TargetMode="External"/><Relationship Id="rId19" Type="http://schemas.openxmlformats.org/officeDocument/2006/relationships/hyperlink" Target="https://yat.timbaird.com/intranet/s1-cl1-at3/policies/records-management" TargetMode="External"/><Relationship Id="rId20" Type="http://schemas.openxmlformats.org/officeDocument/2006/relationships/hyperlink" Target="https://yat.timbaird.com/intranet/s1-cl1-at3/ict/network-diagram-post-cutover" TargetMode="External"/><Relationship Id="rId21" Type="http://schemas.openxmlformats.org/officeDocument/2006/relationships/hyperlink" Target="https://yat.timbaird.com/intranet/s1-cl1-at3/ict/lms-server-status-post-cutover" TargetMode="External"/><Relationship Id="rId22" Type="http://schemas.openxmlformats.org/officeDocument/2006/relationships/hyperlink" Target="https://yat.timbaird.com/intranet/s1-cl1-at3/projects/lms-cloud-infrastructure/role-brief" TargetMode="External"/><Relationship Id="rId23" Type="http://schemas.openxmlformats.org/officeDocument/2006/relationships/hyperlink" Target="https://yat.timbaird.com/intranet/s1-cl1-at3/projects/lms-cloud-infrastructure/cloud-architecture-baseline" TargetMode="External"/><Relationship Id="rId24" Type="http://schemas.openxmlformats.org/officeDocument/2006/relationships/hyperlink" Target="https://yat.timbaird.com/intranet/s1-cl1-at3/projects/lms-cloud-infrastructure/ha-database-requirements" TargetMode="External"/><Relationship Id="rId25" Type="http://schemas.openxmlformats.org/officeDocument/2006/relationships/hyperlink" Target="https://yat.timbaird.com/intranet/s1-cl1-at3/policies/change-management" TargetMode="External"/><Relationship Id="rId26" Type="http://schemas.openxmlformats.org/officeDocument/2006/relationships/hyperlink" Target="https://yat.timbaird.com/intranet/s1-cl1-at3/policies/backup-reten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Category0 xmlns="bef73783-b83a-4f38-94d5-1aaaa1b3b0a2">1</Category0>
    <i0f84bba906045b4af568ee102a52dcb xmlns="2933ac1b-cace-482f-bed9-bf9b7d80f34a">
      <Terms xmlns="http://schemas.microsoft.com/office/infopath/2007/PartnerControls">
        <TermInfo xmlns="http://schemas.microsoft.com/office/infopath/2007/PartnerControls">
          <TermName xmlns="http://schemas.microsoft.com/office/infopath/2007/PartnerControls">Corporate Records</TermName>
          <TermId xmlns="http://schemas.microsoft.com/office/infopath/2007/PartnerControls">2c702203-4f28-4769-bfc5-dad5ef3425c7</TermId>
        </TermInfo>
      </Terms>
    </i0f84bba906045b4af568ee102a52dcb>
    <TaxCatchAll xmlns="2933ac1b-cace-482f-bed9-bf9b7d80f34a">
      <Value>1</Value>
    </TaxCatchAll>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D17E1B4D89D91D49A316865B50B76B78" ma:contentTypeVersion="26" ma:contentTypeDescription="Create a new document." ma:contentTypeScope="" ma:versionID="2e43e94bda34b09537a48d601b321f81">
  <xsd:schema xmlns:xsd="http://www.w3.org/2001/XMLSchema" xmlns:xs="http://www.w3.org/2001/XMLSchema" xmlns:p="http://schemas.microsoft.com/office/2006/metadata/properties" xmlns:ns2="bef73783-b83a-4f38-94d5-1aaaa1b3b0a2" xmlns:ns3="2933ac1b-cace-482f-bed9-bf9b7d80f34a" targetNamespace="http://schemas.microsoft.com/office/2006/metadata/properties" ma:root="true" ma:fieldsID="68ad2338b471bae35515ce7eaf1f964b" ns2:_="" ns3:_="">
    <xsd:import namespace="bef73783-b83a-4f38-94d5-1aaaa1b3b0a2"/>
    <xsd:import namespace="2933ac1b-cace-482f-bed9-bf9b7d80f34a"/>
    <xsd:element name="properties">
      <xsd:complexType>
        <xsd:sequence>
          <xsd:element name="documentManagement">
            <xsd:complexType>
              <xsd:all>
                <xsd:element ref="ns2:Category0"/>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3:i0f84bba906045b4af568ee102a52dcb"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ef73783-b83a-4f38-94d5-1aaaa1b3b0a2" elementFormDefault="qualified">
    <xsd:import namespace="http://schemas.microsoft.com/office/2006/documentManagement/types"/>
    <xsd:import namespace="http://schemas.microsoft.com/office/infopath/2007/PartnerControls"/>
    <xsd:element name="Category0" ma:index="1" ma:displayName="Category" ma:list="{e352eeff-7a03-44ad-b6b6-d32a02ca5f04}" ma:internalName="Category0" ma:showField="Title">
      <xsd:simpleType>
        <xsd:restriction base="dms:Lookup"/>
      </xsd:simpleType>
    </xsd:element>
    <xsd:element name="MediaServiceMetadata" ma:index="3" nillable="true" ma:displayName="MediaServiceMetadata" ma:hidden="true" ma:internalName="MediaServiceMetadata" ma:readOnly="true">
      <xsd:simpleType>
        <xsd:restriction base="dms:Note"/>
      </xsd:simpleType>
    </xsd:element>
    <xsd:element name="MediaServiceFastMetadata" ma:index="4" nillable="true" ma:displayName="MediaServiceFastMetadata" ma:hidden="true" ma:internalName="MediaServiceFastMetadata" ma:readOnly="true">
      <xsd:simpleType>
        <xsd:restriction base="dms:Note"/>
      </xsd:simpleType>
    </xsd:element>
    <xsd:element name="MediaServiceAutoKeyPoints" ma:index="5" nillable="true" ma:displayName="MediaServiceAutoKeyPoints" ma:hidden="true" ma:internalName="MediaServiceAutoKeyPoints" ma:readOnly="true">
      <xsd:simpleType>
        <xsd:restriction base="dms:Note"/>
      </xsd:simpleType>
    </xsd:element>
    <xsd:element name="MediaServiceKeyPoints" ma:index="6" nillable="true" ma:displayName="KeyPoints" ma:hidden="true" ma:internalName="MediaServiceKeyPoints" ma:readOnly="true">
      <xsd:simpleType>
        <xsd:restriction base="dms:Note"/>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933ac1b-cace-482f-bed9-bf9b7d80f34a"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i0f84bba906045b4af568ee102a52dcb" ma:index="16" nillable="true" ma:taxonomy="true" ma:internalName="i0f84bba906045b4af568ee102a52dcb" ma:taxonomyFieldName="RevIMBCS" ma:displayName="BCS" ma:indexed="true" ma:default="1;#Corporate Records|2c702203-4f28-4769-bfc5-dad5ef3425c7" ma:fieldId="{20f84bba-9060-45b4-af56-8ee102a52dcb}" ma:sspId="091afa9e-3b53-4f20-88f0-103f5e5c16f8" ma:termSetId="1440586f-db91-49a6-a6c8-0d0e87c79c5d" ma:anchorId="337692dd-79bc-44ab-b3af-30e5d20addee" ma:open="false" ma:isKeyword="false">
      <xsd:complexType>
        <xsd:sequence>
          <xsd:element ref="pc:Terms" minOccurs="0" maxOccurs="1"/>
        </xsd:sequence>
      </xsd:complexType>
    </xsd:element>
    <xsd:element name="TaxCatchAll" ma:index="17" nillable="true" ma:displayName="Taxonomy Catch All Column" ma:hidden="true" ma:list="{e3d4b418-e09d-426a-a0c2-f466e962fc66}" ma:internalName="TaxCatchAll" ma:showField="CatchAllData" ma:web="2933ac1b-cace-482f-bed9-bf9b7d80f34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4363DD-6ED8-48FA-9DAB-FFE1A6F5C7B6}">
  <ds:schemaRefs>
    <ds:schemaRef ds:uri="http://schemas.microsoft.com/office/2006/metadata/properties"/>
    <ds:schemaRef ds:uri="http://schemas.microsoft.com/office/infopath/2007/PartnerControls"/>
    <ds:schemaRef ds:uri="bef73783-b83a-4f38-94d5-1aaaa1b3b0a2"/>
    <ds:schemaRef ds:uri="2933ac1b-cace-482f-bed9-bf9b7d80f34a"/>
  </ds:schemaRefs>
</ds:datastoreItem>
</file>

<file path=customXml/itemProps2.xml><?xml version="1.0" encoding="utf-8"?>
<ds:datastoreItem xmlns:ds="http://schemas.openxmlformats.org/officeDocument/2006/customXml" ds:itemID="{4B9B4C3B-E5DA-4AAF-B815-18D3ADD5B483}">
  <ds:schemaRefs>
    <ds:schemaRef ds:uri="http://schemas.microsoft.com/sharepoint/v3/contenttype/forms"/>
  </ds:schemaRefs>
</ds:datastoreItem>
</file>

<file path=customXml/itemProps3.xml><?xml version="1.0" encoding="utf-8"?>
<ds:datastoreItem xmlns:ds="http://schemas.openxmlformats.org/officeDocument/2006/customXml" ds:itemID="{A160A6A7-E4CF-4464-8769-5D74BD27FF60}"/>
</file>

<file path=customXml/itemProps4.xml><?xml version="1.0" encoding="utf-8"?>
<ds:datastoreItem xmlns:ds="http://schemas.openxmlformats.org/officeDocument/2006/customXml" ds:itemID="{B00AC358-B62E-4B92-87CA-9C4642B1F3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694</TotalTime>
  <Pages>2</Pages>
  <Words>620</Words>
  <Characters>3538</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Academic Governance &amp; Quality</dc:creator>
  <cp:lastModifiedBy>Ben Northcott</cp:lastModifiedBy>
  <cp:revision>81</cp:revision>
  <cp:lastPrinted>2019-09-16T04:16:00Z</cp:lastPrinted>
  <dcterms:created xsi:type="dcterms:W3CDTF">2019-09-13T00:47:00Z</dcterms:created>
  <dcterms:modified xsi:type="dcterms:W3CDTF">2024-03-13T04:31:00Z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0x010100D17E1B4D89D91D49A316865B50B76B78</vt:lpwstr>
  </property>
  <property fmtid="{D5CDD505-2E9C-101B-9397-08002B2CF9AE}" pid="3" name="GUID">
    <vt:lpwstr>9a1a8b35-933d-4e01-af2b-f27f7858afe9</vt:lpwstr>
  </property>
  <property fmtid="{D5CDD505-2E9C-101B-9397-08002B2CF9AE}" pid="4" name="xd_Signature">
    <vt:bool>false</vt:bool>
  </property>
  <property fmtid="{D5CDD505-2E9C-101B-9397-08002B2CF9AE}" pid="5" name="xd_ProgID">
    <vt:lpwstr/>
  </property>
  <property fmtid="{D5CDD505-2E9C-101B-9397-08002B2CF9AE}" pid="6" name="_SourceUrl">
    <vt:lpwstr/>
  </property>
  <property fmtid="{D5CDD505-2E9C-101B-9397-08002B2CF9AE}" pid="7" name="_SharedFileIndex">
    <vt:lpwstr/>
  </property>
  <property fmtid="{D5CDD505-2E9C-101B-9397-08002B2CF9AE}" pid="8" name="TemplateUrl">
    <vt:lpwstr/>
  </property>
  <property fmtid="{D5CDD505-2E9C-101B-9397-08002B2CF9AE}" pid="9" name="ComplianceAssetId">
    <vt:lpwstr/>
  </property>
  <property fmtid="{D5CDD505-2E9C-101B-9397-08002B2CF9AE}" pid="10" name="_ExtendedDescription">
    <vt:lpwstr/>
  </property>
  <property fmtid="{D5CDD505-2E9C-101B-9397-08002B2CF9AE}" pid="11" name="Category">
    <vt:lpwstr>Assessment</vt:lpwstr>
  </property>
  <property fmtid="{D5CDD505-2E9C-101B-9397-08002B2CF9AE}" pid="12" name="yagu">
    <vt:lpwstr>1.1</vt:lpwstr>
  </property>
  <property fmtid="{D5CDD505-2E9C-101B-9397-08002B2CF9AE}" pid="13" name="a0r9">
    <vt:filetime>2021-02-15T13:00:00Z</vt:filetime>
  </property>
  <property fmtid="{D5CDD505-2E9C-101B-9397-08002B2CF9AE}" pid="14" name="Example">
    <vt:lpwstr>https://staffkanganedu.sharepoint.com/:w:/r/sites/AcademicGovernance/Examples/EXAMPLE%20HLTWHS001%20Student%20-%20Project%20Assessment.docx?d=w14db7ff6ceb5487996ea989920e025f8&amp;csf=1&amp;web=1&amp;e=2tBRBu, EXAMPLE HLTWHS001 Student - Project Assessment</vt:lpwstr>
  </property>
  <property fmtid="{D5CDD505-2E9C-101B-9397-08002B2CF9AE}" pid="15" name="DocumentOrder">
    <vt:r8>7</vt:r8>
  </property>
  <property fmtid="{D5CDD505-2E9C-101B-9397-08002B2CF9AE}" pid="16" name="Notes0">
    <vt:lpwstr>Project Assessment</vt:lpwstr>
  </property>
  <property fmtid="{D5CDD505-2E9C-101B-9397-08002B2CF9AE}" pid="17" name="Guides">
    <vt:lpwstr>, </vt:lpwstr>
  </property>
  <property fmtid="{D5CDD505-2E9C-101B-9397-08002B2CF9AE}" pid="18" name="RevIMBCS">
    <vt:lpwstr>1;#Corporate Records|2c702203-4f28-4769-bfc5-dad5ef3425c7</vt:lpwstr>
  </property>
  <property fmtid="{D5CDD505-2E9C-101B-9397-08002B2CF9AE}" pid="19" name="ClassificationContentMarkingHeaderShapeIds">
    <vt:lpwstr>2625bdd2,764f60af,4986bcf9</vt:lpwstr>
  </property>
  <property fmtid="{D5CDD505-2E9C-101B-9397-08002B2CF9AE}" pid="20" name="ClassificationContentMarkingHeaderFontProps">
    <vt:lpwstr>#ff0000,12,Calibri</vt:lpwstr>
  </property>
  <property fmtid="{D5CDD505-2E9C-101B-9397-08002B2CF9AE}" pid="21" name="ClassificationContentMarkingHeaderText">
    <vt:lpwstr>OFFICIAL</vt:lpwstr>
  </property>
  <property fmtid="{D5CDD505-2E9C-101B-9397-08002B2CF9AE}" pid="22" name="MSIP_Label_af2c37eb-6316-4425-a693-0f2d1c6408d2_Enabled">
    <vt:lpwstr>true</vt:lpwstr>
  </property>
  <property fmtid="{D5CDD505-2E9C-101B-9397-08002B2CF9AE}" pid="23" name="MSIP_Label_af2c37eb-6316-4425-a693-0f2d1c6408d2_SetDate">
    <vt:lpwstr>2024-03-13T04:31:37Z</vt:lpwstr>
  </property>
  <property fmtid="{D5CDD505-2E9C-101B-9397-08002B2CF9AE}" pid="24" name="MSIP_Label_af2c37eb-6316-4425-a693-0f2d1c6408d2_Method">
    <vt:lpwstr>Privileged</vt:lpwstr>
  </property>
  <property fmtid="{D5CDD505-2E9C-101B-9397-08002B2CF9AE}" pid="25" name="MSIP_Label_af2c37eb-6316-4425-a693-0f2d1c6408d2_Name">
    <vt:lpwstr>BIL1 - Official</vt:lpwstr>
  </property>
  <property fmtid="{D5CDD505-2E9C-101B-9397-08002B2CF9AE}" pid="26" name="MSIP_Label_af2c37eb-6316-4425-a693-0f2d1c6408d2_SiteId">
    <vt:lpwstr>de0d62ec-e9af-4bee-83f5-f96b295e3fb3</vt:lpwstr>
  </property>
  <property fmtid="{D5CDD505-2E9C-101B-9397-08002B2CF9AE}" pid="27" name="MSIP_Label_af2c37eb-6316-4425-a693-0f2d1c6408d2_ActionId">
    <vt:lpwstr>77c1ff3c-e1f8-4473-a1a7-90bc4b08b31f</vt:lpwstr>
  </property>
  <property fmtid="{D5CDD505-2E9C-101B-9397-08002B2CF9AE}" pid="28" name="MSIP_Label_af2c37eb-6316-4425-a693-0f2d1c6408d2_ContentBits">
    <vt:lpwstr>1</vt:lpwstr>
  </property>
</Properties>
</file>