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one populated appendix.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two Configuration Decisions left to the implementer (per the supplied design §4.16) must be made by the student.</w:t>
            </w:r>
          </w:p>
          <w:p>
            <w:pPr>
              <w:pStyle w:val="Assessortext"/>
            </w:pPr>
            <w:r>
              <w:t>Submission: the completed Deployment Report (.docx) with the evidence appendix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one appendix of evidence.</w:t>
            </w:r>
          </w:p>
          <w:p>
            <w:pPr>
              <w:pStyle w:val="Assessortext"/>
            </w:pPr>
            <w:r>
              <w:t>The Deployment Report is the single submitted deliverable. All build evidence (screenshots, test results)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LMS Application Specification and the Records Management Policy</w:t>
            </w:r>
          </w:p>
          <w:p>
            <w:pPr>
              <w:pStyle w:val="Assessortext"/>
            </w:pPr>
            <w:r>
              <w:t>Both documents are linked in the Instructions to Student below</w:t>
            </w:r>
          </w:p>
          <w:p>
            <w:pPr>
              <w:pStyle w:val="Assessortext"/>
            </w:pPr>
            <w:r>
              <w:t>AWS Academy lab access — Cloud Foundations [104469] + Cloud Architecting [172221]</w:t>
            </w:r>
          </w:p>
          <w:p>
            <w:pPr>
              <w:pStyle w:val="Assessortext"/>
            </w:pPr>
            <w:r>
              <w:t>The worked run sheet later in this document — screenshot descriptions, model answers and per-task UoC mapping</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you are asked to write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and the organisational policies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Network foundation (tasks 2-7) — student builds the VPC; the five subnets, with the three workload subnets in one zone and the two second-zone subnets the load balancer and the database subnet group each require; the internet and NAT gateways; two route tables, the data subnets left on the VPC default which carries no internet route; and the three security groups, with the database reachable only from the application tier</w:t>
            </w:r>
          </w:p>
          <w:p>
            <w:pPr/>
            <w:r>
              <w:t>[ICTCLD401 PC 1.2] · [ICTCLD401 PC 1.7] · [ICTCLD401 PC 2.2] · [ICTCLD401 PE 1] · [ICTCLD502 PC 1.3]</w:t>
            </w:r>
          </w:p>
        </w:tc>
        <w:tc>
          <w:tcPr>
            <w:tcW w:type="dxa" w:w="1934"/>
          </w:tcPr>
          <w:p>
            <w:r>
              <w:t>☐ Yes  ☐ No</w:t>
            </w:r>
          </w:p>
        </w:tc>
      </w:tr>
      <w:tr>
        <w:tc>
          <w:tcPr>
            <w:tcW w:type="dxa" w:w="8697"/>
          </w:tcPr>
          <w:p>
            <w:r>
              <w:t>A2 Identity and access (tasks 1, 8-9) — student accesses the platform, creates the four IAM groups, enables MFA on an administrator, and creates the instance role so no credentials are stored on a server</w:t>
            </w:r>
          </w:p>
          <w:p>
            <w:pPr/>
            <w:r>
              <w:t>[ICTCLD401 PC 1.4] · [ICTCLD401 PC 1.5] · [ICTCLD401 PC 1.6] · [ICTCLD401 PC 2.1]</w:t>
            </w:r>
          </w:p>
        </w:tc>
        <w:tc>
          <w:tcPr>
            <w:tcW w:type="dxa" w:w="1934"/>
          </w:tcPr>
          <w:p>
            <w:r>
              <w:t>☐ Yes  ☐ No</w:t>
            </w:r>
          </w:p>
        </w:tc>
      </w:tr>
      <w:tr>
        <w:tc>
          <w:tcPr>
            <w:tcW w:type="dxa" w:w="8697"/>
          </w:tcPr>
          <w:p>
            <w:r>
              <w:t>A3 Compute and load balancing (tasks 10-13) — student creates the launch template with the instance role and both volumes, the target group and internet-facing load balancer, and the Auto Scaling group attached to that target group with a scaling policy</w:t>
            </w:r>
          </w:p>
          <w:p>
            <w:pPr/>
            <w:r>
              <w:t>[ICTCLD401 PC 2.3] · [ICTCLD401 PC 3.1] · [ICTCLD502 PC 4.1] · [ICTCLD401 PE 2]</w:t>
            </w:r>
          </w:p>
        </w:tc>
        <w:tc>
          <w:tcPr>
            <w:tcW w:type="dxa" w:w="1934"/>
          </w:tcPr>
          <w:p>
            <w:r>
              <w:t>☐ Yes  ☐ No</w:t>
            </w:r>
          </w:p>
        </w:tc>
      </w:tr>
      <w:tr>
        <w:tc>
          <w:tcPr>
            <w:tcW w:type="dxa" w:w="8697"/>
          </w:tcPr>
          <w:p>
            <w:r>
              <w:t>A4 Database (tasks 14-15) — student creates the subnet group spanning two zones and deploys the managed database: single-AZ, encrypted, not publicly accessible, and in the database security group</w:t>
            </w:r>
          </w:p>
          <w:p>
            <w:pPr/>
            <w:r>
              <w:t>[ICTCLD401 PC 2.4] · [ICTCLD401 PC 2.5] · [ICTCLD401 PE 2]</w:t>
            </w:r>
          </w:p>
        </w:tc>
        <w:tc>
          <w:tcPr>
            <w:tcW w:type="dxa" w:w="1934"/>
          </w:tcPr>
          <w:p>
            <w:r>
              <w:t>☐ Yes  ☐ No</w:t>
            </w:r>
          </w:p>
        </w:tc>
      </w:tr>
      <w:tr>
        <w:tc>
          <w:tcPr>
            <w:tcW w:type="dxa" w:w="8697"/>
          </w:tcPr>
          <w:p>
            <w:r>
              <w:t>A5 Monitoring (task 16) — student creates both baseline alarms and evidences their state</w:t>
            </w:r>
          </w:p>
          <w:p>
            <w:pPr/>
            <w:r>
              <w:t>[ICTCLD502 PC 4.3]</w:t>
            </w:r>
          </w:p>
        </w:tc>
        <w:tc>
          <w:tcPr>
            <w:tcW w:type="dxa" w:w="1934"/>
          </w:tcPr>
          <w:p>
            <w:r>
              <w:t>☐ Yes  ☐ No</w:t>
            </w:r>
          </w:p>
        </w:tc>
      </w:tr>
      <w:tr>
        <w:tc>
          <w:tcPr>
            <w:tcW w:type="dxa" w:w="8697"/>
          </w:tcPr>
          <w:p>
            <w:r>
              <w:t>A6 Configuration decisions (tasks 10 and 15) — for each of the two decisions the run sheet leaves open, student names the option not chosen, states the choice made, and justifies it against the YAT LMS workload. Naming the gap between what the environment permits and what the workload needs is a satisfactory answer</w:t>
            </w:r>
          </w:p>
          <w:p>
            <w:pPr/>
            <w:r>
              <w:t>[ICTCLD401 PC 1.1] · [ICTCLD401 PC 1.3]</w:t>
            </w:r>
          </w:p>
        </w:tc>
        <w:tc>
          <w:tcPr>
            <w:tcW w:type="dxa" w:w="1934"/>
          </w:tcPr>
          <w:p>
            <w:r>
              <w:t>☐ Yes  ☐ No</w:t>
            </w:r>
          </w:p>
        </w:tc>
      </w:tr>
      <w:tr>
        <w:tc>
          <w:tcPr>
            <w:tcW w:type="dxa" w:w="8697"/>
          </w:tcPr>
          <w:p>
            <w:r>
              <w:t>A7 Testing (T1-T5) — student connects to the application server, reaches the internet, the database and the load balancer from it, and demonstrates the Auto Scaling group scaling out and back in on its own. Each screenshot shows what its box asks for</w:t>
            </w:r>
          </w:p>
          <w:p>
            <w:pPr/>
            <w:r>
              <w:t>[ICTCLD401 PC 2.6] · [ICTCLD401 PC 3.2] · [ICTCLD401 PE 3] · [ICTCLD502 PC 4.2]</w:t>
            </w:r>
          </w:p>
        </w:tc>
        <w:tc>
          <w:tcPr>
            <w:tcW w:type="dxa" w:w="1934"/>
          </w:tcPr>
          <w:p>
            <w:r>
              <w:t>☐ Yes  ☐ No</w:t>
            </w:r>
          </w:p>
        </w:tc>
      </w:tr>
      <w:tr>
        <w:tc>
          <w:tcPr>
            <w:tcW w:type="dxa" w:w="8697"/>
          </w:tcPr>
          <w:p>
            <w:r>
              <w:t>A8 Knowledge questions (Q1-Q6) — student answers all six with reference to their own build, not generically, in clear written English</w:t>
            </w:r>
          </w:p>
          <w:p>
            <w:pPr/>
            <w:r>
              <w:t>[ICTCLD401 KE 5] · [ICTCLD401 KE 6] · [ICTCLD401 KE 7] · [ICTCLD401 KE 8] · [ICTCLD401 KE 9] · [ICTCLD401 KE 10] · [ICTCLD401 FS Reading] · [ICTCLD401 FS Writing]</w:t>
            </w:r>
          </w:p>
        </w:tc>
        <w:tc>
          <w:tcPr>
            <w:tcW w:type="dxa" w:w="1934"/>
          </w:tcPr>
          <w:p>
            <w:r>
              <w:t>☐ Yes  ☐ No</w:t>
            </w:r>
          </w:p>
        </w:tc>
      </w:tr>
      <w:tr>
        <w:tc>
          <w:tcPr>
            <w:tcW w:type="dxa" w:w="8697"/>
          </w:tcPr>
          <w:p>
            <w:r>
              <w:t>A9 Handover — student states where the completed run sheet was filed and which YAT policy required that location</w:t>
            </w:r>
          </w:p>
          <w:p>
            <w:pPr/>
            <w:r>
              <w:t>[ICTCLD401 PC 4.3]</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80"/>
      </w:pPr>
      <w:r>
        <w:rPr>
          <w:b w:val="0"/>
          <w:i/>
          <w:color w:val="6B6660"/>
          <w:sz w:val="18"/>
        </w:rPr>
        <w:t>Evidences: [ICTCLD401 PC 1.4]</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console with the region selector visible, showing the correct region.</w:t>
            </w:r>
          </w:p>
          <w:p>
            <w:pPr>
              <w:jc w:val="center"/>
            </w:pPr>
            <w:r>
              <w:drawing>
                <wp:inline xmlns:a="http://schemas.openxmlformats.org/drawingml/2006/main" xmlns:pic="http://schemas.openxmlformats.org/drawingml/2006/picture">
                  <wp:extent cx="5760000" cy="4708280"/>
                  <wp:docPr id="1" name="Picture 1"/>
                  <wp:cNvGraphicFramePr>
                    <a:graphicFrameLocks noChangeAspect="1"/>
                  </wp:cNvGraphicFramePr>
                  <a:graphic>
                    <a:graphicData uri="http://schemas.openxmlformats.org/drawingml/2006/picture">
                      <pic:pic>
                        <pic:nvPicPr>
                          <pic:cNvPr id="0" name="task-01.png"/>
                          <pic:cNvPicPr/>
                        </pic:nvPicPr>
                        <pic:blipFill>
                          <a:blip r:embed="rId19"/>
                          <a:stretch>
                            <a:fillRect/>
                          </a:stretch>
                        </pic:blipFill>
                        <pic:spPr>
                          <a:xfrm>
                            <a:off x="0" y="0"/>
                            <a:ext cx="5760000" cy="4708280"/>
                          </a:xfrm>
                          <a:prstGeom prst="rect"/>
                        </pic:spPr>
                      </pic:pic>
                    </a:graphicData>
                  </a:graphic>
                </wp:inline>
              </w:drawing>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p>
      <w:pPr>
        <w:spacing w:after="200"/>
      </w:pPr>
      <w:r>
        <w:rPr>
          <w:b w:val="0"/>
          <w:i/>
          <w:color w:val="6B6660"/>
          <w:sz w:val="19"/>
        </w:rPr>
        <w:t>No screenshot required. Creating the VPC is not an assessable action on its own — it is the prerequisite for everything that follows, all of which is built inside it.</w:t>
      </w:r>
    </w:p>
    <w:p>
      <w:pPr>
        <w:spacing w:before="200" w:after="0"/>
      </w:pPr>
      <w:r>
        <w:rPr>
          <w:b/>
          <w:color w:val="1F5A5C"/>
          <w:sz w:val="16"/>
        </w:rPr>
        <w:t>TASK 3</w:t>
      </w:r>
    </w:p>
    <w:p>
      <w:pPr>
        <w:pStyle w:val="Heading2"/>
      </w:pPr>
      <w:r>
        <w:t>Create the subnets</w:t>
      </w:r>
    </w:p>
    <w:p>
      <w:pPr>
        <w:spacing w:after="80"/>
      </w:pPr>
      <w:r>
        <w:rPr>
          <w:b w:val="0"/>
          <w:i/>
          <w:color w:val="6B6660"/>
          <w:sz w:val="18"/>
        </w:rPr>
        <w:t>Evidences: [ICTCLD401 PC 2.2] · [ICTCLD401 PE 1]</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subnet list filtered to your VPC, showing all five with their address ranges and, in particular, the Availability Zone column.</w:t>
            </w:r>
          </w:p>
          <w:p>
            <w:pPr>
              <w:jc w:val="center"/>
            </w:pPr>
            <w:r>
              <w:drawing>
                <wp:inline xmlns:a="http://schemas.openxmlformats.org/drawingml/2006/main" xmlns:pic="http://schemas.openxmlformats.org/drawingml/2006/picture">
                  <wp:extent cx="5760000" cy="982259"/>
                  <wp:docPr id="2" name="Picture 2"/>
                  <wp:cNvGraphicFramePr>
                    <a:graphicFrameLocks noChangeAspect="1"/>
                  </wp:cNvGraphicFramePr>
                  <a:graphic>
                    <a:graphicData uri="http://schemas.openxmlformats.org/drawingml/2006/picture">
                      <pic:pic>
                        <pic:nvPicPr>
                          <pic:cNvPr id="0" name="task-03.png"/>
                          <pic:cNvPicPr/>
                        </pic:nvPicPr>
                        <pic:blipFill>
                          <a:blip r:embed="rId20"/>
                          <a:stretch>
                            <a:fillRect/>
                          </a:stretch>
                        </pic:blipFill>
                        <pic:spPr>
                          <a:xfrm>
                            <a:off x="0" y="0"/>
                            <a:ext cx="5760000" cy="982259"/>
                          </a:xfrm>
                          <a:prstGeom prst="rect"/>
                        </pic:spPr>
                      </pic:pic>
                    </a:graphicData>
                  </a:graphic>
                </wp:inline>
              </w:drawing>
            </w:r>
          </w:p>
        </w:tc>
      </w:tr>
    </w:tbl>
    <w:p/>
    <w:p>
      <w:pPr>
        <w:spacing w:before="200" w:after="0"/>
      </w:pPr>
      <w:r>
        <w:rPr>
          <w:b/>
          <w:color w:val="1F5A5C"/>
          <w:sz w:val="16"/>
        </w:rPr>
        <w:t>TASK 4</w:t>
      </w:r>
    </w:p>
    <w:p>
      <w:pPr>
        <w:pStyle w:val="Heading2"/>
      </w:pPr>
      <w:r>
        <w:t>Create the internet gateway</w:t>
      </w:r>
    </w:p>
    <w:p>
      <w:pPr>
        <w:spacing w:after="80"/>
      </w:pPr>
      <w:r>
        <w:rPr>
          <w:b w:val="0"/>
          <w:i/>
          <w:color w:val="6B6660"/>
          <w:sz w:val="18"/>
        </w:rPr>
        <w:t>Evidences: [ICTCLD401 PC 2.2] · [ICTCLD401 PE 1]</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internet gateway showing State: Attached, and the VPC it is attached to.</w:t>
            </w:r>
          </w:p>
          <w:p>
            <w:pPr>
              <w:jc w:val="center"/>
            </w:pPr>
            <w:r>
              <w:drawing>
                <wp:inline xmlns:a="http://schemas.openxmlformats.org/drawingml/2006/main" xmlns:pic="http://schemas.openxmlformats.org/drawingml/2006/picture">
                  <wp:extent cx="5760000" cy="860437"/>
                  <wp:docPr id="3" name="Picture 3"/>
                  <wp:cNvGraphicFramePr>
                    <a:graphicFrameLocks noChangeAspect="1"/>
                  </wp:cNvGraphicFramePr>
                  <a:graphic>
                    <a:graphicData uri="http://schemas.openxmlformats.org/drawingml/2006/picture">
                      <pic:pic>
                        <pic:nvPicPr>
                          <pic:cNvPr id="0" name="task-04.png"/>
                          <pic:cNvPicPr/>
                        </pic:nvPicPr>
                        <pic:blipFill>
                          <a:blip r:embed="rId21"/>
                          <a:stretch>
                            <a:fillRect/>
                          </a:stretch>
                        </pic:blipFill>
                        <pic:spPr>
                          <a:xfrm>
                            <a:off x="0" y="0"/>
                            <a:ext cx="5760000" cy="860437"/>
                          </a:xfrm>
                          <a:prstGeom prst="rect"/>
                        </pic:spPr>
                      </pic:pic>
                    </a:graphicData>
                  </a:graphic>
                </wp:inline>
              </w:drawing>
            </w:r>
          </w:p>
        </w:tc>
      </w:tr>
    </w:tbl>
    <w:p/>
    <w:p>
      <w:pPr>
        <w:spacing w:before="200" w:after="0"/>
      </w:pPr>
      <w:r>
        <w:rPr>
          <w:b/>
          <w:color w:val="1F5A5C"/>
          <w:sz w:val="16"/>
        </w:rPr>
        <w:t>TASK 5</w:t>
      </w:r>
    </w:p>
    <w:p>
      <w:pPr>
        <w:pStyle w:val="Heading2"/>
      </w:pPr>
      <w:r>
        <w:t>Create the NAT gateway</w:t>
      </w:r>
    </w:p>
    <w:p>
      <w:pPr>
        <w:spacing w:after="80"/>
      </w:pPr>
      <w:r>
        <w:rPr>
          <w:b w:val="0"/>
          <w:i/>
          <w:color w:val="6B6660"/>
          <w:sz w:val="18"/>
        </w:rPr>
        <w:t>Evidences: [ICTCLD401 PC 2.2] · [ICTCLD401 PE 1]</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NAT gateway showing State: Available, its subnet and its Elastic IP.</w:t>
            </w:r>
          </w:p>
          <w:p>
            <w:pPr>
              <w:jc w:val="center"/>
            </w:pPr>
            <w:r>
              <w:drawing>
                <wp:inline xmlns:a="http://schemas.openxmlformats.org/drawingml/2006/main" xmlns:pic="http://schemas.openxmlformats.org/drawingml/2006/picture">
                  <wp:extent cx="5760000" cy="1933032"/>
                  <wp:docPr id="4" name="Picture 4"/>
                  <wp:cNvGraphicFramePr>
                    <a:graphicFrameLocks noChangeAspect="1"/>
                  </wp:cNvGraphicFramePr>
                  <a:graphic>
                    <a:graphicData uri="http://schemas.openxmlformats.org/drawingml/2006/picture">
                      <pic:pic>
                        <pic:nvPicPr>
                          <pic:cNvPr id="0" name="task-05.png"/>
                          <pic:cNvPicPr/>
                        </pic:nvPicPr>
                        <pic:blipFill>
                          <a:blip r:embed="rId22"/>
                          <a:stretch>
                            <a:fillRect/>
                          </a:stretch>
                        </pic:blipFill>
                        <pic:spPr>
                          <a:xfrm>
                            <a:off x="0" y="0"/>
                            <a:ext cx="5760000" cy="1933032"/>
                          </a:xfrm>
                          <a:prstGeom prst="rect"/>
                        </pic:spPr>
                      </pic:pic>
                    </a:graphicData>
                  </a:graphic>
                </wp:inline>
              </w:drawing>
            </w:r>
          </w:p>
        </w:tc>
      </w:tr>
    </w:tbl>
    <w:p/>
    <w:p>
      <w:pPr>
        <w:spacing w:before="200" w:after="0"/>
      </w:pPr>
      <w:r>
        <w:rPr>
          <w:b/>
          <w:color w:val="1F5A5C"/>
          <w:sz w:val="16"/>
        </w:rPr>
        <w:t>TASK 6</w:t>
      </w:r>
    </w:p>
    <w:p>
      <w:pPr>
        <w:pStyle w:val="Heading2"/>
      </w:pPr>
      <w:r>
        <w:t>Create the route tables</w:t>
      </w:r>
    </w:p>
    <w:p>
      <w:pPr>
        <w:spacing w:after="80"/>
      </w:pPr>
      <w:r>
        <w:rPr>
          <w:b w:val="0"/>
          <w:i/>
          <w:color w:val="6B6660"/>
          <w:sz w:val="18"/>
        </w:rPr>
        <w:t>Evidences: [ICTCLD401 PC 2.2] · [ICTCLD401 PE 1]</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both route tables, showing their routes and their subnet associations.</w:t>
            </w:r>
          </w:p>
          <w:p>
            <w:pPr>
              <w:jc w:val="center"/>
            </w:pPr>
            <w:r>
              <w:drawing>
                <wp:inline xmlns:a="http://schemas.openxmlformats.org/drawingml/2006/main" xmlns:pic="http://schemas.openxmlformats.org/drawingml/2006/picture">
                  <wp:extent cx="5760000" cy="1786113"/>
                  <wp:docPr id="5" name="Picture 5"/>
                  <wp:cNvGraphicFramePr>
                    <a:graphicFrameLocks noChangeAspect="1"/>
                  </wp:cNvGraphicFramePr>
                  <a:graphic>
                    <a:graphicData uri="http://schemas.openxmlformats.org/drawingml/2006/picture">
                      <pic:pic>
                        <pic:nvPicPr>
                          <pic:cNvPr id="0" name="task-06.1.png"/>
                          <pic:cNvPicPr/>
                        </pic:nvPicPr>
                        <pic:blipFill>
                          <a:blip r:embed="rId23"/>
                          <a:stretch>
                            <a:fillRect/>
                          </a:stretch>
                        </pic:blipFill>
                        <pic:spPr>
                          <a:xfrm>
                            <a:off x="0" y="0"/>
                            <a:ext cx="5760000" cy="178611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900293"/>
                  <wp:docPr id="6" name="Picture 6"/>
                  <wp:cNvGraphicFramePr>
                    <a:graphicFrameLocks noChangeAspect="1"/>
                  </wp:cNvGraphicFramePr>
                  <a:graphic>
                    <a:graphicData uri="http://schemas.openxmlformats.org/drawingml/2006/picture">
                      <pic:pic>
                        <pic:nvPicPr>
                          <pic:cNvPr id="0" name="task-06.2.png"/>
                          <pic:cNvPicPr/>
                        </pic:nvPicPr>
                        <pic:blipFill>
                          <a:blip r:embed="rId24"/>
                          <a:stretch>
                            <a:fillRect/>
                          </a:stretch>
                        </pic:blipFill>
                        <pic:spPr>
                          <a:xfrm>
                            <a:off x="0" y="0"/>
                            <a:ext cx="5760000" cy="1900293"/>
                          </a:xfrm>
                          <a:prstGeom prst="rect"/>
                        </pic:spPr>
                      </pic:pic>
                    </a:graphicData>
                  </a:graphic>
                </wp:inline>
              </w:drawing>
            </w:r>
          </w:p>
        </w:tc>
      </w:tr>
    </w:tbl>
    <w:p/>
    <w:p>
      <w:pPr>
        <w:spacing w:before="200" w:after="0"/>
      </w:pPr>
      <w:r>
        <w:rPr>
          <w:b/>
          <w:color w:val="1F5A5C"/>
          <w:sz w:val="16"/>
        </w:rPr>
        <w:t>TASK 7</w:t>
      </w:r>
    </w:p>
    <w:p>
      <w:pPr>
        <w:pStyle w:val="Heading2"/>
      </w:pPr>
      <w:r>
        <w:t>Create the three security groups</w:t>
      </w:r>
    </w:p>
    <w:p>
      <w:pPr>
        <w:spacing w:after="80"/>
      </w:pPr>
      <w:r>
        <w:rPr>
          <w:b w:val="0"/>
          <w:i/>
          <w:color w:val="6B6660"/>
          <w:sz w:val="18"/>
        </w:rPr>
        <w:t>Evidences: [ICTCLD401 PC 1.7] · [ICTCLD502 PC 1.3]</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all three security groups with their inbound rules expanded.</w:t>
            </w:r>
          </w:p>
          <w:p>
            <w:pPr>
              <w:jc w:val="center"/>
            </w:pPr>
            <w:r>
              <w:drawing>
                <wp:inline xmlns:a="http://schemas.openxmlformats.org/drawingml/2006/main" xmlns:pic="http://schemas.openxmlformats.org/drawingml/2006/picture">
                  <wp:extent cx="5760000" cy="1725463"/>
                  <wp:docPr id="7" name="Picture 7"/>
                  <wp:cNvGraphicFramePr>
                    <a:graphicFrameLocks noChangeAspect="1"/>
                  </wp:cNvGraphicFramePr>
                  <a:graphic>
                    <a:graphicData uri="http://schemas.openxmlformats.org/drawingml/2006/picture">
                      <pic:pic>
                        <pic:nvPicPr>
                          <pic:cNvPr id="0" name="task-07.1.png"/>
                          <pic:cNvPicPr/>
                        </pic:nvPicPr>
                        <pic:blipFill>
                          <a:blip r:embed="rId25"/>
                          <a:stretch>
                            <a:fillRect/>
                          </a:stretch>
                        </pic:blipFill>
                        <pic:spPr>
                          <a:xfrm>
                            <a:off x="0" y="0"/>
                            <a:ext cx="5760000" cy="172546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28426"/>
                  <wp:docPr id="8" name="Picture 8"/>
                  <wp:cNvGraphicFramePr>
                    <a:graphicFrameLocks noChangeAspect="1"/>
                  </wp:cNvGraphicFramePr>
                  <a:graphic>
                    <a:graphicData uri="http://schemas.openxmlformats.org/drawingml/2006/picture">
                      <pic:pic>
                        <pic:nvPicPr>
                          <pic:cNvPr id="0" name="task-07.2.png"/>
                          <pic:cNvPicPr/>
                        </pic:nvPicPr>
                        <pic:blipFill>
                          <a:blip r:embed="rId26"/>
                          <a:stretch>
                            <a:fillRect/>
                          </a:stretch>
                        </pic:blipFill>
                        <pic:spPr>
                          <a:xfrm>
                            <a:off x="0" y="0"/>
                            <a:ext cx="5760000" cy="17284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73944"/>
                  <wp:docPr id="9" name="Picture 9"/>
                  <wp:cNvGraphicFramePr>
                    <a:graphicFrameLocks noChangeAspect="1"/>
                  </wp:cNvGraphicFramePr>
                  <a:graphic>
                    <a:graphicData uri="http://schemas.openxmlformats.org/drawingml/2006/picture">
                      <pic:pic>
                        <pic:nvPicPr>
                          <pic:cNvPr id="0" name="task-07.3.png"/>
                          <pic:cNvPicPr/>
                        </pic:nvPicPr>
                        <pic:blipFill>
                          <a:blip r:embed="rId27"/>
                          <a:stretch>
                            <a:fillRect/>
                          </a:stretch>
                        </pic:blipFill>
                        <pic:spPr>
                          <a:xfrm>
                            <a:off x="0" y="0"/>
                            <a:ext cx="5760000" cy="1773944"/>
                          </a:xfrm>
                          <a:prstGeom prst="rect"/>
                        </pic:spPr>
                      </pic:pic>
                    </a:graphicData>
                  </a:graphic>
                </wp:inline>
              </w:drawing>
            </w:r>
          </w:p>
        </w:tc>
      </w:tr>
    </w:tbl>
    <w:p/>
    <w:p>
      <w:pPr>
        <w:spacing w:before="200" w:after="0"/>
      </w:pPr>
      <w:r>
        <w:rPr>
          <w:b/>
          <w:color w:val="1F5A5C"/>
          <w:sz w:val="16"/>
        </w:rPr>
        <w:t>TASK 8</w:t>
      </w:r>
    </w:p>
    <w:p>
      <w:pPr>
        <w:pStyle w:val="Heading2"/>
      </w:pPr>
      <w:r>
        <w:t>Configure the access model</w:t>
      </w:r>
    </w:p>
    <w:p>
      <w:pPr>
        <w:spacing w:after="80"/>
      </w:pPr>
      <w:r>
        <w:rPr>
          <w:b w:val="0"/>
          <w:i/>
          <w:color w:val="6B6660"/>
          <w:sz w:val="18"/>
        </w:rPr>
        <w:t>Evidences: [ICTCLD401 PC 1.5] · [ICTCLD401 PC 2.1]</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Identity is what decides who can grant themselves more access. A group that can rewrite its own permissions has no boundary at all — it could give itself anything. So YAT ICT can see and operate everything, and identity stays with whoever governs the account. The user carries CloudWatch access directly rather than through the group, which shows permissions can sit in either place; groups are for not repeating yourself across many users, not a requirement.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group form — YAT-ICT-Admins with ReadOnlyAccess attached — and the error returned.</w:t>
            </w:r>
          </w:p>
          <w:p>
            <w:pPr>
              <w:jc w:val="center"/>
            </w:pPr>
            <w:r>
              <w:drawing>
                <wp:inline xmlns:a="http://schemas.openxmlformats.org/drawingml/2006/main" xmlns:pic="http://schemas.openxmlformats.org/drawingml/2006/picture">
                  <wp:extent cx="5760000" cy="3437826"/>
                  <wp:docPr id="10" name="Picture 10"/>
                  <wp:cNvGraphicFramePr>
                    <a:graphicFrameLocks noChangeAspect="1"/>
                  </wp:cNvGraphicFramePr>
                  <a:graphic>
                    <a:graphicData uri="http://schemas.openxmlformats.org/drawingml/2006/picture">
                      <pic:pic>
                        <pic:nvPicPr>
                          <pic:cNvPr id="0" name="task-08.1.png"/>
                          <pic:cNvPicPr/>
                        </pic:nvPicPr>
                        <pic:blipFill>
                          <a:blip r:embed="rId28"/>
                          <a:stretch>
                            <a:fillRect/>
                          </a:stretch>
                        </pic:blipFill>
                        <pic:spPr>
                          <a:xfrm>
                            <a:off x="0" y="0"/>
                            <a:ext cx="5760000" cy="34378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user form — swalker with CloudWatchFullAccess attached — and the error returned.</w:t>
            </w:r>
          </w:p>
          <w:p>
            <w:pPr>
              <w:jc w:val="center"/>
            </w:pPr>
            <w:r>
              <w:drawing>
                <wp:inline xmlns:a="http://schemas.openxmlformats.org/drawingml/2006/main" xmlns:pic="http://schemas.openxmlformats.org/drawingml/2006/picture">
                  <wp:extent cx="5760000" cy="1717206"/>
                  <wp:docPr id="11" name="Picture 11"/>
                  <wp:cNvGraphicFramePr>
                    <a:graphicFrameLocks noChangeAspect="1"/>
                  </wp:cNvGraphicFramePr>
                  <a:graphic>
                    <a:graphicData uri="http://schemas.openxmlformats.org/drawingml/2006/picture">
                      <pic:pic>
                        <pic:nvPicPr>
                          <pic:cNvPr id="0" name="task-08.2.png"/>
                          <pic:cNvPicPr/>
                        </pic:nvPicPr>
                        <pic:blipFill>
                          <a:blip r:embed="rId29"/>
                          <a:stretch>
                            <a:fillRect/>
                          </a:stretch>
                        </pic:blipFill>
                        <pic:spPr>
                          <a:xfrm>
                            <a:off x="0" y="0"/>
                            <a:ext cx="5760000" cy="1717206"/>
                          </a:xfrm>
                          <a:prstGeom prst="rect"/>
                        </pic:spPr>
                      </pic:pic>
                    </a:graphicData>
                  </a:graphic>
                </wp:inline>
              </w:drawing>
            </w:r>
          </w:p>
        </w:tc>
      </w:tr>
    </w:tbl>
    <w:p/>
    <w:p>
      <w:pPr>
        <w:spacing w:before="200" w:after="0"/>
      </w:pPr>
      <w:r>
        <w:rPr>
          <w:b/>
          <w:color w:val="1F5A5C"/>
          <w:sz w:val="16"/>
        </w:rPr>
        <w:t>TASK 9</w:t>
      </w:r>
    </w:p>
    <w:p>
      <w:pPr>
        <w:pStyle w:val="Heading2"/>
      </w:pPr>
      <w:r>
        <w:t>Review the instance role</w:t>
      </w:r>
    </w:p>
    <w:p>
      <w:pPr>
        <w:spacing w:after="80"/>
      </w:pPr>
      <w:r>
        <w:rPr>
          <w:b w:val="0"/>
          <w:i/>
          <w:color w:val="6B6660"/>
          <w:sz w:val="18"/>
        </w:rPr>
        <w:t>Evidences: [ICTCLD401 PC 1.6] · [ICTCLD401 PC 1.7]</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LabRole summary page with the Permissions tab open, showing the policies attached to it.</w:t>
            </w:r>
          </w:p>
          <w:p>
            <w:pPr>
              <w:jc w:val="center"/>
            </w:pPr>
            <w:r>
              <w:drawing>
                <wp:inline xmlns:a="http://schemas.openxmlformats.org/drawingml/2006/main" xmlns:pic="http://schemas.openxmlformats.org/drawingml/2006/picture">
                  <wp:extent cx="5760000" cy="2758383"/>
                  <wp:docPr id="12" name="Picture 12"/>
                  <wp:cNvGraphicFramePr>
                    <a:graphicFrameLocks noChangeAspect="1"/>
                  </wp:cNvGraphicFramePr>
                  <a:graphic>
                    <a:graphicData uri="http://schemas.openxmlformats.org/drawingml/2006/picture">
                      <pic:pic>
                        <pic:nvPicPr>
                          <pic:cNvPr id="0" name="task-09.png"/>
                          <pic:cNvPicPr/>
                        </pic:nvPicPr>
                        <pic:blipFill>
                          <a:blip r:embed="rId30"/>
                          <a:stretch>
                            <a:fillRect/>
                          </a:stretch>
                        </pic:blipFill>
                        <pic:spPr>
                          <a:xfrm>
                            <a:off x="0" y="0"/>
                            <a:ext cx="5760000" cy="2758383"/>
                          </a:xfrm>
                          <a:prstGeom prst="rect"/>
                        </pic:spPr>
                      </pic:pic>
                    </a:graphicData>
                  </a:graphic>
                </wp:inline>
              </w:drawing>
            </w:r>
          </w:p>
        </w:tc>
      </w:tr>
    </w:tbl>
    <w:p/>
    <w:p>
      <w:pPr>
        <w:spacing w:before="200" w:after="0"/>
      </w:pPr>
      <w:r>
        <w:rPr>
          <w:b/>
          <w:color w:val="1F5A5C"/>
          <w:sz w:val="16"/>
        </w:rPr>
        <w:t>TASK 10</w:t>
      </w:r>
    </w:p>
    <w:p>
      <w:pPr>
        <w:pStyle w:val="Heading2"/>
      </w:pPr>
      <w:r>
        <w:t>Create the launch template</w:t>
      </w:r>
    </w:p>
    <w:p>
      <w:pPr>
        <w:spacing w:after="80"/>
      </w:pPr>
      <w:r>
        <w:rPr>
          <w:b w:val="0"/>
          <w:i/>
          <w:color w:val="6B6660"/>
          <w:sz w:val="18"/>
        </w:rPr>
        <w:t>Evidences: [ICTCLD401 PC 2.3] · [ICTCLD401 PC 2.4] · [ICTCLD401 PC 1.1] · [ICTCLD401 PC 1.3]</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t3.micro has 1 GiB of memory and t3.small has 2 GiB. Windows Server alone uses most of 1 GiB before the application starts, so t3.micro would spend its time paging and the health check would be slow and unreliable. I chose t3.small. Both are well below what the specification's 200–300 typical concurrent users would need — in production I would size to a general-purpose instance several times this — but this environment caps what I can launch, and t3.small is the better of the two available.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launch template summary, showing the AMI, instance type, instance profile, security group and both volumes.</w:t>
            </w:r>
          </w:p>
          <w:p>
            <w:pPr>
              <w:jc w:val="center"/>
            </w:pPr>
            <w:r>
              <w:drawing>
                <wp:inline xmlns:a="http://schemas.openxmlformats.org/drawingml/2006/main" xmlns:pic="http://schemas.openxmlformats.org/drawingml/2006/picture">
                  <wp:extent cx="5760000" cy="2039648"/>
                  <wp:docPr id="13" name="Picture 13"/>
                  <wp:cNvGraphicFramePr>
                    <a:graphicFrameLocks noChangeAspect="1"/>
                  </wp:cNvGraphicFramePr>
                  <a:graphic>
                    <a:graphicData uri="http://schemas.openxmlformats.org/drawingml/2006/picture">
                      <pic:pic>
                        <pic:nvPicPr>
                          <pic:cNvPr id="0" name="task-10.png"/>
                          <pic:cNvPicPr/>
                        </pic:nvPicPr>
                        <pic:blipFill>
                          <a:blip r:embed="rId31"/>
                          <a:stretch>
                            <a:fillRect/>
                          </a:stretch>
                        </pic:blipFill>
                        <pic:spPr>
                          <a:xfrm>
                            <a:off x="0" y="0"/>
                            <a:ext cx="5760000" cy="2039648"/>
                          </a:xfrm>
                          <a:prstGeom prst="rect"/>
                        </pic:spPr>
                      </pic:pic>
                    </a:graphicData>
                  </a:graphic>
                </wp:inline>
              </w:drawing>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p>
      <w:pPr>
        <w:spacing w:after="200"/>
      </w:pPr>
      <w:r>
        <w:rPr>
          <w:b w:val="0"/>
          <w:i/>
          <w:color w:val="6B6660"/>
          <w:sz w:val="19"/>
        </w:rPr>
        <w:t>No screenshot required. Creating the target group is not an assessable action on its own — it is the prerequisite for the load balancer, which sends traffic to it, and the Auto Scaling group, which fills it with servers.</w:t>
      </w:r>
    </w:p>
    <w:p>
      <w:pPr>
        <w:spacing w:before="200" w:after="0"/>
      </w:pPr>
      <w:r>
        <w:rPr>
          <w:b/>
          <w:color w:val="1F5A5C"/>
          <w:sz w:val="16"/>
        </w:rPr>
        <w:t>TASK 12</w:t>
      </w:r>
    </w:p>
    <w:p>
      <w:pPr>
        <w:pStyle w:val="Heading2"/>
      </w:pPr>
      <w:r>
        <w:t>Create the load balancer</w:t>
      </w:r>
    </w:p>
    <w:p>
      <w:pPr>
        <w:spacing w:after="80"/>
      </w:pPr>
      <w:r>
        <w:rPr>
          <w:b w:val="0"/>
          <w:i/>
          <w:color w:val="6B6660"/>
          <w:sz w:val="18"/>
        </w:rPr>
        <w:t>Evidences: [ICTCLD401 PC 2.2] · [ICTCLD502 PC 4.1]</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load balancer summary, showing its scheme, DNS name, subnets and security group.</w:t>
            </w:r>
          </w:p>
          <w:p>
            <w:pPr>
              <w:jc w:val="center"/>
            </w:pPr>
            <w:r>
              <w:drawing>
                <wp:inline xmlns:a="http://schemas.openxmlformats.org/drawingml/2006/main" xmlns:pic="http://schemas.openxmlformats.org/drawingml/2006/picture">
                  <wp:extent cx="5760000" cy="2851871"/>
                  <wp:docPr id="14" name="Picture 14"/>
                  <wp:cNvGraphicFramePr>
                    <a:graphicFrameLocks noChangeAspect="1"/>
                  </wp:cNvGraphicFramePr>
                  <a:graphic>
                    <a:graphicData uri="http://schemas.openxmlformats.org/drawingml/2006/picture">
                      <pic:pic>
                        <pic:nvPicPr>
                          <pic:cNvPr id="0" name="task-12.1.png"/>
                          <pic:cNvPicPr/>
                        </pic:nvPicPr>
                        <pic:blipFill>
                          <a:blip r:embed="rId32"/>
                          <a:stretch>
                            <a:fillRect/>
                          </a:stretch>
                        </pic:blipFill>
                        <pic:spPr>
                          <a:xfrm>
                            <a:off x="0" y="0"/>
                            <a:ext cx="5760000" cy="2851871"/>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746"/>
                  <wp:docPr id="15" name="Picture 15"/>
                  <wp:cNvGraphicFramePr>
                    <a:graphicFrameLocks noChangeAspect="1"/>
                  </wp:cNvGraphicFramePr>
                  <a:graphic>
                    <a:graphicData uri="http://schemas.openxmlformats.org/drawingml/2006/picture">
                      <pic:pic>
                        <pic:nvPicPr>
                          <pic:cNvPr id="0" name="task-12.2.png"/>
                          <pic:cNvPicPr/>
                        </pic:nvPicPr>
                        <pic:blipFill>
                          <a:blip r:embed="rId33"/>
                          <a:stretch>
                            <a:fillRect/>
                          </a:stretch>
                        </pic:blipFill>
                        <pic:spPr>
                          <a:xfrm>
                            <a:off x="0" y="0"/>
                            <a:ext cx="5760000" cy="2170746"/>
                          </a:xfrm>
                          <a:prstGeom prst="rect"/>
                        </pic:spPr>
                      </pic:pic>
                    </a:graphicData>
                  </a:graphic>
                </wp:inline>
              </w:drawing>
            </w:r>
          </w:p>
        </w:tc>
      </w:tr>
    </w:tbl>
    <w:p/>
    <w:p>
      <w:pPr>
        <w:spacing w:before="200" w:after="0"/>
      </w:pPr>
      <w:r>
        <w:rPr>
          <w:b/>
          <w:color w:val="1F5A5C"/>
          <w:sz w:val="16"/>
        </w:rPr>
        <w:t>TASK 13</w:t>
      </w:r>
    </w:p>
    <w:p>
      <w:pPr>
        <w:pStyle w:val="Heading2"/>
      </w:pPr>
      <w:r>
        <w:t>Create the Auto Scaling group</w:t>
      </w:r>
    </w:p>
    <w:p>
      <w:pPr>
        <w:spacing w:after="80"/>
      </w:pPr>
      <w:r>
        <w:rPr>
          <w:b w:val="0"/>
          <w:i/>
          <w:color w:val="6B6660"/>
          <w:sz w:val="18"/>
        </w:rPr>
        <w:t>Evidences: [ICTCLD401 PC 3.1] · [ICTCLD401 PE 2]</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Auto Scaling group details, showing group size, the attached target group and the scaling policy.</w:t>
            </w:r>
          </w:p>
          <w:p>
            <w:pPr>
              <w:jc w:val="center"/>
            </w:pPr>
            <w:r>
              <w:drawing>
                <wp:inline xmlns:a="http://schemas.openxmlformats.org/drawingml/2006/main" xmlns:pic="http://schemas.openxmlformats.org/drawingml/2006/picture">
                  <wp:extent cx="5760000" cy="4300019"/>
                  <wp:docPr id="16" name="Picture 16"/>
                  <wp:cNvGraphicFramePr>
                    <a:graphicFrameLocks noChangeAspect="1"/>
                  </wp:cNvGraphicFramePr>
                  <a:graphic>
                    <a:graphicData uri="http://schemas.openxmlformats.org/drawingml/2006/picture">
                      <pic:pic>
                        <pic:nvPicPr>
                          <pic:cNvPr id="0" name="task-13.png"/>
                          <pic:cNvPicPr/>
                        </pic:nvPicPr>
                        <pic:blipFill>
                          <a:blip r:embed="rId34"/>
                          <a:stretch>
                            <a:fillRect/>
                          </a:stretch>
                        </pic:blipFill>
                        <pic:spPr>
                          <a:xfrm>
                            <a:off x="0" y="0"/>
                            <a:ext cx="5760000" cy="4300019"/>
                          </a:xfrm>
                          <a:prstGeom prst="rect"/>
                        </pic:spPr>
                      </pic:pic>
                    </a:graphicData>
                  </a:graphic>
                </wp:inline>
              </w:drawing>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p>
      <w:pPr>
        <w:spacing w:after="200"/>
      </w:pPr>
      <w:r>
        <w:rPr>
          <w:b w:val="0"/>
          <w:i/>
          <w:color w:val="6B6660"/>
          <w:sz w:val="19"/>
        </w:rPr>
        <w:t>No screenshot required. Creating the subnet group is not an assessable action on its own — it is the prerequisite for the database, which cannot be created without one.</w:t>
      </w:r>
    </w:p>
    <w:p>
      <w:pPr>
        <w:spacing w:before="200" w:after="0"/>
      </w:pPr>
      <w:r>
        <w:rPr>
          <w:b/>
          <w:color w:val="1F5A5C"/>
          <w:sz w:val="16"/>
        </w:rPr>
        <w:t>TASK 15</w:t>
      </w:r>
    </w:p>
    <w:p>
      <w:pPr>
        <w:pStyle w:val="Heading2"/>
      </w:pPr>
      <w:r>
        <w:t>Deploy the database</w:t>
      </w:r>
    </w:p>
    <w:p>
      <w:pPr>
        <w:spacing w:after="80"/>
      </w:pPr>
      <w:r>
        <w:rPr>
          <w:b w:val="0"/>
          <w:i/>
          <w:color w:val="6B6660"/>
          <w:sz w:val="18"/>
        </w:rPr>
        <w:t>Evidences: [ICTCLD401 PC 2.5] · [ICTCLD401 PC 1.1] · [ICTCLD401 PC 1.3] · [ICTCLD401 PE 2]</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db.t3.micro has 1 GiB of memory, db.t3.small has 2 GiB. An LMS database is read-heavy and benefits from having enough memory to keep frequently-read pages cached, so I chose db.t3.small. As with the application tier, both are well below what the real workload would need; the environment caps the choice and db.t3.small is the better of the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database summary showing Available, its class, encryption enabled and public access set to No.</w:t>
            </w:r>
          </w:p>
          <w:p>
            <w:pPr>
              <w:jc w:val="center"/>
            </w:pPr>
            <w:r>
              <w:drawing>
                <wp:inline xmlns:a="http://schemas.openxmlformats.org/drawingml/2006/main" xmlns:pic="http://schemas.openxmlformats.org/drawingml/2006/picture">
                  <wp:extent cx="5760000" cy="3115730"/>
                  <wp:docPr id="17" name="Picture 17"/>
                  <wp:cNvGraphicFramePr>
                    <a:graphicFrameLocks noChangeAspect="1"/>
                  </wp:cNvGraphicFramePr>
                  <a:graphic>
                    <a:graphicData uri="http://schemas.openxmlformats.org/drawingml/2006/picture">
                      <pic:pic>
                        <pic:nvPicPr>
                          <pic:cNvPr id="0" name="task-15.png"/>
                          <pic:cNvPicPr/>
                        </pic:nvPicPr>
                        <pic:blipFill>
                          <a:blip r:embed="rId35"/>
                          <a:stretch>
                            <a:fillRect/>
                          </a:stretch>
                        </pic:blipFill>
                        <pic:spPr>
                          <a:xfrm>
                            <a:off x="0" y="0"/>
                            <a:ext cx="5760000" cy="3115730"/>
                          </a:xfrm>
                          <a:prstGeom prst="rect"/>
                        </pic:spPr>
                      </pic:pic>
                    </a:graphicData>
                  </a:graphic>
                </wp:inline>
              </w:drawing>
            </w:r>
          </w:p>
        </w:tc>
      </w:tr>
    </w:tbl>
    <w:p/>
    <w:p>
      <w:pPr>
        <w:spacing w:before="200" w:after="0"/>
      </w:pPr>
      <w:r>
        <w:rPr>
          <w:b/>
          <w:color w:val="1F5A5C"/>
          <w:sz w:val="16"/>
        </w:rPr>
        <w:t>TASK 16</w:t>
      </w:r>
    </w:p>
    <w:p>
      <w:pPr>
        <w:pStyle w:val="Heading2"/>
      </w:pPr>
      <w:r>
        <w:t>Create the two monitoring alarms</w:t>
      </w:r>
    </w:p>
    <w:p>
      <w:pPr>
        <w:spacing w:after="80"/>
      </w:pPr>
      <w:r>
        <w:rPr>
          <w:b w:val="0"/>
          <w:i/>
          <w:color w:val="6B6660"/>
          <w:sz w:val="18"/>
        </w:rPr>
        <w:t>Evidences: [ICTCLD502 PC 4.3]</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DBInstanceIdentifier, then filter for FreeStorageSpace and tick the row for your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alarm list showing both alarms with their metrics, thresholds and current state.</w:t>
            </w:r>
          </w:p>
          <w:p>
            <w:pPr>
              <w:jc w:val="center"/>
            </w:pPr>
            <w:r>
              <w:drawing>
                <wp:inline xmlns:a="http://schemas.openxmlformats.org/drawingml/2006/main" xmlns:pic="http://schemas.openxmlformats.org/drawingml/2006/picture">
                  <wp:extent cx="5760000" cy="3099912"/>
                  <wp:docPr id="18" name="Picture 18"/>
                  <wp:cNvGraphicFramePr>
                    <a:graphicFrameLocks noChangeAspect="1"/>
                  </wp:cNvGraphicFramePr>
                  <a:graphic>
                    <a:graphicData uri="http://schemas.openxmlformats.org/drawingml/2006/picture">
                      <pic:pic>
                        <pic:nvPicPr>
                          <pic:cNvPr id="0" name="task-16.1.png"/>
                          <pic:cNvPicPr/>
                        </pic:nvPicPr>
                        <pic:blipFill>
                          <a:blip r:embed="rId36"/>
                          <a:stretch>
                            <a:fillRect/>
                          </a:stretch>
                        </pic:blipFill>
                        <pic:spPr>
                          <a:xfrm>
                            <a:off x="0" y="0"/>
                            <a:ext cx="5760000" cy="3099912"/>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198"/>
                  <wp:docPr id="19" name="Picture 19"/>
                  <wp:cNvGraphicFramePr>
                    <a:graphicFrameLocks noChangeAspect="1"/>
                  </wp:cNvGraphicFramePr>
                  <a:graphic>
                    <a:graphicData uri="http://schemas.openxmlformats.org/drawingml/2006/picture">
                      <pic:pic>
                        <pic:nvPicPr>
                          <pic:cNvPr id="0" name="task-16.2.png"/>
                          <pic:cNvPicPr/>
                        </pic:nvPicPr>
                        <pic:blipFill>
                          <a:blip r:embed="rId37"/>
                          <a:stretch>
                            <a:fillRect/>
                          </a:stretch>
                        </pic:blipFill>
                        <pic:spPr>
                          <a:xfrm>
                            <a:off x="0" y="0"/>
                            <a:ext cx="5760000" cy="2170198"/>
                          </a:xfrm>
                          <a:prstGeom prst="rect"/>
                        </pic:spPr>
                      </pic:pic>
                    </a:graphicData>
                  </a:graphic>
                </wp:inline>
              </w:drawing>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80"/>
      </w:pPr>
      <w:r>
        <w:rPr>
          <w:b w:val="0"/>
          <w:i/>
          <w:color w:val="6B6660"/>
          <w:sz w:val="18"/>
        </w:rPr>
        <w:t>Evidences: [ICTCLD401 PE 3]</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session window, showing the connection open and the hostname it returned.</w:t>
            </w:r>
          </w:p>
          <w:p>
            <w:pPr>
              <w:jc w:val="center"/>
            </w:pPr>
            <w:r>
              <w:drawing>
                <wp:inline xmlns:a="http://schemas.openxmlformats.org/drawingml/2006/main" xmlns:pic="http://schemas.openxmlformats.org/drawingml/2006/picture">
                  <wp:extent cx="5760000" cy="1708138"/>
                  <wp:docPr id="20" name="Picture 20"/>
                  <wp:cNvGraphicFramePr>
                    <a:graphicFrameLocks noChangeAspect="1"/>
                  </wp:cNvGraphicFramePr>
                  <a:graphic>
                    <a:graphicData uri="http://schemas.openxmlformats.org/drawingml/2006/picture">
                      <pic:pic>
                        <pic:nvPicPr>
                          <pic:cNvPr id="0" name="test-01.png"/>
                          <pic:cNvPicPr/>
                        </pic:nvPicPr>
                        <pic:blipFill>
                          <a:blip r:embed="rId38"/>
                          <a:stretch>
                            <a:fillRect/>
                          </a:stretch>
                        </pic:blipFill>
                        <pic:spPr>
                          <a:xfrm>
                            <a:off x="0" y="0"/>
                            <a:ext cx="5760000" cy="1708138"/>
                          </a:xfrm>
                          <a:prstGeom prst="rect"/>
                        </pic:spPr>
                      </pic:pic>
                    </a:graphicData>
                  </a:graphic>
                </wp:inline>
              </w:drawing>
            </w:r>
          </w:p>
        </w:tc>
      </w:tr>
    </w:tbl>
    <w:p/>
    <w:p>
      <w:pPr>
        <w:spacing w:before="200" w:after="0"/>
      </w:pPr>
      <w:r>
        <w:rPr>
          <w:b/>
          <w:color w:val="1F5A5C"/>
          <w:sz w:val="16"/>
        </w:rPr>
        <w:t>TEST 2</w:t>
      </w:r>
    </w:p>
    <w:p>
      <w:pPr>
        <w:pStyle w:val="Heading2"/>
      </w:pPr>
      <w:r>
        <w:t>Reach the internet from the application server</w:t>
      </w:r>
    </w:p>
    <w:p>
      <w:pPr>
        <w:spacing w:after="80"/>
      </w:pPr>
      <w:r>
        <w:rPr>
          <w:b w:val="0"/>
          <w:i/>
          <w:color w:val="6B6660"/>
          <w:sz w:val="18"/>
        </w:rPr>
        <w:t>Evidences: [ICTCLD401 PC 2.6]</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the status code it returned.</w:t>
            </w:r>
          </w:p>
          <w:p>
            <w:pPr>
              <w:jc w:val="center"/>
            </w:pPr>
            <w:r>
              <w:drawing>
                <wp:inline xmlns:a="http://schemas.openxmlformats.org/drawingml/2006/main" xmlns:pic="http://schemas.openxmlformats.org/drawingml/2006/picture">
                  <wp:extent cx="5760000" cy="2394073"/>
                  <wp:docPr id="21" name="Picture 21"/>
                  <wp:cNvGraphicFramePr>
                    <a:graphicFrameLocks noChangeAspect="1"/>
                  </wp:cNvGraphicFramePr>
                  <a:graphic>
                    <a:graphicData uri="http://schemas.openxmlformats.org/drawingml/2006/picture">
                      <pic:pic>
                        <pic:nvPicPr>
                          <pic:cNvPr id="0" name="test-02.png"/>
                          <pic:cNvPicPr/>
                        </pic:nvPicPr>
                        <pic:blipFill>
                          <a:blip r:embed="rId39"/>
                          <a:stretch>
                            <a:fillRect/>
                          </a:stretch>
                        </pic:blipFill>
                        <pic:spPr>
                          <a:xfrm>
                            <a:off x="0" y="0"/>
                            <a:ext cx="5760000" cy="2394073"/>
                          </a:xfrm>
                          <a:prstGeom prst="rect"/>
                        </pic:spPr>
                      </pic:pic>
                    </a:graphicData>
                  </a:graphic>
                </wp:inline>
              </w:drawing>
            </w:r>
          </w:p>
        </w:tc>
      </w:tr>
    </w:tbl>
    <w:p/>
    <w:p>
      <w:pPr>
        <w:spacing w:before="200" w:after="0"/>
      </w:pPr>
      <w:r>
        <w:rPr>
          <w:b/>
          <w:color w:val="1F5A5C"/>
          <w:sz w:val="16"/>
        </w:rPr>
        <w:t>TEST 3</w:t>
      </w:r>
    </w:p>
    <w:p>
      <w:pPr>
        <w:pStyle w:val="Heading2"/>
      </w:pPr>
      <w:r>
        <w:t>Reach the database from the application server</w:t>
      </w:r>
    </w:p>
    <w:p>
      <w:pPr>
        <w:spacing w:after="80"/>
      </w:pPr>
      <w:r>
        <w:rPr>
          <w:b w:val="0"/>
          <w:i/>
          <w:color w:val="6B6660"/>
          <w:sz w:val="18"/>
        </w:rPr>
        <w:t>Evidences: [ICTCLD401 PC 2.6] · [ICTCLD502 PC 4.2]</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its output showing TcpTestSucceeded : True.</w:t>
            </w:r>
          </w:p>
          <w:p>
            <w:pPr>
              <w:jc w:val="center"/>
            </w:pPr>
            <w:r>
              <w:drawing>
                <wp:inline xmlns:a="http://schemas.openxmlformats.org/drawingml/2006/main" xmlns:pic="http://schemas.openxmlformats.org/drawingml/2006/picture">
                  <wp:extent cx="5760000" cy="1867740"/>
                  <wp:docPr id="22" name="Picture 22"/>
                  <wp:cNvGraphicFramePr>
                    <a:graphicFrameLocks noChangeAspect="1"/>
                  </wp:cNvGraphicFramePr>
                  <a:graphic>
                    <a:graphicData uri="http://schemas.openxmlformats.org/drawingml/2006/picture">
                      <pic:pic>
                        <pic:nvPicPr>
                          <pic:cNvPr id="0" name="test-03.png"/>
                          <pic:cNvPicPr/>
                        </pic:nvPicPr>
                        <pic:blipFill>
                          <a:blip r:embed="rId40"/>
                          <a:stretch>
                            <a:fillRect/>
                          </a:stretch>
                        </pic:blipFill>
                        <pic:spPr>
                          <a:xfrm>
                            <a:off x="0" y="0"/>
                            <a:ext cx="5760000" cy="1867740"/>
                          </a:xfrm>
                          <a:prstGeom prst="rect"/>
                        </pic:spPr>
                      </pic:pic>
                    </a:graphicData>
                  </a:graphic>
                </wp:inline>
              </w:drawing>
            </w:r>
          </w:p>
        </w:tc>
      </w:tr>
    </w:tbl>
    <w:p/>
    <w:p>
      <w:pPr>
        <w:spacing w:before="200" w:after="0"/>
      </w:pPr>
      <w:r>
        <w:rPr>
          <w:b/>
          <w:color w:val="1F5A5C"/>
          <w:sz w:val="16"/>
        </w:rPr>
        <w:t>TEST 4</w:t>
      </w:r>
    </w:p>
    <w:p>
      <w:pPr>
        <w:pStyle w:val="Heading2"/>
      </w:pPr>
      <w:r>
        <w:t>Reach the application through the load balancer</w:t>
      </w:r>
    </w:p>
    <w:p>
      <w:pPr>
        <w:spacing w:after="80"/>
      </w:pPr>
      <w:r>
        <w:rPr>
          <w:b w:val="0"/>
          <w:i/>
          <w:color w:val="6B6660"/>
          <w:sz w:val="18"/>
        </w:rPr>
        <w:t>Evidences: [ICTCLD401 PC 2.6] · [ICTCLD502 PC 4.2]</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browser showing the page, with the load balancer address visible in the address bar.</w:t>
            </w:r>
          </w:p>
          <w:p>
            <w:pPr>
              <w:jc w:val="center"/>
            </w:pPr>
            <w:r>
              <w:drawing>
                <wp:inline xmlns:a="http://schemas.openxmlformats.org/drawingml/2006/main" xmlns:pic="http://schemas.openxmlformats.org/drawingml/2006/picture">
                  <wp:extent cx="5760000" cy="2003855"/>
                  <wp:docPr id="23" name="Picture 23"/>
                  <wp:cNvGraphicFramePr>
                    <a:graphicFrameLocks noChangeAspect="1"/>
                  </wp:cNvGraphicFramePr>
                  <a:graphic>
                    <a:graphicData uri="http://schemas.openxmlformats.org/drawingml/2006/picture">
                      <pic:pic>
                        <pic:nvPicPr>
                          <pic:cNvPr id="0" name="test-04.png"/>
                          <pic:cNvPicPr/>
                        </pic:nvPicPr>
                        <pic:blipFill>
                          <a:blip r:embed="rId41"/>
                          <a:stretch>
                            <a:fillRect/>
                          </a:stretch>
                        </pic:blipFill>
                        <pic:spPr>
                          <a:xfrm>
                            <a:off x="0" y="0"/>
                            <a:ext cx="5760000" cy="2003855"/>
                          </a:xfrm>
                          <a:prstGeom prst="rect"/>
                        </pic:spPr>
                      </pic:pic>
                    </a:graphicData>
                  </a:graphic>
                </wp:inline>
              </w:drawing>
            </w:r>
          </w:p>
        </w:tc>
      </w:tr>
    </w:tbl>
    <w:p/>
    <w:p>
      <w:pPr>
        <w:spacing w:before="200" w:after="0"/>
      </w:pPr>
      <w:r>
        <w:rPr>
          <w:b/>
          <w:color w:val="1F5A5C"/>
          <w:sz w:val="16"/>
        </w:rPr>
        <w:t>TEST 5</w:t>
      </w:r>
    </w:p>
    <w:p>
      <w:pPr>
        <w:pStyle w:val="Heading2"/>
      </w:pPr>
      <w:r>
        <w:t>Automatic scaling</w:t>
      </w:r>
    </w:p>
    <w:p>
      <w:pPr>
        <w:spacing w:after="80"/>
      </w:pPr>
      <w:r>
        <w:rPr>
          <w:b w:val="0"/>
          <w:i/>
          <w:color w:val="6B6660"/>
          <w:sz w:val="18"/>
        </w:rPr>
        <w:t>Evidences: [ICTCLD401 PC 3.2]</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before="80" w:after="160"/>
        <w:ind w:left="227"/>
      </w:pPr>
      <w:r>
        <w:rPr>
          <w:b/>
          <w:color w:val="1F5A5C"/>
          <w:sz w:val="19"/>
        </w:rPr>
        <w:t xml:space="preserve">Assessor note </w:t>
      </w:r>
      <w:r>
        <w:rPr>
          <w:i/>
          <w:color w:val="1F5A5C"/>
          <w:sz w:val="19"/>
        </w:rPr>
        <w:t>proven in the lab: an idle Windows t3.small read about 6% CPU, and setting the target value to 1 triggered a scale-out within a few minutes. Expect students to report readings of a few percent and targets of 1. A student who reports a higher reading and a correspondingly higher target has done the same thing correctly. Scale-in takes noticeably longer than scale-out, so a submission showing a long gap between the two Activity entries is normal, not a fault.</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Activity tab, showing both the scale-out and the scale-in entries with their times.</w:t>
            </w:r>
          </w:p>
          <w:p>
            <w:pPr>
              <w:jc w:val="center"/>
            </w:pPr>
            <w:r>
              <w:drawing>
                <wp:inline xmlns:a="http://schemas.openxmlformats.org/drawingml/2006/main" xmlns:pic="http://schemas.openxmlformats.org/drawingml/2006/picture">
                  <wp:extent cx="5760000" cy="1704753"/>
                  <wp:docPr id="24" name="Picture 24"/>
                  <wp:cNvGraphicFramePr>
                    <a:graphicFrameLocks noChangeAspect="1"/>
                  </wp:cNvGraphicFramePr>
                  <a:graphic>
                    <a:graphicData uri="http://schemas.openxmlformats.org/drawingml/2006/picture">
                      <pic:pic>
                        <pic:nvPicPr>
                          <pic:cNvPr id="0" name="test-05.png"/>
                          <pic:cNvPicPr/>
                        </pic:nvPicPr>
                        <pic:blipFill>
                          <a:blip r:embed="rId42"/>
                          <a:stretch>
                            <a:fillRect/>
                          </a:stretch>
                        </pic:blipFill>
                        <pic:spPr>
                          <a:xfrm>
                            <a:off x="0" y="0"/>
                            <a:ext cx="5760000" cy="1704753"/>
                          </a:xfrm>
                          <a:prstGeom prst="rect"/>
                        </pic:spPr>
                      </pic:pic>
                    </a:graphicData>
                  </a:graphic>
                </wp:inline>
              </w:drawing>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80"/>
      </w:pPr>
      <w:r>
        <w:rPr>
          <w:b w:val="0"/>
          <w:i/>
          <w:color w:val="6B6660"/>
          <w:sz w:val="18"/>
        </w:rPr>
        <w:t>Evidences: [ICTCLD401 KE 5]</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43">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three: the instance, the load balancer, the Auto Scaling group.</w:t>
            </w:r>
          </w:p>
          <w:p>
            <w:pPr>
              <w:jc w:val="left"/>
            </w:pPr>
            <w:r>
              <w:rPr>
                <w:b w:val="0"/>
                <w:i w:val="0"/>
                <w:color w:val="1F5A5C"/>
                <w:sz w:val="19"/>
              </w:rPr>
              <w:t>•  Instance: the compute the LMS runs on, sized against the concurrent-user load.</w:t>
            </w:r>
          </w:p>
          <w:p>
            <w:pPr>
              <w:jc w:val="left"/>
            </w:pPr>
            <w:r>
              <w:rPr>
                <w:b w:val="0"/>
                <w:i w:val="0"/>
                <w:color w:val="1F5A5C"/>
                <w:sz w:val="19"/>
              </w:rPr>
              <w:t>•  Load balancer: distributes traffic and removes unhealthy servers from rotation.</w:t>
            </w:r>
          </w:p>
          <w:p>
            <w:pPr>
              <w:jc w:val="left"/>
            </w:pPr>
            <w:r>
              <w:rPr>
                <w:b w:val="0"/>
                <w:i w:val="0"/>
                <w:color w:val="1F5A5C"/>
                <w:sz w:val="19"/>
              </w:rPr>
              <w:t>•  Auto Scaling: adds capacity during assessment-window peaks without anyone acting.</w:t>
            </w:r>
          </w:p>
          <w:p>
            <w:pPr>
              <w:jc w:val="left"/>
            </w:pPr>
            <w:r>
              <w:rPr>
                <w:b w:val="0"/>
                <w:i w:val="0"/>
                <w:color w:val="1F5A5C"/>
                <w:sz w:val="19"/>
              </w:rPr>
              <w:t>•  Each tied to YAT, not explained generically.</w:t>
            </w:r>
          </w:p>
        </w:tc>
      </w:tr>
    </w:tbl>
    <w:p/>
    <w:p>
      <w:pPr>
        <w:spacing w:before="200" w:after="0"/>
      </w:pPr>
      <w:r>
        <w:rPr>
          <w:b/>
          <w:color w:val="1F5A5C"/>
          <w:sz w:val="16"/>
        </w:rPr>
        <w:t>QUESTION 2</w:t>
      </w:r>
    </w:p>
    <w:p>
      <w:pPr>
        <w:pStyle w:val="Heading2"/>
      </w:pPr>
      <w:r>
        <w:t>In your build: (a) why a managed database service rather t...</w:t>
      </w:r>
    </w:p>
    <w:p>
      <w:pPr>
        <w:spacing w:after="80"/>
      </w:pPr>
      <w:r>
        <w:rPr>
          <w:b w:val="0"/>
          <w:i/>
          <w:color w:val="6B6660"/>
          <w:sz w:val="18"/>
        </w:rPr>
        <w:t>Evidences: [ICTCLD401 KE 6]</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43">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Managed: AWS handles patching, backups and monitoring; less for YAT ICT to operate; and multi-AZ is one setting away for the next phase.</w:t>
            </w:r>
          </w:p>
          <w:p>
            <w:pPr>
              <w:jc w:val="left"/>
            </w:pPr>
            <w:r>
              <w:rPr>
                <w:b w:val="0"/>
                <w:i w:val="0"/>
                <w:color w:val="1F5A5C"/>
                <w:sz w:val="19"/>
              </w:rPr>
              <w:t>•  (b) Block storage is a disk attached to one server, addressed in blocks, and it is what an operating system and a database need. Object storage holds whole files retrieved by name over the network, is effectively unlimited, is cheaper at scale, and can age files off to archive. For an LMS: block for the system and the database, object for course attachments and student submissions.</w:t>
            </w:r>
          </w:p>
          <w:p>
            <w:pPr>
              <w:jc w:val="left"/>
            </w:pPr>
            <w:r>
              <w:rPr>
                <w:b w:val="0"/>
                <w:i w:val="0"/>
                <w:color w:val="1F5A5C"/>
                <w:sz w:val="19"/>
              </w:rPr>
              <w:t>•  (c) Horizontal adds servers with no downtime, which suits an LMS that must stay up; vertical needs a restart. Trade-off: the application must tolerate requests landing on different servers.</w:t>
            </w:r>
          </w:p>
        </w:tc>
      </w:tr>
    </w:tbl>
    <w:p/>
    <w:p>
      <w:pPr>
        <w:spacing w:before="200" w:after="0"/>
      </w:pPr>
      <w:r>
        <w:rPr>
          <w:b/>
          <w:color w:val="1F5A5C"/>
          <w:sz w:val="16"/>
        </w:rPr>
        <w:t>QUESTION 3</w:t>
      </w:r>
    </w:p>
    <w:p>
      <w:pPr>
        <w:pStyle w:val="Heading2"/>
      </w:pPr>
      <w:r>
        <w:t>Using your own environment, name two responsibilities that...</w:t>
      </w:r>
    </w:p>
    <w:p>
      <w:pPr>
        <w:spacing w:after="80"/>
      </w:pPr>
      <w:r>
        <w:rPr>
          <w:b w:val="0"/>
          <w:i/>
          <w:color w:val="6B6660"/>
          <w:sz w:val="18"/>
        </w:rPr>
        <w:t>Evidences: [ICTCLD401 KE 7]</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Two YAT-side: operating-system patching after handover; managing users and MFA.</w:t>
            </w:r>
          </w:p>
          <w:p>
            <w:pPr>
              <w:jc w:val="left"/>
            </w:pPr>
            <w:r>
              <w:rPr>
                <w:b w:val="0"/>
                <w:i w:val="0"/>
                <w:color w:val="1F5A5C"/>
                <w:sz w:val="19"/>
              </w:rPr>
              <w:t>•  One shifted: hardware, data-centre power and cooling; or backup media handling, now the managed database's job.</w:t>
            </w:r>
          </w:p>
          <w:p>
            <w:pPr>
              <w:jc w:val="left"/>
            </w:pPr>
            <w:r>
              <w:rPr>
                <w:b w:val="0"/>
                <w:i w:val="0"/>
                <w:color w:val="1F5A5C"/>
                <w:sz w:val="19"/>
              </w:rPr>
              <w:t>•  Reasons given, not just a list.</w:t>
            </w:r>
          </w:p>
        </w:tc>
      </w:tr>
    </w:tbl>
    <w:p/>
    <w:p>
      <w:pPr>
        <w:spacing w:before="200" w:after="0"/>
      </w:pPr>
      <w:r>
        <w:rPr>
          <w:b/>
          <w:color w:val="1F5A5C"/>
          <w:sz w:val="16"/>
        </w:rPr>
        <w:t>QUESTION 4</w:t>
      </w:r>
    </w:p>
    <w:p>
      <w:pPr>
        <w:pStyle w:val="Heading2"/>
      </w:pPr>
      <w:r>
        <w:t>Pick one IAM group you created. Describe the permissions y...</w:t>
      </w:r>
    </w:p>
    <w:p>
      <w:pPr>
        <w:spacing w:after="80"/>
      </w:pPr>
      <w:r>
        <w:rPr>
          <w:b w:val="0"/>
          <w:i/>
          <w:color w:val="6B6660"/>
          <w:sz w:val="18"/>
        </w:rPr>
        <w:t>Evidences: [ICTCLD401 KE 8]</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44">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a real group from their own build.</w:t>
            </w:r>
          </w:p>
          <w:p>
            <w:pPr>
              <w:jc w:val="left"/>
            </w:pPr>
            <w:r>
              <w:rPr>
                <w:b w:val="0"/>
                <w:i w:val="0"/>
                <w:color w:val="1F5A5C"/>
                <w:sz w:val="19"/>
              </w:rPr>
              <w:t>•  Ties the permissions to what that job actually needs to do.</w:t>
            </w:r>
          </w:p>
          <w:p>
            <w:pPr>
              <w:jc w:val="left"/>
            </w:pPr>
            <w:r>
              <w:rPr>
                <w:b w:val="0"/>
                <w:i w:val="0"/>
                <w:color w:val="1F5A5C"/>
                <w:sz w:val="19"/>
              </w:rPr>
              <w:t>•  Contrasts it with another group and explains the boundary — e.g. YAT ICT operate the platform but do not change IAM, because that is a security boundary.</w:t>
            </w:r>
          </w:p>
        </w:tc>
      </w:tr>
    </w:tbl>
    <w:p/>
    <w:p>
      <w:pPr>
        <w:spacing w:before="200" w:after="0"/>
      </w:pPr>
      <w:r>
        <w:rPr>
          <w:b/>
          <w:color w:val="1F5A5C"/>
          <w:sz w:val="16"/>
        </w:rPr>
        <w:t>QUESTION 5</w:t>
      </w:r>
    </w:p>
    <w:p>
      <w:pPr>
        <w:pStyle w:val="Heading2"/>
      </w:pPr>
      <w:r>
        <w:t>The yat-lms-db-sg security group you created in task 7 per...</w:t>
      </w:r>
    </w:p>
    <w:p>
      <w:pPr>
        <w:spacing w:after="80"/>
      </w:pPr>
      <w:r>
        <w:rPr>
          <w:b w:val="0"/>
          <w:i/>
          <w:color w:val="6B6660"/>
          <w:sz w:val="18"/>
        </w:rPr>
        <w:t>Evidences: [ICTCLD401 KE 9]</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45">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States the rule as built: inbound MySQL on 3306, source yat-lms-app-sg — the application tier's security group, not an address range and not the internet.</w:t>
            </w:r>
          </w:p>
          <w:p>
            <w:pPr>
              <w:jc w:val="left"/>
            </w:pPr>
            <w:r>
              <w:rPr>
                <w:b w:val="0"/>
                <w:i w:val="0"/>
                <w:color w:val="1F5A5C"/>
                <w:sz w:val="19"/>
              </w:rPr>
              <w:t>•  Explains the restriction: only the application tier has any business reaching the database. Naming a security group as the source rather than an address range means the rule follows the instances, however many the Auto Scaling group launches and whatever addresses they get.</w:t>
            </w:r>
          </w:p>
          <w:p>
            <w:pPr>
              <w:jc w:val="left"/>
            </w:pPr>
            <w:r>
              <w:rPr>
                <w:b w:val="0"/>
                <w:i w:val="0"/>
                <w:color w:val="1F5A5C"/>
                <w:sz w:val="19"/>
              </w:rPr>
              <w:t>•  Names a concrete risk grounded in what the database holds — the ~50 GB of student personal information in § 4 of the specification (names, dates of birth, USIs, enrolment and fee status, assessment results) becomes reachable from the internet and the database engine can be attacked directly for credentials. YAT carries Privacy Act and APP obligations over that data.</w:t>
            </w:r>
          </w:p>
          <w:p>
            <w:pPr>
              <w:jc w:val="left"/>
            </w:pPr>
            <w:r>
              <w:rPr>
                <w:b w:val="0"/>
                <w:i w:val="0"/>
                <w:color w:val="1F5A5C"/>
                <w:sz w:val="19"/>
              </w:rPr>
              <w:t>•  A student who says only that it would be "less secure" has not evidenced this.</w:t>
            </w:r>
          </w:p>
        </w:tc>
      </w:tr>
    </w:tbl>
    <w:p/>
    <w:p>
      <w:pPr>
        <w:spacing w:before="200" w:after="0"/>
      </w:pPr>
      <w:r>
        <w:rPr>
          <w:b/>
          <w:color w:val="1F5A5C"/>
          <w:sz w:val="16"/>
        </w:rPr>
        <w:t>QUESTION 6</w:t>
      </w:r>
    </w:p>
    <w:p>
      <w:pPr>
        <w:pStyle w:val="Heading2"/>
      </w:pPr>
      <w:r>
        <w:t>When a YAT staff member types the LMS address into their b...</w:t>
      </w:r>
    </w:p>
    <w:p>
      <w:pPr>
        <w:spacing w:after="80"/>
      </w:pPr>
      <w:r>
        <w:rPr>
          <w:b w:val="0"/>
          <w:i/>
          <w:color w:val="6B6660"/>
          <w:sz w:val="18"/>
        </w:rPr>
        <w:t>Evidences: [ICTCLD401 KE 10]</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browser connects to an address, not a name — DNS is the translation step.</w:t>
            </w:r>
          </w:p>
          <w:p>
            <w:pPr>
              <w:jc w:val="left"/>
            </w:pPr>
            <w:r>
              <w:rPr>
                <w:b w:val="0"/>
                <w:i w:val="0"/>
                <w:color w:val="1F5A5C"/>
                <w:sz w:val="19"/>
              </w:rPr>
              <w:t>•  In this deployment the name resolves to the load balancer.</w:t>
            </w:r>
          </w:p>
          <w:p>
            <w:pPr>
              <w:jc w:val="left"/>
            </w:pPr>
            <w:r>
              <w:rPr>
                <w:b w:val="0"/>
                <w:i w:val="0"/>
                <w:color w:val="1F5A5C"/>
                <w:sz w:val="19"/>
              </w:rPr>
              <w:t>•  The load balancer's addresses change, which is why the name points at it rather than at a server.</w:t>
            </w:r>
          </w:p>
          <w:p>
            <w:pPr>
              <w:jc w:val="left"/>
            </w:pPr>
            <w:r>
              <w:rPr>
                <w:b w:val="0"/>
                <w:i w:val="0"/>
                <w:color w:val="1F5A5C"/>
                <w:sz w:val="19"/>
              </w:rPr>
              <w:t>•  If misconfigured, staff cannot reach the LMS even though every server is running.</w:t>
            </w:r>
          </w:p>
        </w:tc>
      </w:tr>
    </w:tbl>
    <w:p/>
    <w:p>
      <w:pPr>
        <w:pStyle w:val="Heading1"/>
      </w:pPr>
      <w:r>
        <w:t>Handover</w:t>
      </w:r>
    </w:p>
    <w:p>
      <w:pPr>
        <w:pStyle w:val="Heading2"/>
      </w:pPr>
      <w:r>
        <w:t>File the completed run sheet</w:t>
      </w:r>
    </w:p>
    <w:p>
      <w:pPr>
        <w:spacing w:after="80"/>
      </w:pPr>
      <w:r>
        <w:rPr>
          <w:b w:val="0"/>
          <w:i/>
          <w:color w:val="6B6660"/>
          <w:sz w:val="18"/>
        </w:rPr>
        <w:t>Evidences: [ICTCLD401 PC 4.3]</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report was filed in, not a general intention.</w:t>
            </w:r>
          </w:p>
          <w:p>
            <w:pPr>
              <w:jc w:val="left"/>
            </w:pPr>
            <w:r>
              <w:rPr>
                <w:b w:val="0"/>
                <w:i w:val="0"/>
                <w:color w:val="1F5A5C"/>
                <w:sz w:val="19"/>
              </w:rPr>
              <w:t>•  Names the YAT policy that governs it — the Records Management Policy, or the Backup and Retention Policy.</w:t>
            </w:r>
          </w:p>
          <w:p>
            <w:pPr>
              <w:jc w:val="left"/>
            </w:pPr>
            <w:r>
              <w:rPr>
                <w:b w:val="0"/>
                <w:i w:val="0"/>
                <w:color w:val="1F5A5C"/>
                <w:sz w:val="19"/>
              </w:rPr>
              <w:t>•  A student who says only "I would file it appropriately" has not evidenced this.</w:t>
            </w:r>
          </w:p>
        </w:tc>
      </w:tr>
    </w:tbl>
    <w:p/>
    <w:p>
      <w:pPr>
        <w:pStyle w:val="Heading1"/>
        <w:spacing w:before="280" w:after="120"/>
      </w:pPr>
      <w:r>
        <w:t>Marking Benchmark — UoC traceability (reverse map)</w:t>
      </w:r>
    </w:p>
    <w:p>
      <w:pPr>
        <w:pStyle w:val="Assessortext"/>
        <w:spacing w:after="160"/>
      </w:pPr>
      <w:r>
        <w:t>This table closes the loop on bidirectional traceability: every UoC requirement AT2 claims to evidence is named below with the marking criterion that evidences it, and each run-sheet task carries its own Evidences line where the work is done.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1.1] Discuss and compare different cloud computing solutions, models and services</w:t>
            </w:r>
          </w:p>
        </w:tc>
        <w:tc>
          <w:tcPr>
            <w:tcW w:type="dxa" w:w="5233"/>
          </w:tcPr>
          <w:p>
            <w:r>
              <w:t>A6</w:t>
            </w:r>
          </w:p>
        </w:tc>
      </w:tr>
      <w:tr>
        <w:tc>
          <w:tcPr>
            <w:tcW w:type="dxa" w:w="5233"/>
          </w:tcPr>
          <w:p>
            <w:r>
              <w:t>[ICTCLD401 PC 1.2] Identify impact of shared security responsibility models</w:t>
            </w:r>
          </w:p>
        </w:tc>
        <w:tc>
          <w:tcPr>
            <w:tcW w:type="dxa" w:w="5233"/>
          </w:tcPr>
          <w:p>
            <w:r>
              <w:t>A1</w:t>
            </w:r>
          </w:p>
        </w:tc>
      </w:tr>
      <w:tr>
        <w:tc>
          <w:tcPr>
            <w:tcW w:type="dxa" w:w="5233"/>
          </w:tcPr>
          <w:p>
            <w:r>
              <w:t>[ICTCLD401 PC 1.3] Select best cloud computing solution and service</w:t>
            </w:r>
          </w:p>
        </w:tc>
        <w:tc>
          <w:tcPr>
            <w:tcW w:type="dxa" w:w="5233"/>
          </w:tcPr>
          <w:p>
            <w:r>
              <w:t>A6</w:t>
            </w:r>
          </w:p>
        </w:tc>
      </w:tr>
      <w:tr>
        <w:tc>
          <w:tcPr>
            <w:tcW w:type="dxa" w:w="5233"/>
          </w:tcPr>
          <w:p>
            <w:r>
              <w:t>[ICTCLD401 PC 1.4] Access account on cloud platform</w:t>
            </w:r>
          </w:p>
        </w:tc>
        <w:tc>
          <w:tcPr>
            <w:tcW w:type="dxa" w:w="5233"/>
          </w:tcPr>
          <w:p>
            <w:r>
              <w:t>A2</w:t>
            </w:r>
          </w:p>
        </w:tc>
      </w:tr>
      <w:tr>
        <w:tc>
          <w:tcPr>
            <w:tcW w:type="dxa" w:w="5233"/>
          </w:tcPr>
          <w:p>
            <w:r>
              <w:t>[ICTCLD401 PC 1.5] Identify user access protocols and policies</w:t>
            </w:r>
          </w:p>
        </w:tc>
        <w:tc>
          <w:tcPr>
            <w:tcW w:type="dxa" w:w="5233"/>
          </w:tcPr>
          <w:p>
            <w:r>
              <w:t>A2</w:t>
            </w:r>
          </w:p>
        </w:tc>
      </w:tr>
      <w:tr>
        <w:tc>
          <w:tcPr>
            <w:tcW w:type="dxa" w:w="5233"/>
          </w:tcPr>
          <w:p>
            <w:r>
              <w:t>[ICTCLD401 PC 1.6] Configure access functions within cloud environment</w:t>
            </w:r>
          </w:p>
        </w:tc>
        <w:tc>
          <w:tcPr>
            <w:tcW w:type="dxa" w:w="5233"/>
          </w:tcPr>
          <w:p>
            <w:r>
              <w:t>A2</w:t>
            </w:r>
          </w:p>
        </w:tc>
      </w:tr>
      <w:tr>
        <w:tc>
          <w:tcPr>
            <w:tcW w:type="dxa" w:w="5233"/>
          </w:tcPr>
          <w:p>
            <w:r>
              <w:t>[ICTCLD401 PC 1.7] Identify and assign security responsibilities</w:t>
            </w:r>
          </w:p>
        </w:tc>
        <w:tc>
          <w:tcPr>
            <w:tcW w:type="dxa" w:w="5233"/>
          </w:tcPr>
          <w:p>
            <w:r>
              <w:t>A1</w:t>
            </w:r>
          </w:p>
        </w:tc>
      </w:tr>
      <w:tr>
        <w:tc>
          <w:tcPr>
            <w:tcW w:type="dxa" w:w="5233"/>
          </w:tcPr>
          <w:p>
            <w:r>
              <w:t>[ICTCLD401 PC 2.1] Create users and groups</w:t>
            </w:r>
          </w:p>
        </w:tc>
        <w:tc>
          <w:tcPr>
            <w:tcW w:type="dxa" w:w="5233"/>
          </w:tcPr>
          <w:p>
            <w:r>
              <w:t>A2</w:t>
            </w:r>
          </w:p>
        </w:tc>
      </w:tr>
      <w:tr>
        <w:tc>
          <w:tcPr>
            <w:tcW w:type="dxa" w:w="5233"/>
          </w:tcPr>
          <w:p>
            <w:r>
              <w:t>[ICTCLD401 PC 2.2] Create virtual multi-tier network</w:t>
            </w:r>
          </w:p>
        </w:tc>
        <w:tc>
          <w:tcPr>
            <w:tcW w:type="dxa" w:w="5233"/>
          </w:tcPr>
          <w:p>
            <w:r>
              <w:t>A1</w:t>
            </w:r>
          </w:p>
        </w:tc>
      </w:tr>
      <w:tr>
        <w:tc>
          <w:tcPr>
            <w:tcW w:type="dxa" w:w="5233"/>
          </w:tcPr>
          <w:p>
            <w:r>
              <w:t>[ICTCLD401 PC 2.3] Create virtual machine</w:t>
            </w:r>
          </w:p>
        </w:tc>
        <w:tc>
          <w:tcPr>
            <w:tcW w:type="dxa" w:w="5233"/>
          </w:tcPr>
          <w:p>
            <w:r>
              <w:t>A3</w:t>
            </w:r>
          </w:p>
        </w:tc>
      </w:tr>
      <w:tr>
        <w:tc>
          <w:tcPr>
            <w:tcW w:type="dxa" w:w="5233"/>
          </w:tcPr>
          <w:p>
            <w:r>
              <w:t>[ICTCLD401 PC 2.4] Define, add and expand storage</w:t>
            </w:r>
          </w:p>
        </w:tc>
        <w:tc>
          <w:tcPr>
            <w:tcW w:type="dxa" w:w="5233"/>
          </w:tcPr>
          <w:p>
            <w:r>
              <w:t>A4</w:t>
            </w:r>
          </w:p>
        </w:tc>
      </w:tr>
      <w:tr>
        <w:tc>
          <w:tcPr>
            <w:tcW w:type="dxa" w:w="5233"/>
          </w:tcPr>
          <w:p>
            <w:r>
              <w:t>[ICTCLD401 PC 2.5] Deploy a managed database</w:t>
            </w:r>
          </w:p>
        </w:tc>
        <w:tc>
          <w:tcPr>
            <w:tcW w:type="dxa" w:w="5233"/>
          </w:tcPr>
          <w:p>
            <w:r>
              <w:t>A4</w:t>
            </w:r>
          </w:p>
        </w:tc>
      </w:tr>
      <w:tr>
        <w:tc>
          <w:tcPr>
            <w:tcW w:type="dxa" w:w="5233"/>
          </w:tcPr>
          <w:p>
            <w:r>
              <w:t>[ICTCLD401 PC 2.6] Test external network access</w:t>
            </w:r>
          </w:p>
        </w:tc>
        <w:tc>
          <w:tcPr>
            <w:tcW w:type="dxa" w:w="5233"/>
          </w:tcPr>
          <w:p>
            <w:r>
              <w:t>A7</w:t>
            </w:r>
          </w:p>
        </w:tc>
      </w:tr>
      <w:tr>
        <w:tc>
          <w:tcPr>
            <w:tcW w:type="dxa" w:w="5233"/>
          </w:tcPr>
          <w:p>
            <w:r>
              <w:t>[ICTCLD401 PC 3.1] Configure and apply autoscaling</w:t>
            </w:r>
          </w:p>
        </w:tc>
        <w:tc>
          <w:tcPr>
            <w:tcW w:type="dxa" w:w="5233"/>
          </w:tcPr>
          <w:p>
            <w:r>
              <w:t>A3</w:t>
            </w:r>
          </w:p>
        </w:tc>
      </w:tr>
      <w:tr>
        <w:tc>
          <w:tcPr>
            <w:tcW w:type="dxa" w:w="5233"/>
          </w:tcPr>
          <w:p>
            <w:r>
              <w:t>[ICTCLD401 PC 3.2] Test automatic scaling</w:t>
            </w:r>
          </w:p>
        </w:tc>
        <w:tc>
          <w:tcPr>
            <w:tcW w:type="dxa" w:w="5233"/>
          </w:tcPr>
          <w:p>
            <w:r>
              <w:t>A7</w:t>
            </w:r>
          </w:p>
        </w:tc>
      </w:tr>
      <w:tr>
        <w:tc>
          <w:tcPr>
            <w:tcW w:type="dxa" w:w="5233"/>
          </w:tcPr>
          <w:p>
            <w:r>
              <w:t>[ICTCLD401 PC 4.3] Save and store user documentation per organisational policies</w:t>
            </w:r>
          </w:p>
        </w:tc>
        <w:tc>
          <w:tcPr>
            <w:tcW w:type="dxa" w:w="5233"/>
          </w:tcPr>
          <w:p>
            <w:r>
              <w:t>A9</w:t>
            </w:r>
          </w:p>
        </w:tc>
      </w:tr>
      <w:tr>
        <w:tc>
          <w:tcPr>
            <w:tcW w:type="dxa" w:w="5233"/>
          </w:tcPr>
          <w:p>
            <w:r>
              <w:t>[ICTCLD401 PE 1] Build at least one simple virtual network capable of supporting a workload</w:t>
            </w:r>
          </w:p>
        </w:tc>
        <w:tc>
          <w:tcPr>
            <w:tcW w:type="dxa" w:w="5233"/>
          </w:tcPr>
          <w:p>
            <w:r>
              <w:t>A1</w:t>
            </w:r>
          </w:p>
        </w:tc>
      </w:tr>
      <w:tr>
        <w:tc>
          <w:tcPr>
            <w:tcW w:type="dxa" w:w="5233"/>
          </w:tcPr>
          <w:p>
            <w:r>
              <w:t>[ICTCLD401 PE 2] Configure compute, storage, database and autoscaling resources within virtual network</w:t>
            </w:r>
          </w:p>
        </w:tc>
        <w:tc>
          <w:tcPr>
            <w:tcW w:type="dxa" w:w="5233"/>
          </w:tcPr>
          <w:p>
            <w:r>
              <w:t>A3 · A4</w:t>
            </w:r>
          </w:p>
        </w:tc>
      </w:tr>
      <w:tr>
        <w:tc>
          <w:tcPr>
            <w:tcW w:type="dxa" w:w="5233"/>
          </w:tcPr>
          <w:p>
            <w:r>
              <w:t>[ICTCLD401 PE 3] Conduct simple tests to confirm access to resources</w:t>
            </w:r>
          </w:p>
        </w:tc>
        <w:tc>
          <w:tcPr>
            <w:tcW w:type="dxa" w:w="5233"/>
          </w:tcPr>
          <w:p>
            <w:r>
              <w:t>A7</w:t>
            </w:r>
          </w:p>
        </w:tc>
      </w:tr>
      <w:tr>
        <w:tc>
          <w:tcPr>
            <w:tcW w:type="dxa" w:w="5233"/>
          </w:tcPr>
          <w:p>
            <w:r>
              <w:t>[ICTCLD401 KE 5] VM/networking/scaling features (VM sizing, load balancing, autoscaling, monitoring, storage backups, virtual networks/traffic routing)</w:t>
            </w:r>
          </w:p>
        </w:tc>
        <w:tc>
          <w:tcPr>
            <w:tcW w:type="dxa" w:w="5233"/>
          </w:tcPr>
          <w:p>
            <w:r>
              <w:t>A8 (Q1)</w:t>
            </w:r>
          </w:p>
        </w:tc>
      </w:tr>
      <w:tr>
        <w:tc>
          <w:tcPr>
            <w:tcW w:type="dxa" w:w="5233"/>
          </w:tcPr>
          <w:p>
            <w:r>
              <w:t>[ICTCLD401 KE 6]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[ICTCLD401 KE 7] User, business and vendor responsibilities according to shared security responsibility models</w:t>
            </w:r>
          </w:p>
        </w:tc>
        <w:tc>
          <w:tcPr>
            <w:tcW w:type="dxa" w:w="5233"/>
          </w:tcPr>
          <w:p>
            <w:r>
              <w:t>A8 (Q3)</w:t>
            </w:r>
          </w:p>
        </w:tc>
      </w:tr>
      <w:tr>
        <w:tc>
          <w:tcPr>
            <w:tcW w:type="dxa" w:w="5233"/>
          </w:tcPr>
          <w:p>
            <w:r>
              <w:t>[ICTCLD401 KE 8] User access protocols and policies according to organisation hierarchy and job function</w:t>
            </w:r>
          </w:p>
        </w:tc>
        <w:tc>
          <w:tcPr>
            <w:tcW w:type="dxa" w:w="5233"/>
          </w:tcPr>
          <w:p>
            <w:r>
              <w:t>A8 (Q4)</w:t>
            </w:r>
          </w:p>
        </w:tc>
      </w:tr>
      <w:tr>
        <w:tc>
          <w:tcPr>
            <w:tcW w:type="dxa" w:w="5233"/>
          </w:tcPr>
          <w:p>
            <w:r>
              <w:t>[ICTCLD401 KE 9] Security policies, protocols and mechanisms as they relate to cloud (network traffic limits + security responsibilities per work function/user access)</w:t>
            </w:r>
          </w:p>
        </w:tc>
        <w:tc>
          <w:tcPr>
            <w:tcW w:type="dxa" w:w="5233"/>
          </w:tcPr>
          <w:p>
            <w:r>
              <w:t>A8 (Q5)</w:t>
            </w:r>
          </w:p>
        </w:tc>
      </w:tr>
      <w:tr>
        <w:tc>
          <w:tcPr>
            <w:tcW w:type="dxa" w:w="5233"/>
          </w:tcPr>
          <w:p>
            <w:r>
              <w:t>[ICTCLD401 KE 10] Purpose of DNS for connecting remote servers when web browsing</w:t>
            </w:r>
          </w:p>
        </w:tc>
        <w:tc>
          <w:tcPr>
            <w:tcW w:type="dxa" w:w="5233"/>
          </w:tcPr>
          <w:p>
            <w:r>
              <w:t>A8 (Q6)</w:t>
            </w:r>
          </w:p>
        </w:tc>
      </w:tr>
      <w:tr>
        <w:tc>
          <w:tcPr>
            <w:tcW w:type="dxa" w:w="5233"/>
          </w:tcPr>
          <w:p>
            <w:r>
              <w:t>[ICTCLD401 FS Reading]</w:t>
            </w:r>
          </w:p>
        </w:tc>
        <w:tc>
          <w:tcPr>
            <w:tcW w:type="dxa" w:w="5233"/>
          </w:tcPr>
          <w:p>
            <w:r>
              <w:t>A8</w:t>
            </w:r>
          </w:p>
        </w:tc>
      </w:tr>
      <w:tr>
        <w:tc>
          <w:tcPr>
            <w:tcW w:type="dxa" w:w="5233"/>
          </w:tcPr>
          <w:p>
            <w:r>
              <w:t>[ICTCLD401 FS Writing]</w:t>
            </w:r>
          </w:p>
        </w:tc>
        <w:tc>
          <w:tcPr>
            <w:tcW w:type="dxa" w:w="5233"/>
          </w:tcPr>
          <w:p>
            <w:r>
              <w:t>A8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1.3] Identify level of shared security responsibility models according to business needs</w:t>
            </w:r>
          </w:p>
        </w:tc>
        <w:tc>
          <w:tcPr>
            <w:tcW w:type="dxa" w:w="5233"/>
          </w:tcPr>
          <w:p>
            <w:r>
              <w:t>A1</w:t>
            </w:r>
          </w:p>
        </w:tc>
      </w:tr>
      <w:tr>
        <w:tc>
          <w:tcPr>
            <w:tcW w:type="dxa" w:w="5233"/>
          </w:tcPr>
          <w:p>
            <w:r>
              <w:t>[ICTCLD502 PC 4.1] Implement architecture design in cloud environment</w:t>
            </w:r>
          </w:p>
        </w:tc>
        <w:tc>
          <w:tcPr>
            <w:tcW w:type="dxa" w:w="5233"/>
          </w:tcPr>
          <w:p>
            <w:r>
              <w:t>A3</w:t>
            </w:r>
          </w:p>
        </w:tc>
      </w:tr>
      <w:tr>
        <w:tc>
          <w:tcPr>
            <w:tcW w:type="dxa" w:w="5233"/>
          </w:tcPr>
          <w:p>
            <w:r>
              <w:t>[ICTCLD502 PC 4.2] Demonstrate connectivity between resources at all tiers</w:t>
            </w:r>
          </w:p>
        </w:tc>
        <w:tc>
          <w:tcPr>
            <w:tcW w:type="dxa" w:w="5233"/>
          </w:tcPr>
          <w:p>
            <w:r>
              <w:t>A7</w:t>
            </w:r>
          </w:p>
        </w:tc>
      </w:tr>
      <w:tr>
        <w:tc>
          <w:tcPr>
            <w:tcW w:type="dxa" w:w="5233"/>
          </w:tcPr>
          <w:p>
            <w:r>
              <w:t>[ICTCLD502 PC 4.3] Monitor and measure availability of resources</w:t>
            </w:r>
          </w:p>
        </w:tc>
        <w:tc>
          <w:tcPr>
            <w:tcW w:type="dxa" w:w="5233"/>
          </w:tcPr>
          <w:p>
            <w:r>
              <w:t>A5</w:t>
            </w:r>
          </w:p>
        </w:tc>
      </w:tr>
      <w:tr>
        <w:tc>
          <w:tcPr>
            <w:tcW w:type="dxa" w:w="5233"/>
          </w:tcPr>
          <w:p>
            <w:r>
              <w:t>[ICTCLD502 FS Reading]</w:t>
            </w:r>
          </w:p>
        </w:tc>
        <w:tc>
          <w:tcPr>
            <w:tcW w:type="dxa" w:w="5233"/>
          </w:tcPr>
          <w:p>
            <w:r>
              <w:t>A1</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 — RDP for Windows EC2 instances)</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hyperlink" Target="https://yat.timbaird.com/intranet/s1-cl1-at2/projects/lms-cloud-infrastructure/cloud-architecture-baseline" TargetMode="External"/><Relationship Id="rId44" Type="http://schemas.openxmlformats.org/officeDocument/2006/relationships/hyperlink" Target="https://yat.timbaird.com/intranet/s1-cl1-at2/policies/user-access" TargetMode="External"/><Relationship Id="rId45"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