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four populated appendices.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pPr>
              <w:pStyle w:val="Assessortext"/>
            </w:pPr>
            <w:r>
              <w:t>Submission: the completed Deployment Report (.docx) with all four appendices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four appendices of evidence.</w:t>
            </w:r>
          </w:p>
          <w:p>
            <w:pPr>
              <w:pStyle w:val="Assessortext"/>
            </w:pPr>
            <w:r>
              <w:t>The Deployment Report is the single submitted deliverable. All build evidence (screenshots, configuration exports, test results, reflections)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supplied baseline design, the Deployment Report template, the example previous deployment report, and all other scenario materials</w:t>
            </w:r>
          </w:p>
          <w:p>
            <w:pPr>
              <w:pStyle w:val="Assessortext"/>
            </w:pPr>
            <w:r>
              <w:t>Supplied baseline design, LMS application spec, role brief and records-management policy — linked in the Instructions to Student below</w:t>
            </w:r>
          </w:p>
          <w:p>
            <w:pPr>
              <w:pStyle w:val="Assessortext"/>
            </w:pPr>
            <w:r>
              <w:t>AWS Academy lab access — Cloud Foundations [104469] + Cloud Architecting [172221]</w:t>
            </w:r>
          </w:p>
          <w:p>
            <w:pPr>
              <w:pStyle w:val="Assessortext"/>
            </w:pPr>
            <w:r>
              <w:t>Deployment Report Benchmark (later in this document) for marking the submitted report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baseline design, Deployment Report template, example previous deployment report, LMS application specification, organisational policies, and reference documents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§1 Executive Summary — student produces a concise (≤ 1 page) summary of what was delivered, with explicit acknowledgement that HA hardening is deferred to AT3, and numbers/components reconcile with the body of the report.</w:t>
            </w:r>
          </w:p>
          <w:p>
            <w:pPr/>
            <w:r>
              <w:t>[ICTCLD401 PC 4.1] (document and communicate work — written communication evidence)</w:t>
            </w:r>
          </w:p>
        </w:tc>
        <w:tc>
          <w:tcPr>
            <w:tcW w:type="dxa" w:w="1934"/>
          </w:tcPr>
          <w:p>
            <w:r>
              <w:t>☐ Yes  ☐ No</w:t>
            </w:r>
          </w:p>
        </w:tc>
      </w:tr>
      <w:tr>
        <w:tc>
          <w:tcPr>
            <w:tcW w:type="dxa" w:w="8697"/>
          </w:tcPr>
          <w:p>
            <w:r>
              <w:t>A2 §4.1 + §4.2 + §4.7 Build narrative — Foundation tier (IAM, network, security) — student describes the IAM groups/users/MFA enforcement, the VPC + subnets + gateways + routing, and the security-group model; cross-references to Appendix A screenshots and Appendix B configuration exports</w:t>
            </w:r>
          </w:p>
          <w:p>
            <w:pPr/>
            <w:r>
              <w:t>[ICTCLD401 PC 1.4] · [ICTCLD401 PC 1.5] · [ICTCLD401 PC 1.6] · [ICTCLD401 PC 1.7] · [ICTCLD401 PC 2.1] · [ICTCLD401 PC 2.2] · [ICTCLD502 PC 1.3]</w:t>
            </w:r>
          </w:p>
        </w:tc>
        <w:tc>
          <w:tcPr>
            <w:tcW w:type="dxa" w:w="1934"/>
          </w:tcPr>
          <w:p>
            <w:r>
              <w:t>☐ Yes  ☐ No</w:t>
            </w:r>
          </w:p>
        </w:tc>
      </w:tr>
      <w:tr>
        <w:tc>
          <w:tcPr>
            <w:tcW w:type="dxa" w:w="8697"/>
          </w:tcPr>
          <w:p>
            <w:r>
              <w:t>A3 §4.3 + §4.4 + §4.5 + §4.6 Build narrative — Workload tier (compute, load balancing, database, storage) — student describes the EC2 + ALB + ASG, the RDS managed database, and the EBS + S3 storage; cross-references to Appendix A screenshots and Appendix B configuration exports</w:t>
            </w:r>
          </w:p>
          <w:p>
            <w:pPr/>
            <w:r>
              <w:t>[ICTCLD401 PC 2.3] · [ICTCLD401 PC 2.4] · [ICTCLD401 PC 2.5] · [ICTCLD502 PC 4.1]</w:t>
            </w:r>
          </w:p>
        </w:tc>
        <w:tc>
          <w:tcPr>
            <w:tcW w:type="dxa" w:w="1934"/>
          </w:tcPr>
          <w:p>
            <w:r>
              <w:t>☐ Yes  ☐ No</w:t>
            </w:r>
          </w:p>
        </w:tc>
      </w:tr>
      <w:tr>
        <w:tc>
          <w:tcPr>
            <w:tcW w:type="dxa" w:w="8697"/>
          </w:tcPr>
          <w:p>
            <w:r>
              <w:t>A4 §4.8 Build narrative — Operability (autoscaling configuration, baseline CloudWatch monitoring) — student describes the ASG scaling policy + the baseline CloudWatch alarms; identifies the shared security responsibility outcome of the build</w:t>
            </w:r>
          </w:p>
          <w:p>
            <w:pPr/>
            <w:r>
              <w:t>[ICTCLD401 PC 1.2] · [ICTCLD401 PC 3.1] · [ICTCLD502 PC 4.3] (monitoring baseline only — full availability monitoring is AT3)</w:t>
            </w:r>
          </w:p>
        </w:tc>
        <w:tc>
          <w:tcPr>
            <w:tcW w:type="dxa" w:w="1934"/>
          </w:tcPr>
          <w:p>
            <w:r>
              <w:t>☐ Yes  ☐ No</w:t>
            </w:r>
          </w:p>
        </w:tc>
      </w:tr>
      <w:tr>
        <w:tc>
          <w:tcPr>
            <w:tcW w:type="dxa" w:w="8697"/>
          </w:tcPr>
          <w:p>
            <w:r>
              <w:t>A5 §5 Configuration Decisions — student justifies all 8 decision points (C1–C8 from the supplied design §14) with rationale tied to the YAT LMS workload (referencing the LMS Application Specification), not generic justifications</w:t>
            </w:r>
          </w:p>
          <w:p>
            <w:pPr/>
            <w:r>
              <w:t>[ICTCLD401 PC 1.1] (discuss and compare cloud computing solutions) · [ICTCLD401 PC 1.3] (select best cloud computing solution and service)</w:t>
            </w:r>
          </w:p>
        </w:tc>
        <w:tc>
          <w:tcPr>
            <w:tcW w:type="dxa" w:w="1934"/>
          </w:tcPr>
          <w:p>
            <w:r>
              <w:t>☐ Yes  ☐ No</w:t>
            </w:r>
          </w:p>
        </w:tc>
      </w:tr>
      <w:tr>
        <w:tc>
          <w:tcPr>
            <w:tcW w:type="dxa" w:w="8697"/>
          </w:tcPr>
          <w:p>
            <w:r>
              <w:t>A6 §6 Testing and Validation — student ran the four required test categories (connectivity, autoscaling, database connectivity, end-to-end smoke); results documented with cross-reference to Appendix C evidence</w:t>
            </w:r>
          </w:p>
          <w:p>
            <w:pPr/>
            <w:r>
              <w:t>[ICTCLD401 PC 2.6] · [ICTCLD401 PC 3.2] · [ICTCLD502 PC 4.2]</w:t>
            </w:r>
          </w:p>
        </w:tc>
        <w:tc>
          <w:tcPr>
            <w:tcW w:type="dxa" w:w="1934"/>
          </w:tcPr>
          <w:p>
            <w:r>
              <w:t>☐ Yes  ☐ No</w:t>
            </w:r>
          </w:p>
        </w:tc>
      </w:tr>
      <w:tr>
        <w:tc>
          <w:tcPr>
            <w:tcW w:type="dxa" w:w="8697"/>
          </w:tcPr>
          <w:p>
            <w:r>
              <w:t>A7 §7 Operational Handover — student documents access information for YAT IT, names known limitations carried into AT3, and confirms filing of the report per YAT's documented records procedures</w:t>
            </w:r>
          </w:p>
          <w:p>
            <w:pPr/>
            <w:r>
              <w:t>[ICTCLD401 PC 4.3]</w:t>
            </w:r>
          </w:p>
        </w:tc>
        <w:tc>
          <w:tcPr>
            <w:tcW w:type="dxa" w:w="1934"/>
          </w:tcPr>
          <w:p>
            <w:r>
              <w:t>☐ Yes  ☐ No</w:t>
            </w:r>
          </w:p>
        </w:tc>
      </w:tr>
      <w:tr>
        <w:tc>
          <w:tcPr>
            <w:tcW w:type="dxa" w:w="8697"/>
          </w:tcPr>
          <w:p>
            <w:r>
              <w:t>A8 §8 Knowledge Evidence Responses — student answers all 6 KE questions with specific reference to their own build, not generic textbook answers</w:t>
            </w:r>
          </w:p>
          <w:p>
            <w:pPr/>
            <w:r>
              <w:t>[ICTCLD401 KE 5] · [ICTCLD401 KE 6] · [ICTCLD401 KE 7] · [ICTCLD401 KE 8] · [ICTCLD401 KE 9] · [ICTCLD401 KE 10]</w:t>
            </w:r>
          </w:p>
        </w:tc>
        <w:tc>
          <w:tcPr>
            <w:tcW w:type="dxa" w:w="1934"/>
          </w:tcPr>
          <w:p>
            <w:r>
              <w:t>☐ Yes  ☐ No</w:t>
            </w:r>
          </w:p>
        </w:tc>
      </w:tr>
      <w:tr>
        <w:tc>
          <w:tcPr>
            <w:tcW w:type="dxa" w:w="8697"/>
          </w:tcPr>
          <w:p>
            <w:r>
              <w:t>A9 Appendix A Build Evidence — all 17 named screenshots (A1–A17) present, correct AWS region visible, named items visible per the template's requirements</w:t>
            </w:r>
          </w:p>
          <w:p>
            <w:pPr/>
            <w:r>
              <w:t>[ICTCLD401 PE 1] · [ICTCLD401 PE 2] (the built artefacts are the evidence)</w:t>
            </w:r>
          </w:p>
        </w:tc>
        <w:tc>
          <w:tcPr>
            <w:tcW w:type="dxa" w:w="1934"/>
          </w:tcPr>
          <w:p>
            <w:r>
              <w:t>☐ Yes  ☐ No</w:t>
            </w:r>
          </w:p>
        </w:tc>
      </w:tr>
      <w:tr>
        <w:tc>
          <w:tcPr>
            <w:tcW w:type="dxa" w:w="8697"/>
          </w:tcPr>
          <w:p>
            <w:r>
              <w:t>A10 Appendix B Configuration Exports — all 7 named exports (B1–B7) present, exported from the actual deployed environment (consistent with the screenshots in Appendix A)</w:t>
            </w:r>
          </w:p>
          <w:p>
            <w:pPr/>
            <w:r>
              <w:t>[ICTCLD401 PE 2] (deeper configuration evidence)</w:t>
            </w:r>
          </w:p>
        </w:tc>
        <w:tc>
          <w:tcPr>
            <w:tcW w:type="dxa" w:w="1934"/>
          </w:tcPr>
          <w:p>
            <w:r>
              <w:t>☐ Yes  ☐ No</w:t>
            </w:r>
          </w:p>
        </w:tc>
      </w:tr>
      <w:tr>
        <w:tc>
          <w:tcPr>
            <w:tcW w:type="dxa" w:w="8697"/>
          </w:tcPr>
          <w:p>
            <w:r>
              <w:t>A11 Appendix C Test Evidence — test outcomes documented with supporting evidence; outcomes consistent with §6 narrative</w:t>
            </w:r>
          </w:p>
          <w:p>
            <w:pPr/>
            <w:r>
              <w:t>[ICTCLD401 PE 3] · [ICTCLD502 PC 4.2] (connectivity evidence) · [ICTCLD502 PC 4.3] (baseline monitoring evidence)</w:t>
            </w:r>
          </w:p>
        </w:tc>
        <w:tc>
          <w:tcPr>
            <w:tcW w:type="dxa" w:w="1934"/>
          </w:tcPr>
          <w:p>
            <w:r>
              <w:t>☐ Yes  ☐ No</w:t>
            </w:r>
          </w:p>
        </w:tc>
      </w:tr>
      <w:tr>
        <w:tc>
          <w:tcPr>
            <w:tcW w:type="dxa" w:w="8697"/>
          </w:tcPr>
          <w:p>
            <w:r>
              <w:t>A12 Appendix D Reflections — two honest reflective responses present, both specific to the student's own build experience</w:t>
            </w:r>
          </w:p>
          <w:p>
            <w:pPr/>
            <w:r>
              <w:t>[ICTCLD401 FS Learning] · [ICTCLD401 FS Planning and organising] · [ICTCLD401 FS Self-management skills]</w:t>
            </w:r>
          </w:p>
        </w:tc>
        <w:tc>
          <w:tcPr>
            <w:tcW w:type="dxa" w:w="1934"/>
          </w:tcPr>
          <w:p>
            <w:r>
              <w:t>☐ Yes  ☐ No</w:t>
            </w:r>
          </w:p>
        </w:tc>
      </w:tr>
      <w:tr>
        <w:tc>
          <w:tcPr>
            <w:tcW w:type="dxa" w:w="8697"/>
          </w:tcPr>
          <w:p>
            <w:r>
              <w:t>A13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pPr/>
            <w:r>
              <w:t>[ICTCLD401 FS Writing] · [ICTCLD401 FS Reading] · [ICTCLD502 FS Reading]</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spacing w:before="240" w:after="80"/>
      </w:pPr>
      <w:r>
        <w:t>The engagement — picking up where AT1 left off</w:t>
      </w:r>
    </w:p>
    <w:p>
      <w:pPr>
        <w:pStyle w:val="Assessortext"/>
        <w:spacing w:after="160"/>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spacing w:after="160"/>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spacing w:after="160"/>
      </w:pPr>
      <w:r>
        <w:t>You have returned to MTS, and your assignment is the foundation build phase of the engagement: stand up the supplied architecture in the AWS Academy lab environment, then hand it over to YAT IT with a Deployment Report.</w:t>
      </w:r>
    </w:p>
    <w:p>
      <w:pPr>
        <w:pStyle w:val="Heading2"/>
        <w:spacing w:before="240" w:after="80"/>
      </w:pPr>
      <w:r>
        <w:t>Scope of your work in this assessment</w:t>
      </w:r>
    </w:p>
    <w:p>
      <w:pPr>
        <w:pStyle w:val="Assessortext"/>
        <w:spacing w:after="160"/>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spacing w:after="120"/>
        <w:ind w:left="360"/>
      </w:pPr>
      <w:r>
        <w:t>• LMS application installation on the AWS infrastructure you build</w:t>
      </w:r>
    </w:p>
    <w:p>
      <w:pPr>
        <w:pStyle w:val="Assessortext"/>
        <w:spacing w:after="120"/>
        <w:ind w:left="360"/>
      </w:pPr>
      <w:r>
        <w:t>• Migration of the MySQL database from on-prem to the AWS RDS instance</w:t>
      </w:r>
    </w:p>
    <w:p>
      <w:pPr>
        <w:pStyle w:val="Assessortext"/>
        <w:spacing w:after="120"/>
        <w:ind w:left="360"/>
      </w:pPr>
      <w:r>
        <w:t>• Cutover from legacy to new (DNS switch, parallel running, decommissioning)</w:t>
      </w:r>
    </w:p>
    <w:p>
      <w:pPr>
        <w:pStyle w:val="Assessortext"/>
        <w:spacing w:after="120"/>
        <w:ind w:left="360"/>
      </w:pPr>
      <w:r>
        <w:t>• Organisational change management around the cutover (CAB process, end-user communications, training)</w:t>
      </w:r>
    </w:p>
    <w:p>
      <w:pPr>
        <w:pStyle w:val="Assessortext"/>
        <w:spacing w:after="120"/>
        <w:ind w:left="360"/>
      </w:pPr>
      <w:r>
        <w:t>• Ongoing application support post-handover</w:t>
      </w:r>
    </w:p>
    <w:p>
      <w:pPr>
        <w:pStyle w:val="Assessortext"/>
        <w:spacing w:after="160"/>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spacing w:before="240" w:after="80"/>
      </w:pPr>
      <w:r>
        <w:t>Resources on the YAT intranet</w:t>
      </w:r>
    </w:p>
    <w:p>
      <w:pPr>
        <w:pStyle w:val="Assessortext"/>
        <w:spacing w:after="160"/>
        <w:ind w:left="360"/>
      </w:pPr>
      <w:r>
        <w:t xml:space="preserve">• </w:t>
      </w:r>
      <w:hyperlink r:id="rId17">
        <w:r>
          <w:rPr>
            <w:color w:val="0563C1"/>
            <w:u w:val="single"/>
          </w:rPr>
          <w:t>Supplied cloud architecture baseline design — the design you build</w:t>
        </w:r>
      </w:hyperlink>
    </w:p>
    <w:p>
      <w:pPr>
        <w:pStyle w:val="Assessortext"/>
        <w:spacing w:after="160"/>
        <w:ind w:left="360"/>
      </w:pPr>
      <w:r>
        <w:t xml:space="preserve">• </w:t>
      </w:r>
      <w:hyperlink r:id="rId18">
        <w:r>
          <w:rPr>
            <w:color w:val="0563C1"/>
            <w:u w:val="single"/>
          </w:rPr>
          <w:t>LMS Application Specification — the workload your configuration decisions must suit</w:t>
        </w:r>
      </w:hyperlink>
    </w:p>
    <w:p>
      <w:pPr>
        <w:pStyle w:val="Assessortext"/>
        <w:spacing w:after="160"/>
        <w:ind w:left="360"/>
      </w:pPr>
      <w:r>
        <w:t xml:space="preserve">• </w:t>
      </w:r>
      <w:hyperlink r:id="rId19">
        <w:r>
          <w:rPr>
            <w:color w:val="0563C1"/>
            <w:u w:val="single"/>
          </w:rPr>
          <w:t>LMS Migration Role Brief — the scope of the MTS engagement</w:t>
        </w:r>
      </w:hyperlink>
    </w:p>
    <w:p>
      <w:pPr>
        <w:pStyle w:val="Assessortext"/>
        <w:spacing w:after="160"/>
        <w:ind w:left="360"/>
      </w:pPr>
      <w:r>
        <w:t xml:space="preserve">• </w:t>
      </w:r>
      <w:hyperlink r:id="rId20">
        <w:r>
          <w:rPr>
            <w:color w:val="0563C1"/>
            <w:u w:val="single"/>
          </w:rPr>
          <w:t>Records Management policy — how the report is filed at handover</w:t>
        </w:r>
      </w:hyperlink>
    </w:p>
    <w:p>
      <w:pPr>
        <w:pStyle w:val="Heading2"/>
        <w:spacing w:before="240" w:after="80"/>
      </w:pPr>
      <w:r>
        <w:t>Part 1 — Build the supplied design</w:t>
      </w:r>
    </w:p>
    <w:p>
      <w:pPr>
        <w:pStyle w:val="Assessortext"/>
        <w:spacing w:after="160"/>
      </w:pPr>
      <w: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pPr>
        <w:pStyle w:val="Assessortext"/>
        <w:spacing w:after="160"/>
      </w:pPr>
      <w:r>
        <w:t>For each of those configuration decisions, make a deliberate, justified choice based on the YAT LMS workload as described in the LMS Application Specification on the YAT intranet. You will document the choice and rationale in §5 of your Deployment Report.</w:t>
      </w:r>
    </w:p>
    <w:p>
      <w:pPr>
        <w:pStyle w:val="Assessortext"/>
        <w:spacing w:after="160"/>
      </w:pPr>
      <w:r>
        <w:t>Important constraints on the build:</w:t>
      </w:r>
    </w:p>
    <w:p>
      <w:pPr>
        <w:pStyle w:val="Assessortext"/>
        <w:spacing w:after="120"/>
        <w:ind w:left="360"/>
      </w:pPr>
      <w:r>
        <w:t>• The deployment is single-AZ and non-HA by design. HA hardening is the next phase (AT3). Do not pre-empt that work.</w:t>
      </w:r>
    </w:p>
    <w:p>
      <w:pPr>
        <w:pStyle w:val="Assessortext"/>
        <w:spacing w:after="120"/>
        <w:ind w:left="360"/>
      </w:pPr>
      <w:r>
        <w:t>• All security, encryption, tagging, and naming conventions in the supplied design are mandatory. These are non-negotiable.</w:t>
      </w:r>
    </w:p>
    <w:p>
      <w:pPr>
        <w:pStyle w:val="Assessortext"/>
        <w:spacing w:after="120"/>
        <w:ind w:left="360"/>
      </w:pPr>
      <w:r>
        <w:t>• Take the screenshots listed in Appendix A of the Deployment Report template as you go, not at the end.</w:t>
      </w:r>
    </w:p>
    <w:p>
      <w:pPr>
        <w:pStyle w:val="Assessortext"/>
        <w:spacing w:after="120"/>
        <w:ind w:left="360"/>
      </w:pPr>
      <w:r>
        <w:t>• Test outcomes (§6 of the template) require you to actually run the tests — do not fabricate.</w:t>
      </w:r>
    </w:p>
    <w:p>
      <w:pPr>
        <w:pStyle w:val="Heading2"/>
        <w:spacing w:before="240" w:after="80"/>
      </w:pPr>
      <w:r>
        <w:t>Part 2 — Produce the Deployment Report</w:t>
      </w:r>
    </w:p>
    <w:p>
      <w:pPr>
        <w:pStyle w:val="Assessortext"/>
        <w:spacing w:after="160"/>
      </w:pPr>
      <w:r>
        <w:t>Use the YAT Deployment Report template:</w:t>
      </w:r>
    </w:p>
    <w:p>
      <w:pPr>
        <w:pStyle w:val="Assessortext"/>
        <w:spacing w:after="160"/>
        <w:ind w:left="360"/>
      </w:pPr>
      <w:r>
        <w:t xml:space="preserve">• </w:t>
      </w:r>
      <w:hyperlink r:id="rId21">
        <w:r>
          <w:rPr>
            <w:color w:val="0563C1"/>
            <w:u w:val="single"/>
          </w:rPr>
          <w:t>YAT intranet — Templates, where the Deployment Report template is available to download</w:t>
        </w:r>
      </w:hyperlink>
    </w:p>
    <w:p>
      <w:pPr>
        <w:pStyle w:val="Assessortext"/>
        <w:spacing w:after="160"/>
      </w:pPr>
      <w:r>
        <w:t>Refer to the Deployment Report MTS produced for a previous YAT engagement as an exemplar — read it before you start yours, as a reference for what a completed report looks like in style, depth and structure:</w:t>
      </w:r>
    </w:p>
    <w:p>
      <w:pPr>
        <w:pStyle w:val="Assessortext"/>
        <w:spacing w:after="160"/>
        <w:ind w:left="360"/>
      </w:pPr>
      <w:r>
        <w:t xml:space="preserve">• </w:t>
      </w:r>
      <w:hyperlink r:id="rId22">
        <w:r>
          <w:rPr>
            <w:color w:val="0563C1"/>
            <w:u w:val="single"/>
          </w:rPr>
          <w:t>Deployment Report — LMS Replacement (2022)</w:t>
        </w:r>
      </w:hyperlink>
    </w:p>
    <w:p>
      <w:pPr>
        <w:pStyle w:val="Assessortext"/>
        <w:spacing w:after="160"/>
      </w:pPr>
      <w:r>
        <w:t>Populate every section and every appendix of the Deployment Report template. The template provides explicit prompts in each section — follow them.</w:t>
      </w:r>
    </w:p>
    <w:p>
      <w:pPr>
        <w:pStyle w:val="Assessortext"/>
        <w:spacing w:after="160"/>
      </w:pPr>
      <w:r>
        <w:t>Your report covers:</w:t>
      </w:r>
    </w:p>
    <w:p>
      <w:pPr>
        <w:pStyle w:val="Assessortext"/>
        <w:spacing w:after="120"/>
        <w:ind w:left="360"/>
      </w:pPr>
      <w:r>
        <w:t>• §1 Executive Summary (write this last)</w:t>
      </w:r>
    </w:p>
    <w:p>
      <w:pPr>
        <w:pStyle w:val="Assessortext"/>
        <w:spacing w:after="120"/>
        <w:ind w:left="360"/>
      </w:pPr>
      <w:r>
        <w:t>• §2 Engagement Context (referring back to your AT1 Business Case + the supplied design)</w:t>
      </w:r>
    </w:p>
    <w:p>
      <w:pPr>
        <w:pStyle w:val="Assessortext"/>
        <w:spacing w:after="120"/>
        <w:ind w:left="360"/>
      </w:pPr>
      <w:r>
        <w:t>• §3 Scope of Deployment (what's in this phase, what's deferred to AT3)</w:t>
      </w:r>
    </w:p>
    <w:p>
      <w:pPr>
        <w:pStyle w:val="Assessortext"/>
        <w:spacing w:after="120"/>
        <w:ind w:left="360"/>
      </w:pPr>
      <w:r>
        <w:t xml:space="preserve">• </w:t>
      </w:r>
      <w:r>
        <w:rPr>
          <w:b/>
        </w:rPr>
        <w:t>§4 Build Narrative (chronological account by layer</w:t>
      </w:r>
      <w:r>
        <w:t xml:space="preserve"> — IAM, network, compute, ALB, DB, storage, security, monitoring)</w:t>
      </w:r>
    </w:p>
    <w:p>
      <w:pPr>
        <w:pStyle w:val="Assessortext"/>
        <w:spacing w:after="120"/>
        <w:ind w:left="360"/>
      </w:pPr>
      <w:r>
        <w:t xml:space="preserve">• </w:t>
      </w:r>
      <w:r>
        <w:rPr>
          <w:b/>
        </w:rPr>
        <w:t>§5 Configuration Decisions (justifications for the eight points the design left to you</w:t>
      </w:r>
      <w:r>
        <w:t xml:space="preserve"> — C1 through C8)</w:t>
      </w:r>
    </w:p>
    <w:p>
      <w:pPr>
        <w:pStyle w:val="Assessortext"/>
        <w:spacing w:after="120"/>
        <w:ind w:left="360"/>
      </w:pPr>
      <w:r>
        <w:t>• §6 Testing and Validation (results from the tests in §6 of the template)</w:t>
      </w:r>
    </w:p>
    <w:p>
      <w:pPr>
        <w:pStyle w:val="Assessortext"/>
        <w:spacing w:after="120"/>
        <w:ind w:left="360"/>
      </w:pPr>
      <w:r>
        <w:t>• §7 Operational Handover (information YAT IT needs to operate the environment, including filing the report per YAT's records procedures)</w:t>
      </w:r>
    </w:p>
    <w:p>
      <w:pPr>
        <w:pStyle w:val="Assessortext"/>
        <w:spacing w:after="120"/>
        <w:ind w:left="360"/>
      </w:pPr>
      <w:r>
        <w:t>• §8 Knowledge Evidence Responses (six contextual questions about choices in your own build)</w:t>
      </w:r>
    </w:p>
    <w:p>
      <w:pPr>
        <w:pStyle w:val="Assessortext"/>
        <w:spacing w:after="120"/>
        <w:ind w:left="360"/>
      </w:pPr>
      <w:r>
        <w:t xml:space="preserve">• </w:t>
      </w:r>
      <w:r>
        <w:rPr>
          <w:b/>
        </w:rPr>
        <w:t>Appendix A</w:t>
      </w:r>
      <w:r>
        <w:t xml:space="preserve"> — Build Evidence (17 named AWS console screenshots — the template lists them explicitly)</w:t>
      </w:r>
    </w:p>
    <w:p>
      <w:pPr>
        <w:pStyle w:val="Assessortext"/>
        <w:spacing w:after="120"/>
        <w:ind w:left="360"/>
      </w:pPr>
      <w:r>
        <w:t xml:space="preserve">• </w:t>
      </w:r>
      <w:r>
        <w:rPr>
          <w:b/>
        </w:rPr>
        <w:t>Appendix B</w:t>
      </w:r>
      <w:r>
        <w:t xml:space="preserve"> — Configuration Exports (IAM policies, security group rules, VPC config, etc.)</w:t>
      </w:r>
    </w:p>
    <w:p>
      <w:pPr>
        <w:pStyle w:val="Assessortext"/>
        <w:spacing w:after="120"/>
        <w:ind w:left="360"/>
      </w:pPr>
      <w:r>
        <w:t xml:space="preserve">• </w:t>
      </w:r>
      <w:r>
        <w:rPr>
          <w:b/>
        </w:rPr>
        <w:t>Appendix C</w:t>
      </w:r>
      <w:r>
        <w:t xml:space="preserve"> — Test Evidence (logs, screenshots of test outcomes)</w:t>
      </w:r>
    </w:p>
    <w:p>
      <w:pPr>
        <w:pStyle w:val="Assessortext"/>
        <w:spacing w:after="120"/>
        <w:ind w:left="360"/>
      </w:pPr>
      <w:r>
        <w:t xml:space="preserve">• </w:t>
      </w:r>
      <w:r>
        <w:rPr>
          <w:b/>
        </w:rPr>
        <w:t>Appendix D</w:t>
      </w:r>
      <w:r>
        <w:t xml:space="preserve"> — Reflections (two short reflective responses on the build experience)</w:t>
      </w:r>
    </w:p>
    <w:p>
      <w:pPr>
        <w:pStyle w:val="Heading2"/>
        <w:spacing w:before="240" w:after="80"/>
      </w:pPr>
      <w:r>
        <w:t>Tips for success</w:t>
      </w:r>
    </w:p>
    <w:p>
      <w:pPr>
        <w:pStyle w:val="Assessortext"/>
        <w:spacing w:after="160"/>
      </w:pPr>
      <w:r>
        <w:t>Review the example past Deployment Report first. It shows what good looks like and saves you guessing about depth and structure.</w:t>
      </w:r>
    </w:p>
    <w:p>
      <w:pPr>
        <w:pStyle w:val="Assessortext"/>
        <w:spacing w:after="160"/>
      </w:pPr>
      <w:r>
        <w:t>Read the supplied design end-to-end before building — including the "out of scope" section (§13) and the "configuration decisions left to the implementer" section (§14). The build is faster when you know the constraints upfront.</w:t>
      </w:r>
    </w:p>
    <w:p>
      <w:pPr>
        <w:pStyle w:val="Assessortext"/>
        <w:spacing w:after="160"/>
      </w:pPr>
      <w:r>
        <w:t>Screenshots as you go, not at the end. This is the single most common failure mode in this assessment.</w:t>
      </w:r>
    </w:p>
    <w:p>
      <w:pPr>
        <w:pStyle w:val="Assessortext"/>
        <w:spacing w:after="160"/>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spacing w:after="160"/>
      </w:pPr>
      <w:r>
        <w:t>Don't paper over the eight Configuration Decisions. The §5 table is one of the most-scrutinised sections.</w:t>
      </w:r>
    </w:p>
    <w:p>
      <w:pPr>
        <w:pStyle w:val="Assessortext"/>
        <w:spacing w:after="160"/>
      </w:pPr>
      <w:r>
        <w:t>The Knowledge Evidence responses (§8) are about your own build. Every answer should reference specific sections, components, or decisions in your report. Generic textbook answers about cloud concepts won't pass.</w:t>
      </w:r>
    </w:p>
    <w:p>
      <w:pPr>
        <w:pStyle w:val="Assessortext"/>
        <w:spacing w:after="160"/>
      </w:pPr>
      <w:r>
        <w:t>The reflections in Appendix D are honest, not promotional. A genuine "here's a decision I'd revise" earns more credit than a varnished "everything was perfect".</w:t>
      </w:r>
    </w:p>
    <w:p>
      <w:pPr>
        <w:pStyle w:val="Assessortext"/>
        <w:spacing w:after="160"/>
      </w:pPr>
      <w:r>
        <w:t>File the report per YAT's records procedures (§7.4 of the template) — this is part of what's being assessed.</w:t>
      </w:r>
    </w:p>
    <w:p>
      <w:pPr>
        <w:pStyle w:val="Heading1"/>
        <w:spacing w:before="280" w:after="120"/>
      </w:pPr>
      <w:r>
        <w:t>Deployment Report Benchmark</w:t>
      </w:r>
    </w:p>
    <w:p>
      <w:pPr>
        <w:pStyle w:val="Assessortext"/>
        <w:spacing w:after="160"/>
      </w:pPr>
      <w:r>
        <w:t>Per-section marking guidance for the assessor. What "Satisfactory" looks like for each section of the report. Model answers for the contextual KE questions. Common deductions.</w:t>
      </w:r>
    </w:p>
    <w:p>
      <w:pPr>
        <w:pStyle w:val="Heading2"/>
        <w:spacing w:before="280" w:after="80"/>
      </w:pPr>
      <w:r>
        <w:t>1. Marking framework</w:t>
      </w:r>
    </w:p>
    <w:p>
      <w:pPr>
        <w:pStyle w:val="Assessortext"/>
        <w:spacing w:after="160"/>
      </w:pPr>
      <w:r>
        <w:t>The Deployment Report is marked Satisfactory / Not Yet Satisfactory as a whole, with per-section judgements feeding the overall.</w:t>
      </w:r>
    </w:p>
    <w:p>
      <w:pPr>
        <w:pStyle w:val="Assessortext"/>
        <w:spacing w:after="160"/>
      </w:pPr>
      <w:r>
        <w:t>Each report section evidences specific UoC items (see the section-level UoC mapping in the Marking Guide above).</w:t>
      </w:r>
    </w:p>
    <w:p>
      <w:pPr>
        <w:pStyle w:val="Assessortext"/>
        <w:spacing w:after="160"/>
      </w:pPr>
      <w:r>
        <w:t>A section is Satisfactory when the UoC items it evidences are demonstrated through the student's content.</w:t>
      </w:r>
    </w:p>
    <w:p>
      <w:pPr>
        <w:pStyle w:val="Assessortext"/>
        <w:spacing w:after="160"/>
      </w:pPr>
      <w:r>
        <w:t>Students may arrive at different specific configuration choices (e.g. m6i.large vs m5.large, scaling thresholds 60% vs 70%) — that's acceptable as long as their justifications are internally consistent and tied to the YAT workload.</w:t>
      </w:r>
    </w:p>
    <w:p>
      <w:pPr>
        <w:pStyle w:val="Assessortext"/>
        <w:spacing w:after="160"/>
      </w:pPr>
      <w:r>
        <w:t>Critical sections (where NYS forces overall NYS regardless of strengths elsewhere): §4 Build Narrative (workload tier — criterion A3), §5 Configuration Decisions (A5), §6 Testing and Validation (A6), §8 Knowledge Evidence (A8), Appendix A Build Evidence (A9).</w:t>
      </w:r>
    </w:p>
    <w:p>
      <w:pPr>
        <w:pStyle w:val="Assessortext"/>
        <w:spacing w:after="160"/>
      </w:pPr>
      <w:r>
        <w:t>Supporting sections (where NYS may be balanced against compensating evidence elsewhere): §1 Executive Summary (A1), Appendix D Reflections (A12).</w:t>
      </w:r>
    </w:p>
    <w:p>
      <w:pPr>
        <w:pStyle w:val="Assessortext"/>
        <w:spacing w:after="160"/>
      </w:pPr>
      <w:r>
        <w:t>§2 Engagement Context + §3 Scope of Deployment are required template sections but not separately graded — they support the rest of the report and any weakness shows up under A13 (Document Quality).</w:t>
      </w:r>
    </w:p>
    <w:p>
      <w:pPr>
        <w:pStyle w:val="Heading2"/>
        <w:spacing w:before="280" w:after="80"/>
      </w:pPr>
      <w:r>
        <w:t>2. Marking §1 Executive Summary</w:t>
      </w:r>
    </w:p>
    <w:p>
      <w:pPr>
        <w:pStyle w:val="Assessortext"/>
        <w:spacing w:after="160"/>
      </w:pPr>
      <w:r>
        <w:rPr>
          <w:i/>
          <w:color w:val="595959"/>
          <w:sz w:val="18"/>
        </w:rPr>
        <w:t>UoC evidenced: [ICTCLD401 PC 4.1] (document and communicate work — written executive-level communication evidence).</w:t>
      </w:r>
    </w:p>
    <w:p>
      <w:pPr>
        <w:pStyle w:val="Assessortext"/>
        <w:spacing w:before="120" w:after="80"/>
      </w:pPr>
      <w:r>
        <w:rPr>
          <w:b/>
        </w:rPr>
        <w:t>Satisfactory looks like:</w:t>
      </w:r>
    </w:p>
    <w:p>
      <w:pPr>
        <w:pStyle w:val="Assessortext"/>
        <w:spacing w:after="80"/>
        <w:ind w:left="360"/>
      </w:pPr>
      <w:r>
        <w:t>• One page or less</w:t>
      </w:r>
    </w:p>
    <w:p>
      <w:pPr>
        <w:pStyle w:val="Assessortext"/>
        <w:spacing w:after="80"/>
        <w:ind w:left="360"/>
      </w:pPr>
      <w:r>
        <w:t>• Names what was delivered (the AWS foundation for the LMS)</w:t>
      </w:r>
    </w:p>
    <w:p>
      <w:pPr>
        <w:pStyle w:val="Assessortext"/>
        <w:spacing w:after="80"/>
        <w:ind w:left="360"/>
      </w:pPr>
      <w:r>
        <w:t>• Region + AZ stated</w:t>
      </w:r>
    </w:p>
    <w:p>
      <w:pPr>
        <w:pStyle w:val="Assessortext"/>
        <w:spacing w:after="80"/>
        <w:ind w:left="360"/>
      </w:pPr>
      <w:r>
        <w:t>• Top 2–3 highlights of the build called out</w:t>
      </w:r>
    </w:p>
    <w:p>
      <w:pPr>
        <w:pStyle w:val="Assessortext"/>
        <w:spacing w:after="80"/>
        <w:ind w:left="360"/>
      </w:pPr>
      <w:r>
        <w:t>• Explicit acknowledgement that HA is deferred to AT3</w:t>
      </w:r>
    </w:p>
    <w:p>
      <w:pPr>
        <w:pStyle w:val="Assessortext"/>
        <w:spacing w:after="80"/>
        <w:ind w:left="360"/>
      </w:pPr>
      <w:r>
        <w:t>• Confirmation the engagement is ready for the next phase</w:t>
      </w:r>
    </w:p>
    <w:p>
      <w:pPr>
        <w:pStyle w:val="Assessortext"/>
        <w:spacing w:before="120" w:after="80"/>
      </w:pPr>
      <w:r>
        <w:rPr>
          <w:b/>
        </w:rPr>
        <w:t>NYS:</w:t>
      </w:r>
    </w:p>
    <w:p>
      <w:pPr>
        <w:pStyle w:val="Assessortext"/>
        <w:spacing w:after="80"/>
        <w:ind w:left="360"/>
      </w:pPr>
      <w:r>
        <w:t>• Missing or absent</w:t>
      </w:r>
    </w:p>
    <w:p>
      <w:pPr>
        <w:pStyle w:val="Assessortext"/>
        <w:spacing w:after="80"/>
        <w:ind w:left="360"/>
      </w:pPr>
      <w:r>
        <w:t>• Reads as a full report rather than a summary</w:t>
      </w:r>
    </w:p>
    <w:p>
      <w:pPr>
        <w:pStyle w:val="Assessortext"/>
        <w:spacing w:after="80"/>
        <w:ind w:left="360"/>
      </w:pPr>
      <w:r>
        <w:t>• Does not reconcile with the body (e.g. mentions multi-AZ when the body shows single-AZ)</w:t>
      </w:r>
    </w:p>
    <w:p>
      <w:pPr>
        <w:pStyle w:val="Heading2"/>
        <w:spacing w:before="280" w:after="80"/>
      </w:pPr>
      <w:r>
        <w:t>3. Marking §2 Engagement Context</w:t>
      </w:r>
    </w:p>
    <w:p>
      <w:pPr>
        <w:pStyle w:val="Assessortext"/>
        <w:spacing w:after="160"/>
      </w:pPr>
      <w:r>
        <w:rPr>
          <w:i/>
          <w:color w:val="595959"/>
          <w:sz w:val="18"/>
        </w:rPr>
        <w:t>UoC evidenced: scoping context (supports the rest of the report).</w:t>
      </w:r>
    </w:p>
    <w:p>
      <w:pPr>
        <w:pStyle w:val="Assessortext"/>
        <w:spacing w:before="120" w:after="80"/>
      </w:pPr>
      <w:r>
        <w:rPr>
          <w:b/>
        </w:rPr>
        <w:t>Satisfactory looks like:</w:t>
      </w:r>
    </w:p>
    <w:p>
      <w:pPr>
        <w:pStyle w:val="Assessortext"/>
        <w:spacing w:after="80"/>
        <w:ind w:left="360"/>
      </w:pPr>
      <w:r>
        <w:t>• References the AT1 Business Case engagement and its board-approved action plan</w:t>
      </w:r>
    </w:p>
    <w:p>
      <w:pPr>
        <w:pStyle w:val="Assessortext"/>
        <w:spacing w:after="80"/>
        <w:ind w:left="360"/>
      </w:pPr>
      <w:r>
        <w:t>• Names the supplied baseline design as the build specification (and notes its approval status)</w:t>
      </w:r>
    </w:p>
    <w:p>
      <w:pPr>
        <w:pStyle w:val="Assessortext"/>
        <w:spacing w:after="80"/>
        <w:ind w:left="360"/>
      </w:pPr>
      <w:r>
        <w:t>• Names Pat Lin and Sam Walker as the in-scenario stakeholders</w:t>
      </w:r>
    </w:p>
    <w:p>
      <w:pPr>
        <w:pStyle w:val="Assessortext"/>
        <w:spacing w:after="80"/>
        <w:ind w:left="360"/>
      </w:pPr>
      <w:r>
        <w:t>• Frames the AT2 work as the foundation-build phase</w:t>
      </w:r>
    </w:p>
    <w:p>
      <w:pPr>
        <w:pStyle w:val="Assessortext"/>
        <w:spacing w:after="160"/>
      </w:pPr>
      <w:r>
        <w:rPr>
          <w:b/>
        </w:rPr>
        <w:t xml:space="preserve">NYS: </w:t>
      </w:r>
      <w:r>
        <w:t>vague about the prior work, or treats AT2 as a greenfield engagement disconnected from AT1.</w:t>
      </w:r>
    </w:p>
    <w:p>
      <w:pPr>
        <w:pStyle w:val="Heading2"/>
        <w:spacing w:before="280" w:after="80"/>
      </w:pPr>
      <w:r>
        <w:t>4. Marking §3 Scope of Deployment</w:t>
      </w:r>
    </w:p>
    <w:p>
      <w:pPr>
        <w:pStyle w:val="Assessortext"/>
        <w:spacing w:before="120" w:after="80"/>
      </w:pPr>
      <w:r>
        <w:rPr>
          <w:b/>
        </w:rPr>
        <w:t>Satisfactory looks like:</w:t>
      </w:r>
    </w:p>
    <w:p>
      <w:pPr>
        <w:pStyle w:val="Assessortext"/>
        <w:spacing w:after="80"/>
        <w:ind w:left="360"/>
      </w:pPr>
      <w:r>
        <w:t>• Clear list of what is in this build (IAM, network, compute, ALB, DB, storage, autoscaling, baseline monitoring)</w:t>
      </w:r>
    </w:p>
    <w:p>
      <w:pPr>
        <w:pStyle w:val="Assessortext"/>
        <w:spacing w:after="80"/>
        <w:ind w:left="360"/>
      </w:pPr>
      <w:r>
        <w:t>• Clear list of what is deferred to AT3 (Multi-AZ DB, cross-AZ resilience, failure simulation, DR, cross-Region backup, HA-tuned monitoring)</w:t>
      </w:r>
    </w:p>
    <w:p>
      <w:pPr>
        <w:pStyle w:val="Assessortext"/>
        <w:spacing w:after="160"/>
      </w:pPr>
      <w:r>
        <w:rPr>
          <w:b/>
        </w:rPr>
        <w:t xml:space="preserve">NYS: </w:t>
      </w:r>
      <w:r>
        <w:t>scope unclear; HA elements implicitly assumed to be in this phase.</w:t>
      </w:r>
    </w:p>
    <w:p>
      <w:pPr>
        <w:pStyle w:val="Heading2"/>
        <w:spacing w:before="280" w:after="80"/>
      </w:pPr>
      <w:r>
        <w:t>5. Marking §4 Build Narrative</w:t>
      </w:r>
    </w:p>
    <w:p>
      <w:pPr>
        <w:pStyle w:val="Assessortext"/>
        <w:spacing w:after="160"/>
      </w:pPr>
      <w:r>
        <w:rPr>
          <w:i/>
          <w:color w:val="595959"/>
          <w:sz w:val="18"/>
        </w:rPr>
        <w:t>UoC evidenced: [ICTCLD401 PC 1.2, 1.4, 1.5, 1.6, 1.7, 2.1, 2.2, 2.3, 2.4, 2.5, 3.1] · [ICTCLD502 PC 1.3, 4.1, 4.3 — partial].</w:t>
      </w:r>
    </w:p>
    <w:p>
      <w:pPr>
        <w:pStyle w:val="Assessortext"/>
        <w:spacing w:before="120" w:after="80"/>
      </w:pPr>
      <w:r>
        <w:rPr>
          <w:b/>
        </w:rPr>
        <w:t>Satisfactory looks like, per sub-section:</w:t>
      </w:r>
    </w:p>
    <w:p>
      <w:pPr>
        <w:pStyle w:val="Heading3"/>
        <w:spacing w:before="200" w:after="80"/>
      </w:pPr>
      <w:r>
        <w:t>5.1 §4.1 IAM (criterion A4)</w:t>
      </w:r>
    </w:p>
    <w:p>
      <w:pPr>
        <w:pStyle w:val="Assessortext"/>
        <w:spacing w:after="160"/>
      </w:pPr>
      <w:r>
        <w:t>IAM groups named match the supplied design (or rationale provided for any addition)</w:t>
      </w:r>
    </w:p>
    <w:p>
      <w:pPr>
        <w:pStyle w:val="Assessortext"/>
        <w:spacing w:after="160"/>
      </w:pPr>
      <w:r>
        <w:t>MFA enforcement evidenced</w:t>
      </w:r>
    </w:p>
    <w:p>
      <w:pPr>
        <w:pStyle w:val="Assessortext"/>
        <w:spacing w:after="160"/>
      </w:pPr>
      <w:r>
        <w:t>EC2 instance role / Application-Service permissions described</w:t>
      </w:r>
    </w:p>
    <w:p>
      <w:pPr>
        <w:pStyle w:val="Assessortext"/>
        <w:spacing w:after="160"/>
      </w:pPr>
      <w:r>
        <w:t>Cross-references Screenshot A1, A2, A3 + Configuration export B1, B2</w:t>
      </w:r>
    </w:p>
    <w:p>
      <w:pPr>
        <w:pStyle w:val="Heading3"/>
        <w:spacing w:before="200" w:after="80"/>
      </w:pPr>
      <w:r>
        <w:t>5.2 §4.2 Network (criterion A4)</w:t>
      </w:r>
    </w:p>
    <w:p>
      <w:pPr>
        <w:pStyle w:val="Assessortext"/>
        <w:spacing w:after="160"/>
      </w:pPr>
      <w:r>
        <w:t>VPC CIDR + subnet layout matches supplied design</w:t>
      </w:r>
    </w:p>
    <w:p>
      <w:pPr>
        <w:pStyle w:val="Assessortext"/>
        <w:spacing w:after="160"/>
      </w:pPr>
      <w:r>
        <w:t>Internet Gateway + NAT Gateway documented</w:t>
      </w:r>
    </w:p>
    <w:p>
      <w:pPr>
        <w:pStyle w:val="Assessortext"/>
        <w:spacing w:after="160"/>
      </w:pPr>
      <w:r>
        <w:t>Route table behaviour documented</w:t>
      </w:r>
    </w:p>
    <w:p>
      <w:pPr>
        <w:pStyle w:val="Assessortext"/>
        <w:spacing w:after="160"/>
      </w:pPr>
      <w:r>
        <w:t>Cross-references A4, A5, A6, A7 + B3</w:t>
      </w:r>
    </w:p>
    <w:p>
      <w:pPr>
        <w:pStyle w:val="Heading3"/>
        <w:spacing w:before="200" w:after="80"/>
      </w:pPr>
      <w:r>
        <w:t>5.3 §4.3 + §4.4 Compute + ALB (criterion A5)</w:t>
      </w:r>
    </w:p>
    <w:p>
      <w:pPr>
        <w:pStyle w:val="Assessortext"/>
        <w:spacing w:after="160"/>
      </w:pPr>
      <w:r>
        <w:t>EC2 instance type stated (per C1 decision)</w:t>
      </w:r>
    </w:p>
    <w:p>
      <w:pPr>
        <w:pStyle w:val="Assessortext"/>
        <w:spacing w:after="160"/>
      </w:pPr>
      <w:r>
        <w:t>ASG configuration stated (min/desired/max + scaling policy threshold per C4)</w:t>
      </w:r>
    </w:p>
    <w:p>
      <w:pPr>
        <w:pStyle w:val="Assessortext"/>
        <w:spacing w:after="160"/>
      </w:pPr>
      <w:r>
        <w:t>ALB configuration + target group health check</w:t>
      </w:r>
    </w:p>
    <w:p>
      <w:pPr>
        <w:pStyle w:val="Assessortext"/>
        <w:spacing w:after="160"/>
      </w:pPr>
      <w:r>
        <w:t>Cross-references A9, A13, A14 + B4, B5</w:t>
      </w:r>
    </w:p>
    <w:p>
      <w:pPr>
        <w:pStyle w:val="Heading3"/>
        <w:spacing w:before="200" w:after="80"/>
      </w:pPr>
      <w:r>
        <w:t>5.4 §4.5 Database (criterion A5)</w:t>
      </w:r>
    </w:p>
    <w:p>
      <w:pPr>
        <w:pStyle w:val="Assessortext"/>
        <w:spacing w:after="160"/>
      </w:pPr>
      <w:r>
        <w:t>RDS instance class stated (per C2)</w:t>
      </w:r>
    </w:p>
    <w:p>
      <w:pPr>
        <w:pStyle w:val="Assessortext"/>
        <w:spacing w:after="160"/>
      </w:pPr>
      <w:r>
        <w:t>MySQL engine version (per C7)</w:t>
      </w:r>
    </w:p>
    <w:p>
      <w:pPr>
        <w:pStyle w:val="Assessortext"/>
        <w:spacing w:after="160"/>
      </w:pPr>
      <w:r>
        <w:t>Single-AZ deployment confirmed</w:t>
      </w:r>
    </w:p>
    <w:p>
      <w:pPr>
        <w:pStyle w:val="Assessortext"/>
        <w:spacing w:after="160"/>
      </w:pPr>
      <w:r>
        <w:t>Encryption at rest confirmed</w:t>
      </w:r>
    </w:p>
    <w:p>
      <w:pPr>
        <w:pStyle w:val="Assessortext"/>
        <w:spacing w:after="160"/>
      </w:pPr>
      <w:r>
        <w:t>Cross-references A12 + B6</w:t>
      </w:r>
    </w:p>
    <w:p>
      <w:pPr>
        <w:pStyle w:val="Heading3"/>
        <w:spacing w:before="200" w:after="80"/>
      </w:pPr>
      <w:r>
        <w:t>5.5 §4.6 Storage (criterion A5)</w:t>
      </w:r>
    </w:p>
    <w:p>
      <w:pPr>
        <w:pStyle w:val="Assessortext"/>
        <w:spacing w:after="160"/>
      </w:pPr>
      <w:r>
        <w:t>EBS volumes (root + data) sizing documented</w:t>
      </w:r>
    </w:p>
    <w:p>
      <w:pPr>
        <w:pStyle w:val="Assessortext"/>
        <w:spacing w:after="160"/>
      </w:pPr>
      <w:r>
        <w:t>S3 buckets (attachments + backups) with block-public-access confirmed</w:t>
      </w:r>
    </w:p>
    <w:p>
      <w:pPr>
        <w:pStyle w:val="Assessortext"/>
        <w:spacing w:after="160"/>
      </w:pPr>
      <w:r>
        <w:t>Cross-references A10, A11 + B7</w:t>
      </w:r>
    </w:p>
    <w:p>
      <w:pPr>
        <w:pStyle w:val="Heading3"/>
        <w:spacing w:before="200" w:after="80"/>
      </w:pPr>
      <w:r>
        <w:t>5.6 §4.7 Security (criterion A4)</w:t>
      </w:r>
    </w:p>
    <w:p>
      <w:pPr>
        <w:pStyle w:val="Assessortext"/>
        <w:spacing w:after="160"/>
      </w:pPr>
      <w:r>
        <w:t>Three-tier security group model documented</w:t>
      </w:r>
    </w:p>
    <w:p>
      <w:pPr>
        <w:pStyle w:val="Assessortext"/>
        <w:spacing w:after="160"/>
      </w:pPr>
      <w:r>
        <w:t>Encryption-in-transit between tiers documented</w:t>
      </w:r>
    </w:p>
    <w:p>
      <w:pPr>
        <w:pStyle w:val="Assessortext"/>
        <w:spacing w:after="160"/>
      </w:pPr>
      <w:r>
        <w:t>Shared responsibility table from §9.4 of the supplied design referenced</w:t>
      </w:r>
    </w:p>
    <w:p>
      <w:pPr>
        <w:pStyle w:val="Assessortext"/>
        <w:spacing w:after="160"/>
      </w:pPr>
      <w:r>
        <w:t>Cross-references A8 + B2</w:t>
      </w:r>
    </w:p>
    <w:p>
      <w:pPr>
        <w:pStyle w:val="Heading3"/>
        <w:spacing w:before="200" w:after="80"/>
      </w:pPr>
      <w:r>
        <w:t>5.7 §4.8 Monitoring baseline (criterion A6)</w:t>
      </w:r>
    </w:p>
    <w:p>
      <w:pPr>
        <w:pStyle w:val="Assessortext"/>
        <w:spacing w:after="160"/>
      </w:pPr>
      <w:r>
        <w:t>Baseline CloudWatch alarms named (per the supplied design's §10.2 list)</w:t>
      </w:r>
    </w:p>
    <w:p>
      <w:pPr>
        <w:pStyle w:val="Assessortext"/>
        <w:spacing w:after="160"/>
      </w:pPr>
      <w:r>
        <w:t>Acknowledged that HA-tuned monitoring is deferred to AT3</w:t>
      </w:r>
    </w:p>
    <w:p>
      <w:pPr>
        <w:pStyle w:val="Assessortext"/>
        <w:spacing w:after="160"/>
      </w:pPr>
      <w:r>
        <w:t>Cross-references A17</w:t>
      </w:r>
    </w:p>
    <w:p>
      <w:pPr>
        <w:pStyle w:val="Assessortext"/>
        <w:spacing w:before="120" w:after="80"/>
      </w:pPr>
      <w:r>
        <w:rPr>
          <w:b/>
        </w:rPr>
        <w:t>NYS for the build narrative:</w:t>
      </w:r>
    </w:p>
    <w:p>
      <w:pPr>
        <w:pStyle w:val="Assessortext"/>
        <w:spacing w:after="80"/>
        <w:ind w:left="360"/>
      </w:pPr>
      <w:r>
        <w:t>• Any sub-section missing</w:t>
      </w:r>
    </w:p>
    <w:p>
      <w:pPr>
        <w:pStyle w:val="Assessortext"/>
        <w:spacing w:after="80"/>
        <w:ind w:left="360"/>
      </w:pPr>
      <w:r>
        <w:t>• Any sub-section that contradicts the screenshot evidence in Appendix A</w:t>
      </w:r>
    </w:p>
    <w:p>
      <w:pPr>
        <w:pStyle w:val="Assessortext"/>
        <w:spacing w:after="80"/>
        <w:ind w:left="360"/>
      </w:pPr>
      <w:r>
        <w:t>• "Build narrative" reads like generic AWS documentation rather than a description of what was actually built</w:t>
      </w:r>
    </w:p>
    <w:p>
      <w:pPr>
        <w:pStyle w:val="Heading2"/>
        <w:spacing w:before="280" w:after="80"/>
      </w:pPr>
      <w:r>
        <w:t>6. Marking §5 Configuration Decisions</w:t>
      </w:r>
    </w:p>
    <w:p>
      <w:pPr>
        <w:pStyle w:val="Assessortext"/>
        <w:spacing w:after="160"/>
      </w:pPr>
      <w:r>
        <w:rPr>
          <w:i/>
          <w:color w:val="595959"/>
          <w:sz w:val="18"/>
        </w:rPr>
        <w:t>UoC evidenced: [ICTCLD401 PC 1.1] · [ICTCLD401 PC 1.3]. Critical section.</w:t>
      </w:r>
    </w:p>
    <w:p>
      <w:pPr>
        <w:pStyle w:val="Assessortext"/>
        <w:spacing w:before="120" w:after="80"/>
      </w:pPr>
      <w:r>
        <w:rPr>
          <w:b/>
        </w:rPr>
        <w:t>Satisfactory looks like: All 8 decision points justified with rationale tied to the YAT LMS workload (not generic):</w:t>
      </w:r>
    </w:p>
    <w:tbl>
      <w:tblPr>
        <w:tblStyle w:val="TableGrid"/>
        <w:tblW w:type="auto" w:w="0"/>
        <w:tblLook w:firstColumn="1" w:firstRow="1" w:lastColumn="0" w:lastRow="0" w:noHBand="0" w:noVBand="1" w:val="04A0"/>
      </w:tblPr>
      <w:tblGrid>
        <w:gridCol w:w="3489"/>
        <w:gridCol w:w="3489"/>
        <w:gridCol w:w="3489"/>
      </w:tblGrid>
      <w:tr>
        <w:tc>
          <w:tcPr>
            <w:tcW w:type="dxa" w:w="3489"/>
          </w:tcPr>
          <w:p>
            <w:r>
              <w:t>#</w:t>
            </w:r>
          </w:p>
        </w:tc>
        <w:tc>
          <w:tcPr>
            <w:tcW w:type="dxa" w:w="3489"/>
          </w:tcPr>
          <w:p>
            <w:r>
              <w:t>Decision</w:t>
            </w:r>
          </w:p>
        </w:tc>
        <w:tc>
          <w:tcPr>
            <w:tcW w:type="dxa" w:w="3489"/>
          </w:tcPr>
          <w:p>
            <w:r>
              <w:t>What a credible justification references</w:t>
            </w:r>
          </w:p>
        </w:tc>
      </w:tr>
      <w:tr>
        <w:tc>
          <w:tcPr>
            <w:tcW w:type="dxa" w:w="3489"/>
          </w:tcPr>
          <w:p>
            <w:r>
              <w:t>C1</w:t>
            </w:r>
          </w:p>
        </w:tc>
        <w:tc>
          <w:tcPr>
            <w:tcW w:type="dxa" w:w="3489"/>
          </w:tcPr>
          <w:p>
            <w:r>
              <w:t>EC2 instance type</w:t>
            </w:r>
          </w:p>
        </w:tc>
        <w:tc>
          <w:tcPr>
            <w:tcW w:type="dxa" w:w="3489"/>
          </w:tcPr>
          <w:p>
            <w:r>
              <w:t>Concurrent-user load from the LMS application spec (200–300 typical, 500–700 peak); cost envelope from AT1 CBA; growth headroom</w:t>
            </w:r>
          </w:p>
        </w:tc>
      </w:tr>
      <w:tr>
        <w:tc>
          <w:tcPr>
            <w:tcW w:type="dxa" w:w="3489"/>
          </w:tcPr>
          <w:p>
            <w:r>
              <w:t>C2</w:t>
            </w:r>
          </w:p>
        </w:tc>
        <w:tc>
          <w:tcPr>
            <w:tcW w:type="dxa" w:w="3489"/>
          </w:tcPr>
          <w:p>
            <w:r>
              <w:t>RDS instance class</w:t>
            </w:r>
          </w:p>
        </w:tc>
        <w:tc>
          <w:tcPr>
            <w:tcW w:type="dxa" w:w="3489"/>
          </w:tcPr>
          <w:p>
            <w:r>
              <w:t>Database workload characteristics (relatively read-heavy for an LMS); concurrent-connection load</w:t>
            </w:r>
          </w:p>
        </w:tc>
      </w:tr>
      <w:tr>
        <w:tc>
          <w:tcPr>
            <w:tcW w:type="dxa" w:w="3489"/>
          </w:tcPr>
          <w:p>
            <w:r>
              <w:t>C3</w:t>
            </w:r>
          </w:p>
        </w:tc>
        <w:tc>
          <w:tcPr>
            <w:tcW w:type="dxa" w:w="3489"/>
          </w:tcPr>
          <w:p>
            <w:r>
              <w:t>EBS data volume + RDS storage sizing</w:t>
            </w:r>
          </w:p>
        </w:tc>
        <w:tc>
          <w:tcPr>
            <w:tcW w:type="dxa" w:w="3489"/>
          </w:tcPr>
          <w:p>
            <w:r>
              <w:t>The 178 GB current footprint + ~25 GB/year growth from the LMS app spec; 12-month projection + headroom</w:t>
            </w:r>
          </w:p>
        </w:tc>
      </w:tr>
      <w:tr>
        <w:tc>
          <w:tcPr>
            <w:tcW w:type="dxa" w:w="3489"/>
          </w:tcPr>
          <w:p>
            <w:r>
              <w:t>C4</w:t>
            </w:r>
          </w:p>
        </w:tc>
        <w:tc>
          <w:tcPr>
            <w:tcW w:type="dxa" w:w="3489"/>
          </w:tcPr>
          <w:p>
            <w:r>
              <w:t>ASG scaling threshold</w:t>
            </w:r>
          </w:p>
        </w:tc>
        <w:tc>
          <w:tcPr>
            <w:tcW w:type="dxa" w:w="3489"/>
          </w:tcPr>
          <w:p>
            <w:r>
              <w:t>CPU profile expectations during assessment-week peaks; cooldown/cool-off implications</w:t>
            </w:r>
          </w:p>
        </w:tc>
      </w:tr>
      <w:tr>
        <w:tc>
          <w:tcPr>
            <w:tcW w:type="dxa" w:w="3489"/>
          </w:tcPr>
          <w:p>
            <w:r>
              <w:t>C5</w:t>
            </w:r>
          </w:p>
        </w:tc>
        <w:tc>
          <w:tcPr>
            <w:tcW w:type="dxa" w:w="3489"/>
          </w:tcPr>
          <w:p>
            <w:r>
              <w:t>Permission boundary for MTS-Consultants</w:t>
            </w:r>
          </w:p>
        </w:tc>
        <w:tc>
          <w:tcPr>
            <w:tcW w:type="dxa" w:w="3489"/>
          </w:tcPr>
          <w:p>
            <w:r>
              <w:t>Specifically the AWS Academy lab access scope</w:t>
            </w:r>
          </w:p>
        </w:tc>
      </w:tr>
      <w:tr>
        <w:tc>
          <w:tcPr>
            <w:tcW w:type="dxa" w:w="3489"/>
          </w:tcPr>
          <w:p>
            <w:r>
              <w:t>C6</w:t>
            </w:r>
          </w:p>
        </w:tc>
        <w:tc>
          <w:tcPr>
            <w:tcW w:type="dxa" w:w="3489"/>
          </w:tcPr>
          <w:p>
            <w:r>
              <w:t>Bastion / RDP design</w:t>
            </w:r>
          </w:p>
        </w:tc>
        <w:tc>
          <w:tcPr>
            <w:tcW w:type="dxa" w:w="3489"/>
          </w:tcPr>
          <w:p>
            <w:r>
              <w:t>Security trade-off: bastion host vs SSM Session Manager vs VPN-only</w:t>
            </w:r>
          </w:p>
        </w:tc>
      </w:tr>
      <w:tr>
        <w:tc>
          <w:tcPr>
            <w:tcW w:type="dxa" w:w="3489"/>
          </w:tcPr>
          <w:p>
            <w:r>
              <w:t>C7</w:t>
            </w:r>
          </w:p>
        </w:tc>
        <w:tc>
          <w:tcPr>
            <w:tcW w:type="dxa" w:w="3489"/>
          </w:tcPr>
          <w:p>
            <w:r>
              <w:t>MySQL engine version</w:t>
            </w:r>
          </w:p>
        </w:tc>
        <w:tc>
          <w:tcPr>
            <w:tcW w:type="dxa" w:w="3489"/>
          </w:tcPr>
          <w:p>
            <w:r>
              <w:t>DOODLE compatibility (the migration brief says no application upgrade)</w:t>
            </w:r>
          </w:p>
        </w:tc>
      </w:tr>
      <w:tr>
        <w:tc>
          <w:tcPr>
            <w:tcW w:type="dxa" w:w="3489"/>
          </w:tcPr>
          <w:p>
            <w:r>
              <w:t>C8</w:t>
            </w:r>
          </w:p>
        </w:tc>
        <w:tc>
          <w:tcPr>
            <w:tcW w:type="dxa" w:w="3489"/>
          </w:tcPr>
          <w:p>
            <w:r>
              <w:t>DNS strategy + ACM cert</w:t>
            </w:r>
          </w:p>
        </w:tc>
        <w:tc>
          <w:tcPr>
            <w:tcW w:type="dxa" w:w="3489"/>
          </w:tcPr>
          <w:p>
            <w:r>
              <w:t>LMS hostname strategy; ACM auto-renewal considerations</w:t>
            </w:r>
          </w:p>
        </w:tc>
      </w:tr>
    </w:tbl>
    <w:p/>
    <w:p>
      <w:pPr>
        <w:pStyle w:val="Assessortext"/>
        <w:spacing w:after="160"/>
      </w:pPr>
      <w:r>
        <w:t>Acceptable variance: specific choices can differ between students (e.g. m5.large vs m6i.large), as long as the justification holds. The benchmark is the quality of reasoning, not a single correct answer.</w:t>
      </w:r>
    </w:p>
    <w:p>
      <w:pPr>
        <w:pStyle w:val="Assessortext"/>
        <w:spacing w:before="120" w:after="80"/>
      </w:pPr>
      <w:r>
        <w:rPr>
          <w:b/>
        </w:rPr>
        <w:t>NYS:</w:t>
      </w:r>
    </w:p>
    <w:p>
      <w:pPr>
        <w:pStyle w:val="Assessortext"/>
        <w:spacing w:after="80"/>
        <w:ind w:left="360"/>
      </w:pPr>
      <w:r>
        <w:t>• Any of C1–C8 left blank or with "TBD"</w:t>
      </w:r>
    </w:p>
    <w:p>
      <w:pPr>
        <w:pStyle w:val="Assessortext"/>
        <w:spacing w:after="80"/>
        <w:ind w:left="360"/>
      </w:pPr>
      <w:r>
        <w:t>• Generic justifications ("m6i.large is a good general-purpose instance") not tied to YAT workload</w:t>
      </w:r>
    </w:p>
    <w:p>
      <w:pPr>
        <w:pStyle w:val="Assessortext"/>
        <w:spacing w:after="80"/>
        <w:ind w:left="360"/>
      </w:pPr>
      <w:r>
        <w:t>• Justification contradicts the workload (e.g. picking a tiny instance after acknowledging 700 peak concurrent users)</w:t>
      </w:r>
    </w:p>
    <w:p>
      <w:pPr>
        <w:pStyle w:val="Assessortext"/>
        <w:spacing w:after="80"/>
        <w:ind w:left="360"/>
      </w:pPr>
      <w:r>
        <w:t>• Sizing decisions without calculations shown</w:t>
      </w:r>
    </w:p>
    <w:p>
      <w:pPr>
        <w:pStyle w:val="Heading2"/>
        <w:spacing w:before="280" w:after="80"/>
      </w:pPr>
      <w:r>
        <w:t>7. Marking §6 Testing and Validation</w:t>
      </w:r>
    </w:p>
    <w:p>
      <w:pPr>
        <w:pStyle w:val="Assessortext"/>
        <w:spacing w:after="160"/>
      </w:pPr>
      <w:r>
        <w:rPr>
          <w:i/>
          <w:color w:val="595959"/>
          <w:sz w:val="18"/>
        </w:rPr>
        <w:t>UoC evidenced: [ICTCLD401 PC 2.6, 3.2] · [ICTCLD502 PC 4.2, 4.3 partial]. Critical section.</w:t>
      </w:r>
    </w:p>
    <w:p>
      <w:pPr>
        <w:pStyle w:val="Assessortext"/>
        <w:spacing w:before="120" w:after="80"/>
      </w:pPr>
      <w:r>
        <w:rPr>
          <w:b/>
        </w:rPr>
        <w:t>Satisfactory looks like, per test category:</w:t>
      </w:r>
    </w:p>
    <w:tbl>
      <w:tblPr>
        <w:tblStyle w:val="TableGrid"/>
        <w:tblW w:type="auto" w:w="0"/>
        <w:tblLook w:firstColumn="1" w:firstRow="1" w:lastColumn="0" w:lastRow="0" w:noHBand="0" w:noVBand="1" w:val="04A0"/>
      </w:tblPr>
      <w:tblGrid>
        <w:gridCol w:w="5233"/>
        <w:gridCol w:w="5233"/>
      </w:tblGrid>
      <w:tr>
        <w:tc>
          <w:tcPr>
            <w:tcW w:type="dxa" w:w="5233"/>
          </w:tcPr>
          <w:p>
            <w:r>
              <w:t>Test category</w:t>
            </w:r>
          </w:p>
        </w:tc>
        <w:tc>
          <w:tcPr>
            <w:tcW w:type="dxa" w:w="5233"/>
          </w:tcPr>
          <w:p>
            <w:r>
              <w:t>Satisfactory evidence</w:t>
            </w:r>
          </w:p>
        </w:tc>
      </w:tr>
      <w:tr>
        <w:tc>
          <w:tcPr>
            <w:tcW w:type="dxa" w:w="5233"/>
          </w:tcPr>
          <w:p>
            <w:r>
              <w:t>6.1 Connectivity</w:t>
            </w:r>
          </w:p>
        </w:tc>
        <w:tc>
          <w:tcPr>
            <w:tcW w:type="dxa" w:w="5233"/>
          </w:tcPr>
          <w:p>
            <w:r>
              <w:t>All four tests recorded with Pass/Fail; Appendix C C1, C2 evidence attached</w:t>
            </w:r>
          </w:p>
        </w:tc>
      </w:tr>
      <w:tr>
        <w:tc>
          <w:tcPr>
            <w:tcW w:type="dxa" w:w="5233"/>
          </w:tcPr>
          <w:p>
            <w:r>
              <w:t>6.2 Autoscaling</w:t>
            </w:r>
          </w:p>
        </w:tc>
        <w:tc>
          <w:tcPr>
            <w:tcW w:type="dxa" w:w="5233"/>
          </w:tcPr>
          <w:p>
            <w:r>
              <w:t>Load applied, scale-out occurred, instance entered service, scale-in followed; Appendix C C3 evidence attached</w:t>
            </w:r>
          </w:p>
        </w:tc>
      </w:tr>
      <w:tr>
        <w:tc>
          <w:tcPr>
            <w:tcW w:type="dxa" w:w="5233"/>
          </w:tcPr>
          <w:p>
            <w:r>
              <w:t>6.3 DB connectivity</w:t>
            </w:r>
          </w:p>
        </w:tc>
        <w:tc>
          <w:tcPr>
            <w:tcW w:type="dxa" w:w="5233"/>
          </w:tcPr>
          <w:p>
            <w:r>
              <w:t>MySQL client connection established from EC2 over private network; version confirmation matches C7 decision; Appendix C C4 evidence attached</w:t>
            </w:r>
          </w:p>
        </w:tc>
      </w:tr>
      <w:tr>
        <w:tc>
          <w:tcPr>
            <w:tcW w:type="dxa" w:w="5233"/>
          </w:tcPr>
          <w:p>
            <w:r>
              <w:t>6.4 End-to-end smoke</w:t>
            </w:r>
          </w:p>
        </w:tc>
        <w:tc>
          <w:tcPr>
            <w:tcW w:type="dxa" w:w="5233"/>
          </w:tcPr>
          <w:p>
            <w:r>
              <w:t>LMS reachable via ALB DNS name; HTTP success status; Appendix C C5 evidence attached</w:t>
            </w:r>
          </w:p>
        </w:tc>
      </w:tr>
    </w:tbl>
    <w:p/>
    <w:p>
      <w:pPr>
        <w:pStyle w:val="Assessortext"/>
        <w:spacing w:before="120" w:after="80"/>
      </w:pPr>
      <w:r>
        <w:rPr>
          <w:b/>
        </w:rPr>
        <w:t>NYS:</w:t>
      </w:r>
    </w:p>
    <w:p>
      <w:pPr>
        <w:pStyle w:val="Assessortext"/>
        <w:spacing w:after="80"/>
        <w:ind w:left="360"/>
      </w:pPr>
      <w:r>
        <w:t>• Any test category left blank or "not tested"</w:t>
      </w:r>
    </w:p>
    <w:p>
      <w:pPr>
        <w:pStyle w:val="Assessortext"/>
        <w:spacing w:after="80"/>
        <w:ind w:left="360"/>
      </w:pPr>
      <w:r>
        <w:t>• Tests recorded as Pass without evidence to support</w:t>
      </w:r>
    </w:p>
    <w:p>
      <w:pPr>
        <w:pStyle w:val="Assessortext"/>
        <w:spacing w:after="80"/>
        <w:ind w:left="360"/>
      </w:pPr>
      <w:r>
        <w:t>• Evidence contradicts the recorded outcome</w:t>
      </w:r>
    </w:p>
    <w:p>
      <w:pPr>
        <w:pStyle w:val="Assessortext"/>
        <w:spacing w:after="80"/>
        <w:ind w:left="360"/>
      </w:pPr>
      <w:r>
        <w:t>• No negative test (RDS NOT publicly reachable) — this is a deliberate test of security posture</w:t>
      </w:r>
    </w:p>
    <w:p>
      <w:pPr>
        <w:pStyle w:val="Heading2"/>
        <w:spacing w:before="280" w:after="80"/>
      </w:pPr>
      <w:r>
        <w:t>8. Marking §7 Operational Handover</w:t>
      </w:r>
    </w:p>
    <w:p>
      <w:pPr>
        <w:pStyle w:val="Assessortext"/>
        <w:spacing w:after="160"/>
      </w:pPr>
      <w:r>
        <w:rPr>
          <w:i/>
          <w:color w:val="595959"/>
          <w:sz w:val="18"/>
        </w:rPr>
        <w:t>UoC evidenced: [ICTCLD401 PC 4.3] (save and store user documentation per organisational policies and procedures).</w:t>
      </w:r>
    </w:p>
    <w:p>
      <w:pPr>
        <w:pStyle w:val="Assessortext"/>
        <w:spacing w:before="120" w:after="80"/>
      </w:pPr>
      <w:r>
        <w:rPr>
          <w:b/>
        </w:rPr>
        <w:t>Satisfactory looks like:</w:t>
      </w:r>
    </w:p>
    <w:p>
      <w:pPr>
        <w:pStyle w:val="Assessortext"/>
        <w:spacing w:after="80"/>
        <w:ind w:left="360"/>
      </w:pPr>
      <w:r>
        <w:t>• Access information for YAT IT documented (which IAM groups, who has access post-handover)</w:t>
      </w:r>
    </w:p>
    <w:p>
      <w:pPr>
        <w:pStyle w:val="Assessortext"/>
        <w:spacing w:after="80"/>
        <w:ind w:left="360"/>
      </w:pPr>
      <w:r>
        <w:t>• Runbook references to baseline design + tagging + backup baseline + alarms</w:t>
      </w:r>
    </w:p>
    <w:p>
      <w:pPr>
        <w:pStyle w:val="Assessortext"/>
        <w:spacing w:after="80"/>
        <w:ind w:left="360"/>
      </w:pPr>
      <w:r>
        <w:t>• §7.4 Documentation filing — student names how/where the report was filed per YAT records procedures (refer to the Backup and Retention Policy or the Records Management Policy on the YAT intranet)</w:t>
      </w:r>
    </w:p>
    <w:p>
      <w:pPr>
        <w:pStyle w:val="Assessortext"/>
        <w:spacing w:before="120" w:after="80"/>
      </w:pPr>
      <w:r>
        <w:rPr>
          <w:b/>
        </w:rPr>
        <w:t>NYS:</w:t>
      </w:r>
    </w:p>
    <w:p>
      <w:pPr>
        <w:pStyle w:val="Assessortext"/>
        <w:spacing w:after="80"/>
        <w:ind w:left="360"/>
      </w:pPr>
      <w:r>
        <w:t>• §7.4 filing not addressed (PC 4.3 not evidenced)</w:t>
      </w:r>
    </w:p>
    <w:p>
      <w:pPr>
        <w:pStyle w:val="Assessortext"/>
        <w:spacing w:after="80"/>
        <w:ind w:left="360"/>
      </w:pPr>
      <w:r>
        <w:t>• Handover section reads as a checklist without actual handover content</w:t>
      </w:r>
    </w:p>
    <w:p>
      <w:pPr>
        <w:pStyle w:val="Assessortext"/>
        <w:spacing w:after="80"/>
        <w:ind w:left="360"/>
      </w:pPr>
      <w:r>
        <w:t>• Known limitations section claims AT2 is HA when it isn't</w:t>
      </w:r>
    </w:p>
    <w:p>
      <w:pPr>
        <w:pStyle w:val="Heading2"/>
        <w:spacing w:before="280" w:after="80"/>
      </w:pPr>
      <w:r>
        <w:t>9. Marking §8 Knowledge Evidence Responses</w:t>
      </w:r>
    </w:p>
    <w:p>
      <w:pPr>
        <w:pStyle w:val="Assessortext"/>
        <w:spacing w:after="160"/>
      </w:pPr>
      <w:r>
        <w:rPr>
          <w:i/>
          <w:color w:val="595959"/>
          <w:sz w:val="18"/>
        </w:rPr>
        <w:t>UoC evidenced: [ICTCLD401 KE 5, 6, 7, 8, 9, 10]. Critical section.</w:t>
      </w:r>
    </w:p>
    <w:p>
      <w:pPr>
        <w:pStyle w:val="Assessortext"/>
        <w:spacing w:after="160"/>
      </w:pPr>
      <w:r>
        <w:t>Below are model answers for each question. Student answers may differ in detail but must demonstrate the underlying knowledge applied to their own Deployment Report.</w:t>
      </w:r>
    </w:p>
    <w:p>
      <w:pPr>
        <w:pStyle w:val="Assessortext"/>
        <w:spacing w:after="160"/>
      </w:pPr>
      <w:r>
        <w:t>Q1 — VM/networking/scaling features [ICTCLD401 KE 5]</w:t>
      </w:r>
    </w:p>
    <w:p>
      <w:pPr>
        <w:pStyle w:val="Assessortext"/>
        <w:spacing w:after="160"/>
      </w:pPr>
      <w:r>
        <w:t>Model coverage: Student names each of EC2, ASG, ALB with the feature they provide and explains how the choice supports YAT LMS specifically.</w:t>
      </w:r>
    </w:p>
    <w:p>
      <w:pPr>
        <w:pStyle w:val="Assessortext"/>
        <w:spacing w:after="160"/>
      </w:pPr>
      <w:r>
        <w:t>EC2: compute capacity to run the Windows Server 2016 + DOODLE LMS stack; sized for the 200–300 typical / 500–700 peak concurrent user load (per LMS app spec).</w:t>
      </w:r>
    </w:p>
    <w:p>
      <w:pPr>
        <w:pStyle w:val="Assessortext"/>
        <w:spacing w:after="160"/>
      </w:pPr>
      <w:r>
        <w:t>ASG: horizontal auto-scaling so that the LMS can scale-out during assessment-window peaks without manual intervention; CPU threshold chosen at X% based on Y reasoning.</w:t>
      </w:r>
    </w:p>
    <w:p>
      <w:pPr>
        <w:pStyle w:val="Assessortext"/>
        <w:spacing w:after="160"/>
      </w:pPr>
      <w:r>
        <w:t>ALB: distributes traffic across the ASG members; HTTPS termination via ACM cert; health-check approach ensures unhealthy instances are removed from rotation quickly.</w:t>
      </w:r>
    </w:p>
    <w:p>
      <w:pPr>
        <w:pStyle w:val="Assessortext"/>
        <w:spacing w:after="160"/>
      </w:pPr>
      <w:r>
        <w:rPr>
          <w:b/>
        </w:rPr>
        <w:t xml:space="preserve">NYS: </w:t>
      </w:r>
      <w:r>
        <w:t>generic feature explanations without ties to YAT; doesn't address all three components; ignores the workload context.</w:t>
      </w:r>
    </w:p>
    <w:p>
      <w:pPr>
        <w:pStyle w:val="Assessortext"/>
        <w:spacing w:after="160"/>
      </w:pPr>
      <w:r>
        <w:t>Q2 — Vertical vs horizontal scaling; managed services; storage [ICTCLD401 KE 6]</w:t>
      </w:r>
    </w:p>
    <w:p>
      <w:pPr>
        <w:pStyle w:val="Assessortext"/>
        <w:spacing w:before="120" w:after="80"/>
      </w:pPr>
      <w:r>
        <w:rPr>
          <w:b/>
        </w:rPr>
        <w:t>Model coverage:</w:t>
      </w:r>
    </w:p>
    <w:p>
      <w:pPr>
        <w:pStyle w:val="Assessortext"/>
        <w:spacing w:after="80"/>
        <w:ind w:left="360"/>
      </w:pPr>
      <w:r>
        <w:t>• (a) RDS over self-hosted: managed backups, patching, monitoring; reduces operational burden on YAT IT (which lacks cloud expertise per the scenario context); HA-readiness (Multi-AZ is one config change away — coming in AT3).</w:t>
      </w:r>
    </w:p>
    <w:p>
      <w:pPr>
        <w:pStyle w:val="Assessortext"/>
        <w:spacing w:after="80"/>
        <w:ind w:left="360"/>
      </w:pPr>
      <w:r>
        <w:t>• (b) EBS + S3 together: EBS for OS + application binaries + frequently-accessed application data (low latency, block-level); S3 for course attachments + student submissions + backups (cheaper at scale, virtually unlimited, versioning + lifecycle to Glacier supports records retention).</w:t>
      </w:r>
    </w:p>
    <w:p>
      <w:pPr>
        <w:pStyle w:val="Assessortext"/>
        <w:spacing w:after="80"/>
        <w:ind w:left="360"/>
      </w:pPr>
      <w:r>
        <w:t>• (c) Vertical vs horizontal: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pPr>
        <w:pStyle w:val="Assessortext"/>
        <w:spacing w:after="160"/>
      </w:pPr>
      <w:r>
        <w:rPr>
          <w:b/>
        </w:rPr>
        <w:t xml:space="preserve">NYS: </w:t>
      </w:r>
      <w:r>
        <w:t>textbook definitions only; no reference to YAT specifics; missing one or more of the three sub-parts.</w:t>
      </w:r>
    </w:p>
    <w:p>
      <w:pPr>
        <w:pStyle w:val="Assessortext"/>
        <w:spacing w:after="160"/>
      </w:pPr>
      <w:r>
        <w:t>Q3 — Shared security responsibility [ICTCLD401 KE 7]</w:t>
      </w:r>
    </w:p>
    <w:p>
      <w:pPr>
        <w:pStyle w:val="Assessortext"/>
        <w:spacing w:before="120" w:after="80"/>
      </w:pPr>
      <w:r>
        <w:rPr>
          <w:b/>
        </w:rPr>
        <w:t>Model coverage:</w:t>
      </w:r>
    </w:p>
    <w:p>
      <w:pPr>
        <w:pStyle w:val="Assessortext"/>
        <w:spacing w:after="80"/>
        <w:ind w:left="360"/>
      </w:pPr>
      <w:r>
        <w:t>• (a) Two YAT responsibilities: e.g. (1) Windows Server 2016 OS patching post-handover; (2) IAM users + MFA management for YAT IT staff. Both fall on YAT's side of the shared responsibility line.</w:t>
      </w:r>
    </w:p>
    <w:p>
      <w:pPr>
        <w:pStyle w:val="Assessortext"/>
        <w:spacing w:after="80"/>
        <w:ind w:left="360"/>
      </w:pPr>
      <w:r>
        <w:t>• (b) One responsibility shifted from YAT to AWS: hardware refresh + data centre cooling/power (used to be YAT's server-room overhead; now AWS's). Or: backup-tape rotation (now AWS-managed RDS backups). Or: physical data centre security.</w:t>
      </w:r>
    </w:p>
    <w:p>
      <w:pPr>
        <w:pStyle w:val="Assessortext"/>
        <w:spacing w:after="160"/>
      </w:pPr>
      <w:r>
        <w:rPr>
          <w:b/>
        </w:rPr>
        <w:t xml:space="preserve">NYS: </w:t>
      </w:r>
      <w:r>
        <w:t>copy-paste from supplied design without identifying specific responsibilities; gets the responsibility line wrong (e.g. claims patching is AWS's).</w:t>
      </w:r>
    </w:p>
    <w:p>
      <w:pPr>
        <w:pStyle w:val="Assessortext"/>
        <w:spacing w:after="160"/>
      </w:pPr>
      <w:r>
        <w:t>Q4 — User access protocols [ICTCLD401 KE 8]</w:t>
      </w:r>
    </w:p>
    <w:p>
      <w:pPr>
        <w:pStyle w:val="Assessortext"/>
        <w:spacing w:after="160"/>
      </w:pPr>
      <w:r>
        <w:t>Model coverage: Student picks one IAM group, describes its permissions, names the job function, explains why permissions differ from another group.</w:t>
      </w:r>
    </w:p>
    <w:p>
      <w:pPr>
        <w:pStyle w:val="Assessortext"/>
        <w:spacing w:after="160"/>
      </w:pPr>
      <w:r>
        <w:t>Example: YAT-ICT-Admins has read-only on infrastructure + full access to CloudWatch and RDS console + no IAM modifications. Job function: day-to-day operations after handover. Different from MTS-Consultants (full admin during build) because YAT IT shouldn't be modifying IAM (that's a security boundary), and different from Read-Only-Auditors (no service mutations) because YAT IT need to acknowledge/clear alarms.</w:t>
      </w:r>
    </w:p>
    <w:p>
      <w:pPr>
        <w:pStyle w:val="Assessortext"/>
        <w:spacing w:after="160"/>
      </w:pPr>
      <w:r>
        <w:rPr>
          <w:b/>
        </w:rPr>
        <w:t xml:space="preserve">NYS: </w:t>
      </w:r>
      <w:r>
        <w:t>group described without job function context; permissions stated without rationale.</w:t>
      </w:r>
    </w:p>
    <w:p>
      <w:pPr>
        <w:pStyle w:val="Assessortext"/>
        <w:spacing w:after="160"/>
      </w:pPr>
      <w:r>
        <w:t>Q5 — Security policies + network traffic limits [ICTCLD401 KE 9]</w:t>
      </w:r>
    </w:p>
    <w:p>
      <w:pPr>
        <w:pStyle w:val="Assessortext"/>
        <w:spacing w:after="160"/>
      </w:pPr>
      <w:r>
        <w:t>Model coverage: Student picks one SG (e.g. sg-db), describes its rules, explains why traffic is restricted that way, names the risk if removed.</w:t>
      </w:r>
    </w:p>
    <w:p>
      <w:pPr>
        <w:pStyle w:val="Assessortext"/>
        <w:spacing w:after="160"/>
      </w:pPr>
      <w:r>
        <w:t>Example: sg-db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pPr>
        <w:pStyle w:val="Assessortext"/>
        <w:spacing w:after="160"/>
      </w:pPr>
      <w:r>
        <w:rPr>
          <w:b/>
        </w:rPr>
        <w:t xml:space="preserve">NYS: </w:t>
      </w:r>
      <w:r>
        <w:t>SG rules stated without rationale; risk statement absent or generic.</w:t>
      </w:r>
    </w:p>
    <w:p>
      <w:pPr>
        <w:pStyle w:val="Assessortext"/>
        <w:spacing w:after="160"/>
      </w:pPr>
      <w:r>
        <w:t>Q6 — Role of DNS [ICTCLD401 KE 10]</w:t>
      </w:r>
    </w:p>
    <w:p>
      <w:pPr>
        <w:pStyle w:val="Assessortext"/>
        <w:spacing w:after="160"/>
      </w:pPr>
      <w:r>
        <w:t>Model coverage: Student identifies two DNS resolution points and explains what fails if misconfigured.</w:t>
      </w:r>
    </w:p>
    <w:p>
      <w:pPr>
        <w:pStyle w:val="Assessortext"/>
        <w:spacing w:before="120" w:after="80"/>
      </w:pPr>
      <w:r>
        <w:rPr>
          <w:b/>
        </w:rPr>
        <w:t>Examples:</w:t>
      </w:r>
    </w:p>
    <w:p>
      <w:pPr>
        <w:pStyle w:val="Assessortext"/>
        <w:spacing w:after="80"/>
        <w:ind w:left="360"/>
      </w:pPr>
      <w:r>
        <w:t>• ALB DNS name — end-users browse to the LMS hostname which resolves (via Route 53 or YAT's authoritative DNS) to the ALB DNS name, which AWS resolves to one of the ALB's IPs. If misconfigured, end-users get the wrong IP or no IP → can't reach the LMS.</w:t>
      </w:r>
    </w:p>
    <w:p>
      <w:pPr>
        <w:pStyle w:val="Assessortext"/>
        <w:spacing w:after="80"/>
        <w:ind w:left="360"/>
      </w:pPr>
      <w:r>
        <w:t>• RDS endpoint — the EC2 instance connects to RDS via its DNS endpoint (which AWS uses to abstract away which underlying instance is the primary). If misconfigured (e.g. wrong endpoint in app config), the application can't reach the database.</w:t>
      </w:r>
    </w:p>
    <w:p>
      <w:pPr>
        <w:pStyle w:val="Assessortext"/>
        <w:spacing w:after="160"/>
      </w:pPr>
      <w:r>
        <w:rPr>
          <w:b/>
        </w:rPr>
        <w:t xml:space="preserve">NYS: </w:t>
      </w:r>
      <w:r>
        <w:t>generic "DNS resolves names to IPs" without YAT-specific resolution points named.</w:t>
      </w:r>
    </w:p>
    <w:p>
      <w:pPr>
        <w:pStyle w:val="Assessortext"/>
        <w:spacing w:after="160"/>
      </w:pPr>
      <w:r>
        <w:t>Marking checks for Appendix 2 (§8) overall</w:t>
      </w:r>
    </w:p>
    <w:p>
      <w:pPr>
        <w:pStyle w:val="Assessortext"/>
        <w:spacing w:before="120" w:after="80"/>
      </w:pPr>
      <w:r>
        <w:rPr>
          <w:b/>
        </w:rPr>
        <w:t>Award credit for:</w:t>
      </w:r>
    </w:p>
    <w:p>
      <w:pPr>
        <w:pStyle w:val="Assessortext"/>
        <w:spacing w:after="80"/>
        <w:ind w:left="360"/>
      </w:pPr>
      <w:r>
        <w:t>• All 6 questions answered</w:t>
      </w:r>
    </w:p>
    <w:p>
      <w:pPr>
        <w:pStyle w:val="Assessortext"/>
        <w:spacing w:after="80"/>
        <w:ind w:left="360"/>
      </w:pPr>
      <w:r>
        <w:t>• Each answer references specific sections of the student's own report</w:t>
      </w:r>
    </w:p>
    <w:p>
      <w:pPr>
        <w:pStyle w:val="Assessortext"/>
        <w:spacing w:after="80"/>
        <w:ind w:left="360"/>
      </w:pPr>
      <w:r>
        <w:t>• The cited content is actually present in their report</w:t>
      </w:r>
    </w:p>
    <w:p>
      <w:pPr>
        <w:pStyle w:val="Assessortext"/>
        <w:spacing w:before="120" w:after="80"/>
      </w:pPr>
      <w:r>
        <w:rPr>
          <w:b/>
        </w:rPr>
        <w:t>Common deductions:</w:t>
      </w:r>
    </w:p>
    <w:p>
      <w:pPr>
        <w:pStyle w:val="Assessortext"/>
        <w:spacing w:after="80"/>
        <w:ind w:left="360"/>
      </w:pPr>
      <w:r>
        <w:t>• Generic textbook answers ("IaaS provides infrastructure")</w:t>
      </w:r>
    </w:p>
    <w:p>
      <w:pPr>
        <w:pStyle w:val="Assessortext"/>
        <w:spacing w:after="80"/>
        <w:ind w:left="360"/>
      </w:pPr>
      <w:r>
        <w:t>• Citations to report sections that don't contain what the answer claims</w:t>
      </w:r>
    </w:p>
    <w:p>
      <w:pPr>
        <w:pStyle w:val="Assessortext"/>
        <w:spacing w:after="80"/>
        <w:ind w:left="360"/>
      </w:pPr>
      <w:r>
        <w:t>• Repeating the supplied design verbatim instead of synthesising</w:t>
      </w:r>
    </w:p>
    <w:p>
      <w:pPr>
        <w:pStyle w:val="Heading2"/>
        <w:spacing w:before="280" w:after="80"/>
      </w:pPr>
      <w:r>
        <w:t>10. Marking Appendix A — Build Evidence (Screenshots)</w:t>
      </w:r>
    </w:p>
    <w:p>
      <w:pPr>
        <w:pStyle w:val="Assessortext"/>
        <w:spacing w:after="160"/>
      </w:pPr>
      <w:r>
        <w:rPr>
          <w:i/>
          <w:color w:val="595959"/>
          <w:sz w:val="18"/>
        </w:rPr>
        <w:t>UoC evidenced: [ICTCLD401 PE 1, 2]. Critical section.</w:t>
      </w:r>
    </w:p>
    <w:p>
      <w:pPr>
        <w:pStyle w:val="Assessortext"/>
        <w:spacing w:before="120" w:after="80"/>
      </w:pPr>
      <w:r>
        <w:rPr>
          <w:b/>
        </w:rPr>
        <w:t>Satisfactory looks like:</w:t>
      </w:r>
    </w:p>
    <w:p>
      <w:pPr>
        <w:pStyle w:val="Assessortext"/>
        <w:spacing w:after="80"/>
        <w:ind w:left="360"/>
      </w:pPr>
      <w:r>
        <w:t>• All 17 screenshots (A1–A17) present</w:t>
      </w:r>
    </w:p>
    <w:p>
      <w:pPr>
        <w:pStyle w:val="Assessortext"/>
        <w:spacing w:after="80"/>
        <w:ind w:left="360"/>
      </w:pPr>
      <w:r>
        <w:t>• AWS region indicator visible in each (top-right of console)</w:t>
      </w:r>
    </w:p>
    <w:p>
      <w:pPr>
        <w:pStyle w:val="Assessortext"/>
        <w:spacing w:after="80"/>
        <w:ind w:left="360"/>
      </w:pPr>
      <w:r>
        <w:t>• Named items visible per the template's screenshot description</w:t>
      </w:r>
    </w:p>
    <w:p>
      <w:pPr>
        <w:pStyle w:val="Assessortext"/>
        <w:spacing w:after="80"/>
        <w:ind w:left="360"/>
      </w:pPr>
      <w:r>
        <w:t>• Screenshots are from the actual deployed environment (not Photoshopped, not from AWS marketing material)</w:t>
      </w:r>
    </w:p>
    <w:p>
      <w:pPr>
        <w:pStyle w:val="Assessortext"/>
        <w:spacing w:before="120" w:after="80"/>
      </w:pPr>
      <w:r>
        <w:rPr>
          <w:b/>
        </w:rPr>
        <w:t>Common deductions:</w:t>
      </w:r>
    </w:p>
    <w:p>
      <w:pPr>
        <w:pStyle w:val="Assessortext"/>
        <w:spacing w:after="80"/>
        <w:ind w:left="360"/>
      </w:pPr>
      <w:r>
        <w:t>• Region indicator not visible — can't verify ap-southeast-2</w:t>
      </w:r>
    </w:p>
    <w:p>
      <w:pPr>
        <w:pStyle w:val="Assessortext"/>
        <w:spacing w:after="80"/>
        <w:ind w:left="360"/>
      </w:pPr>
      <w:r>
        <w:t>• Screenshot doesn't show the named items (e.g. A14 doesn't show the launch template attached to the ASG)</w:t>
      </w:r>
    </w:p>
    <w:p>
      <w:pPr>
        <w:pStyle w:val="Assessortext"/>
        <w:spacing w:after="80"/>
        <w:ind w:left="360"/>
      </w:pPr>
      <w:r>
        <w:t>• Screenshot from a tutorial / shared resource rather than the student's own deployment</w:t>
      </w:r>
    </w:p>
    <w:p>
      <w:pPr>
        <w:pStyle w:val="Heading2"/>
        <w:spacing w:before="280" w:after="80"/>
      </w:pPr>
      <w:r>
        <w:t>11. Marking Appendix B — Configuration Exports</w:t>
      </w:r>
    </w:p>
    <w:p>
      <w:pPr>
        <w:pStyle w:val="Assessortext"/>
        <w:spacing w:after="160"/>
      </w:pPr>
      <w:r>
        <w:rPr>
          <w:i/>
          <w:color w:val="595959"/>
          <w:sz w:val="18"/>
        </w:rPr>
        <w:t>UoC evidenced: [ICTCLD401 PE 2].</w:t>
      </w:r>
    </w:p>
    <w:p>
      <w:pPr>
        <w:pStyle w:val="Assessortext"/>
        <w:spacing w:before="120" w:after="80"/>
      </w:pPr>
      <w:r>
        <w:rPr>
          <w:b/>
        </w:rPr>
        <w:t>Satisfactory looks like:</w:t>
      </w:r>
    </w:p>
    <w:p>
      <w:pPr>
        <w:pStyle w:val="Assessortext"/>
        <w:spacing w:after="80"/>
        <w:ind w:left="360"/>
      </w:pPr>
      <w:r>
        <w:t>• All 7 exports (B1–B7) present</w:t>
      </w:r>
    </w:p>
    <w:p>
      <w:pPr>
        <w:pStyle w:val="Assessortext"/>
        <w:spacing w:after="80"/>
        <w:ind w:left="360"/>
      </w:pPr>
      <w:r>
        <w:t>• Exports are consistent with the screenshots in Appendix A (e.g. the security group rules in B2 match the rules visible in A8)</w:t>
      </w:r>
    </w:p>
    <w:p>
      <w:pPr>
        <w:pStyle w:val="Assessortext"/>
        <w:spacing w:after="80"/>
        <w:ind w:left="360"/>
      </w:pPr>
      <w:r>
        <w:t>• Exports are recognisably from the AWS environment (JSON/text dump format consistent with aws ec2 describe-* output)</w:t>
      </w:r>
    </w:p>
    <w:p>
      <w:pPr>
        <w:pStyle w:val="Assessortext"/>
        <w:spacing w:before="120" w:after="80"/>
      </w:pPr>
      <w:r>
        <w:rPr>
          <w:b/>
        </w:rPr>
        <w:t>NYS:</w:t>
      </w:r>
    </w:p>
    <w:p>
      <w:pPr>
        <w:pStyle w:val="Assessortext"/>
        <w:spacing w:after="80"/>
        <w:ind w:left="360"/>
      </w:pPr>
      <w:r>
        <w:t>• Exports missing</w:t>
      </w:r>
    </w:p>
    <w:p>
      <w:pPr>
        <w:pStyle w:val="Assessortext"/>
        <w:spacing w:after="80"/>
        <w:ind w:left="360"/>
      </w:pPr>
      <w:r>
        <w:t>• Exports inconsistent with screenshots (suggests fabrication)</w:t>
      </w:r>
    </w:p>
    <w:p>
      <w:pPr>
        <w:pStyle w:val="Assessortext"/>
        <w:spacing w:after="80"/>
        <w:ind w:left="360"/>
      </w:pPr>
      <w:r>
        <w:t>• Generic example configurations rather than the student's own</w:t>
      </w:r>
    </w:p>
    <w:p>
      <w:pPr>
        <w:pStyle w:val="Heading2"/>
        <w:spacing w:before="280" w:after="80"/>
      </w:pPr>
      <w:r>
        <w:t>12. Marking Appendix C — Test Evidence</w:t>
      </w:r>
    </w:p>
    <w:p>
      <w:pPr>
        <w:pStyle w:val="Assessortext"/>
        <w:spacing w:after="160"/>
      </w:pPr>
      <w:r>
        <w:rPr>
          <w:i/>
          <w:color w:val="595959"/>
          <w:sz w:val="18"/>
        </w:rPr>
        <w:t>UoC evidenced: [ICTCLD401 PE 3] · [ICTCLD502 PC 4.2, 4.3].</w:t>
      </w:r>
    </w:p>
    <w:p>
      <w:pPr>
        <w:pStyle w:val="Assessortext"/>
        <w:spacing w:before="120" w:after="80"/>
      </w:pPr>
      <w:r>
        <w:rPr>
          <w:b/>
        </w:rPr>
        <w:t>Satisfactory looks like:</w:t>
      </w:r>
    </w:p>
    <w:p>
      <w:pPr>
        <w:pStyle w:val="Assessortext"/>
        <w:spacing w:after="80"/>
        <w:ind w:left="360"/>
      </w:pPr>
      <w:r>
        <w:t>• All 6 evidence items (C1–C6) present</w:t>
      </w:r>
    </w:p>
    <w:p>
      <w:pPr>
        <w:pStyle w:val="Assessortext"/>
        <w:spacing w:after="80"/>
        <w:ind w:left="360"/>
      </w:pPr>
      <w:r>
        <w:t>• Evidence is consistent with the outcomes recorded in §6</w:t>
      </w:r>
    </w:p>
    <w:p>
      <w:pPr>
        <w:pStyle w:val="Assessortext"/>
        <w:spacing w:after="80"/>
        <w:ind w:left="360"/>
      </w:pPr>
      <w:r>
        <w:t>• Test C6 (negative test — RDS not publicly reachable) explicitly demonstrated</w:t>
      </w:r>
    </w:p>
    <w:p>
      <w:pPr>
        <w:pStyle w:val="Assessortext"/>
        <w:spacing w:before="120" w:after="80"/>
      </w:pPr>
      <w:r>
        <w:rPr>
          <w:b/>
        </w:rPr>
        <w:t>NYS:</w:t>
      </w:r>
    </w:p>
    <w:p>
      <w:pPr>
        <w:pStyle w:val="Assessortext"/>
        <w:spacing w:after="80"/>
        <w:ind w:left="360"/>
      </w:pPr>
      <w:r>
        <w:t>• Evidence missing for one or more tests</w:t>
      </w:r>
    </w:p>
    <w:p>
      <w:pPr>
        <w:pStyle w:val="Assessortext"/>
        <w:spacing w:after="80"/>
        <w:ind w:left="360"/>
      </w:pPr>
      <w:r>
        <w:t>• Evidence shows the opposite of the recorded §6 outcome</w:t>
      </w:r>
    </w:p>
    <w:p>
      <w:pPr>
        <w:pStyle w:val="Assessortext"/>
        <w:spacing w:after="80"/>
        <w:ind w:left="360"/>
      </w:pPr>
      <w:r>
        <w:t>• Negative test missing — security posture not verified</w:t>
      </w:r>
    </w:p>
    <w:p>
      <w:pPr>
        <w:pStyle w:val="Heading2"/>
        <w:spacing w:before="280" w:after="80"/>
      </w:pPr>
      <w:r>
        <w:t>13. Marking Appendix D — Reflections</w:t>
      </w:r>
    </w:p>
    <w:p>
      <w:pPr>
        <w:pStyle w:val="Assessortext"/>
        <w:spacing w:after="160"/>
      </w:pPr>
      <w:r>
        <w:rPr>
          <w:i/>
          <w:color w:val="595959"/>
          <w:sz w:val="18"/>
        </w:rPr>
        <w:t>UoC evidenced: [ICTCLD401 FS Learning, Planning and organising, Self-management skills].</w:t>
      </w:r>
    </w:p>
    <w:p>
      <w:pPr>
        <w:pStyle w:val="Assessortext"/>
        <w:spacing w:after="160"/>
      </w:pPr>
      <w:r>
        <w:t>UoC evidenced (foundation skill — closest-fit): [ICTCLD401 FS Reading] (A13).</w:t>
      </w:r>
    </w:p>
    <w:p>
      <w:pPr>
        <w:pStyle w:val="Assessortext"/>
        <w:spacing w:before="120" w:after="80"/>
      </w:pPr>
      <w:r>
        <w:rPr>
          <w:b/>
        </w:rPr>
        <w:t>Satisfactory looks like:</w:t>
      </w:r>
    </w:p>
    <w:p>
      <w:pPr>
        <w:pStyle w:val="Assessortext"/>
        <w:spacing w:after="80"/>
        <w:ind w:left="360"/>
      </w:pPr>
      <w:r>
        <w:t>• Both reflections present</w:t>
      </w:r>
    </w:p>
    <w:p>
      <w:pPr>
        <w:pStyle w:val="Assessortext"/>
        <w:spacing w:after="80"/>
        <w:ind w:left="360"/>
      </w:pPr>
      <w:r>
        <w:t>• Each is specific to the student's own build (not generic)</w:t>
      </w:r>
    </w:p>
    <w:p>
      <w:pPr>
        <w:pStyle w:val="Assessortext"/>
        <w:spacing w:after="80"/>
        <w:ind w:left="360"/>
      </w:pPr>
      <w:r>
        <w:t>• R1 names a transferable lesson and how it was arrived at</w:t>
      </w:r>
    </w:p>
    <w:p>
      <w:pPr>
        <w:pStyle w:val="Assessortext"/>
        <w:spacing w:after="80"/>
        <w:ind w:left="360"/>
      </w:pPr>
      <w:r>
        <w:t>• R2 names a decision validated AND a decision the student would revise</w:t>
      </w:r>
    </w:p>
    <w:p>
      <w:pPr>
        <w:pStyle w:val="Assessortext"/>
        <w:spacing w:before="120" w:after="80"/>
      </w:pPr>
      <w:r>
        <w:rPr>
          <w:b/>
        </w:rPr>
        <w:t>NYS:</w:t>
      </w:r>
    </w:p>
    <w:p>
      <w:pPr>
        <w:pStyle w:val="Assessortext"/>
        <w:spacing w:after="80"/>
        <w:ind w:left="360"/>
      </w:pPr>
      <w:r>
        <w:t>• Reflections absent or one-sentence-each</w:t>
      </w:r>
    </w:p>
    <w:p>
      <w:pPr>
        <w:pStyle w:val="Assessortext"/>
        <w:spacing w:after="80"/>
        <w:ind w:left="360"/>
      </w:pPr>
      <w:r>
        <w:t>• All reflections positive — no honest "would revise" content</w:t>
      </w:r>
    </w:p>
    <w:p>
      <w:pPr>
        <w:pStyle w:val="Assessortext"/>
        <w:spacing w:after="80"/>
        <w:ind w:left="360"/>
      </w:pPr>
      <w:r>
        <w:t>• Generic reflections that don't engage with the actual build (could be cut-pasted into any deployment report)</w:t>
      </w:r>
    </w:p>
    <w:p>
      <w:pPr>
        <w:pStyle w:val="Heading1"/>
        <w:spacing w:before="280" w:after="120"/>
      </w:pPr>
      <w:r>
        <w:t>UoC coverage verification (reverse map)</w:t>
      </w:r>
    </w:p>
    <w:p>
      <w:pPr>
        <w:pStyle w:val="Assessortext"/>
        <w:spacing w:after="160"/>
      </w:pPr>
      <w:r>
        <w:t>This table closes the loop on bidirectional traceability: every UoC requirement AT2 claims to evidence is named below with the marking criterion (or criteria) that evidence it.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Discuss and compare different cloud computing solutions, models and services</w:t>
            </w:r>
          </w:p>
        </w:tc>
        <w:tc>
          <w:tcPr>
            <w:tcW w:type="dxa" w:w="5233"/>
          </w:tcPr>
          <w:p>
            <w:r>
              <w:t>A5 (justifications in §5 Configuration Decisions implicitly compare options)</w:t>
            </w:r>
          </w:p>
        </w:tc>
      </w:tr>
      <w:tr>
        <w:tc>
          <w:tcPr>
            <w:tcW w:type="dxa" w:w="5233"/>
          </w:tcPr>
          <w:p>
            <w:r>
              <w:t>PC 1.2 — Identify impact of shared security responsibility models</w:t>
            </w:r>
          </w:p>
        </w:tc>
        <w:tc>
          <w:tcPr>
            <w:tcW w:type="dxa" w:w="5233"/>
          </w:tcPr>
          <w:p>
            <w:r>
              <w:t>A4</w:t>
            </w:r>
          </w:p>
        </w:tc>
      </w:tr>
      <w:tr>
        <w:tc>
          <w:tcPr>
            <w:tcW w:type="dxa" w:w="5233"/>
          </w:tcPr>
          <w:p>
            <w:r>
              <w:t>PC 1.3 — Select best cloud computing solution and service</w:t>
            </w:r>
          </w:p>
        </w:tc>
        <w:tc>
          <w:tcPr>
            <w:tcW w:type="dxa" w:w="5233"/>
          </w:tcPr>
          <w:p>
            <w:r>
              <w:t>A5</w:t>
            </w:r>
          </w:p>
        </w:tc>
      </w:tr>
      <w:tr>
        <w:tc>
          <w:tcPr>
            <w:tcW w:type="dxa" w:w="5233"/>
          </w:tcPr>
          <w:p>
            <w:r>
              <w:t>PC 1.4 — Access account on cloud platform</w:t>
            </w:r>
          </w:p>
        </w:tc>
        <w:tc>
          <w:tcPr>
            <w:tcW w:type="dxa" w:w="5233"/>
          </w:tcPr>
          <w:p>
            <w:r>
              <w:t>A2</w:t>
            </w:r>
          </w:p>
        </w:tc>
      </w:tr>
      <w:tr>
        <w:tc>
          <w:tcPr>
            <w:tcW w:type="dxa" w:w="5233"/>
          </w:tcPr>
          <w:p>
            <w:r>
              <w:t>PC 1.5 — Identify user access protocols and policies</w:t>
            </w:r>
          </w:p>
        </w:tc>
        <w:tc>
          <w:tcPr>
            <w:tcW w:type="dxa" w:w="5233"/>
          </w:tcPr>
          <w:p>
            <w:r>
              <w:t>A2</w:t>
            </w:r>
          </w:p>
        </w:tc>
      </w:tr>
      <w:tr>
        <w:tc>
          <w:tcPr>
            <w:tcW w:type="dxa" w:w="5233"/>
          </w:tcPr>
          <w:p>
            <w:r>
              <w:t>PC 1.6 — Configure access functions within cloud environment</w:t>
            </w:r>
          </w:p>
        </w:tc>
        <w:tc>
          <w:tcPr>
            <w:tcW w:type="dxa" w:w="5233"/>
          </w:tcPr>
          <w:p>
            <w:r>
              <w:t>A2</w:t>
            </w:r>
          </w:p>
        </w:tc>
      </w:tr>
      <w:tr>
        <w:tc>
          <w:tcPr>
            <w:tcW w:type="dxa" w:w="5233"/>
          </w:tcPr>
          <w:p>
            <w:r>
              <w:t>PC 1.7 — Identify and assign security responsibilities</w:t>
            </w:r>
          </w:p>
        </w:tc>
        <w:tc>
          <w:tcPr>
            <w:tcW w:type="dxa" w:w="5233"/>
          </w:tcPr>
          <w:p>
            <w:r>
              <w:t>A2</w:t>
            </w:r>
          </w:p>
        </w:tc>
      </w:tr>
      <w:tr>
        <w:tc>
          <w:tcPr>
            <w:tcW w:type="dxa" w:w="5233"/>
          </w:tcPr>
          <w:p>
            <w:r>
              <w:t>PC 2.1 — Create users and groups</w:t>
            </w:r>
          </w:p>
        </w:tc>
        <w:tc>
          <w:tcPr>
            <w:tcW w:type="dxa" w:w="5233"/>
          </w:tcPr>
          <w:p>
            <w:r>
              <w:t>A2</w:t>
            </w:r>
          </w:p>
        </w:tc>
      </w:tr>
      <w:tr>
        <w:tc>
          <w:tcPr>
            <w:tcW w:type="dxa" w:w="5233"/>
          </w:tcPr>
          <w:p>
            <w:r>
              <w:t>PC 2.2 — Create virtual multi-tier network</w:t>
            </w:r>
          </w:p>
        </w:tc>
        <w:tc>
          <w:tcPr>
            <w:tcW w:type="dxa" w:w="5233"/>
          </w:tcPr>
          <w:p>
            <w:r>
              <w:t>A2</w:t>
            </w:r>
          </w:p>
        </w:tc>
      </w:tr>
      <w:tr>
        <w:tc>
          <w:tcPr>
            <w:tcW w:type="dxa" w:w="5233"/>
          </w:tcPr>
          <w:p>
            <w:r>
              <w:t>PC 2.3 — Create virtual machine</w:t>
            </w:r>
          </w:p>
        </w:tc>
        <w:tc>
          <w:tcPr>
            <w:tcW w:type="dxa" w:w="5233"/>
          </w:tcPr>
          <w:p>
            <w:r>
              <w:t>A3</w:t>
            </w:r>
          </w:p>
        </w:tc>
      </w:tr>
      <w:tr>
        <w:tc>
          <w:tcPr>
            <w:tcW w:type="dxa" w:w="5233"/>
          </w:tcPr>
          <w:p>
            <w:r>
              <w:t>PC 2.4 — Define, add and expand storage</w:t>
            </w:r>
          </w:p>
        </w:tc>
        <w:tc>
          <w:tcPr>
            <w:tcW w:type="dxa" w:w="5233"/>
          </w:tcPr>
          <w:p>
            <w:r>
              <w:t>A3</w:t>
            </w:r>
          </w:p>
        </w:tc>
      </w:tr>
      <w:tr>
        <w:tc>
          <w:tcPr>
            <w:tcW w:type="dxa" w:w="5233"/>
          </w:tcPr>
          <w:p>
            <w:r>
              <w:t>PC 2.5 — Deploy a managed database</w:t>
            </w:r>
          </w:p>
        </w:tc>
        <w:tc>
          <w:tcPr>
            <w:tcW w:type="dxa" w:w="5233"/>
          </w:tcPr>
          <w:p>
            <w:r>
              <w:t>A3</w:t>
            </w:r>
          </w:p>
        </w:tc>
      </w:tr>
      <w:tr>
        <w:tc>
          <w:tcPr>
            <w:tcW w:type="dxa" w:w="5233"/>
          </w:tcPr>
          <w:p>
            <w:r>
              <w:t>PC 2.6 — Test external network access</w:t>
            </w:r>
          </w:p>
        </w:tc>
        <w:tc>
          <w:tcPr>
            <w:tcW w:type="dxa" w:w="5233"/>
          </w:tcPr>
          <w:p>
            <w:r>
              <w:t>A6</w:t>
            </w:r>
          </w:p>
        </w:tc>
      </w:tr>
      <w:tr>
        <w:tc>
          <w:tcPr>
            <w:tcW w:type="dxa" w:w="5233"/>
          </w:tcPr>
          <w:p>
            <w:r>
              <w:t>PC 3.1 — Configure and apply autoscaling</w:t>
            </w:r>
          </w:p>
        </w:tc>
        <w:tc>
          <w:tcPr>
            <w:tcW w:type="dxa" w:w="5233"/>
          </w:tcPr>
          <w:p>
            <w:r>
              <w:t>A4</w:t>
            </w:r>
          </w:p>
        </w:tc>
      </w:tr>
      <w:tr>
        <w:tc>
          <w:tcPr>
            <w:tcW w:type="dxa" w:w="5233"/>
          </w:tcPr>
          <w:p>
            <w:r>
              <w:t>PC 3.2 — Test automatic scaling</w:t>
            </w:r>
          </w:p>
        </w:tc>
        <w:tc>
          <w:tcPr>
            <w:tcW w:type="dxa" w:w="5233"/>
          </w:tcPr>
          <w:p>
            <w:r>
              <w:t>A6</w:t>
            </w:r>
          </w:p>
        </w:tc>
      </w:tr>
      <w:tr>
        <w:tc>
          <w:tcPr>
            <w:tcW w:type="dxa" w:w="5233"/>
          </w:tcPr>
          <w:p>
            <w:r>
              <w:t>PC 4.3 — Save and store user documentation per organisational policies</w:t>
            </w:r>
          </w:p>
        </w:tc>
        <w:tc>
          <w:tcPr>
            <w:tcW w:type="dxa" w:w="5233"/>
          </w:tcPr>
          <w:p>
            <w:r>
              <w:t>A7</w:t>
            </w:r>
          </w:p>
        </w:tc>
      </w:tr>
      <w:tr>
        <w:tc>
          <w:tcPr>
            <w:tcW w:type="dxa" w:w="5233"/>
          </w:tcPr>
          <w:p>
            <w:r>
              <w:t>PE 1 — Build at least one simple virtual network capable of supporting a workload</w:t>
            </w:r>
          </w:p>
        </w:tc>
        <w:tc>
          <w:tcPr>
            <w:tcW w:type="dxa" w:w="5233"/>
          </w:tcPr>
          <w:p>
            <w:r>
              <w:t>A9</w:t>
            </w:r>
          </w:p>
        </w:tc>
      </w:tr>
      <w:tr>
        <w:tc>
          <w:tcPr>
            <w:tcW w:type="dxa" w:w="5233"/>
          </w:tcPr>
          <w:p>
            <w:r>
              <w:t>PE 2 — Configure compute, storage, database and autoscaling resources within virtual network</w:t>
            </w:r>
          </w:p>
        </w:tc>
        <w:tc>
          <w:tcPr>
            <w:tcW w:type="dxa" w:w="5233"/>
          </w:tcPr>
          <w:p>
            <w:r>
              <w:t>A9 · A10</w:t>
            </w:r>
          </w:p>
        </w:tc>
      </w:tr>
      <w:tr>
        <w:tc>
          <w:tcPr>
            <w:tcW w:type="dxa" w:w="5233"/>
          </w:tcPr>
          <w:p>
            <w:r>
              <w:t>PE 3 — Conduct simple tests to confirm access to resources</w:t>
            </w:r>
          </w:p>
        </w:tc>
        <w:tc>
          <w:tcPr>
            <w:tcW w:type="dxa" w:w="5233"/>
          </w:tcPr>
          <w:p>
            <w:r>
              <w:t>A11</w:t>
            </w:r>
          </w:p>
        </w:tc>
      </w:tr>
      <w:tr>
        <w:tc>
          <w:tcPr>
            <w:tcW w:type="dxa" w:w="5233"/>
          </w:tcPr>
          <w:p>
            <w:r>
              <w:t>KE 5 — VM/networking/scaling features (VM sizing, load balancing, autoscaling, monitoring, storage backups, virtual networks/traffic routing)</w:t>
            </w:r>
          </w:p>
        </w:tc>
        <w:tc>
          <w:tcPr>
            <w:tcW w:type="dxa" w:w="5233"/>
          </w:tcPr>
          <w:p>
            <w:r>
              <w:t>A8 (Q1)</w:t>
            </w:r>
          </w:p>
        </w:tc>
      </w:tr>
      <w:tr>
        <w:tc>
          <w:tcPr>
            <w:tcW w:type="dxa" w:w="5233"/>
          </w:tcPr>
          <w:p>
            <w:r>
              <w:t>KE 6 —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KE 7 — User, business and vendor responsibilities according to shared security responsibility models</w:t>
            </w:r>
          </w:p>
        </w:tc>
        <w:tc>
          <w:tcPr>
            <w:tcW w:type="dxa" w:w="5233"/>
          </w:tcPr>
          <w:p>
            <w:r>
              <w:t>A8 (Q3)</w:t>
            </w:r>
          </w:p>
        </w:tc>
      </w:tr>
      <w:tr>
        <w:tc>
          <w:tcPr>
            <w:tcW w:type="dxa" w:w="5233"/>
          </w:tcPr>
          <w:p>
            <w:r>
              <w:t>KE 8 — User access protocols and policies according to organisation hierarchy and job function</w:t>
            </w:r>
          </w:p>
        </w:tc>
        <w:tc>
          <w:tcPr>
            <w:tcW w:type="dxa" w:w="5233"/>
          </w:tcPr>
          <w:p>
            <w:r>
              <w:t>A8 (Q4)</w:t>
            </w:r>
          </w:p>
        </w:tc>
      </w:tr>
      <w:tr>
        <w:tc>
          <w:tcPr>
            <w:tcW w:type="dxa" w:w="5233"/>
          </w:tcPr>
          <w:p>
            <w:r>
              <w:t>KE 9 — Security policies, protocols and mechanisms as they relate to cloud (network traffic limits + security responsibilities per work function/user access)</w:t>
            </w:r>
          </w:p>
        </w:tc>
        <w:tc>
          <w:tcPr>
            <w:tcW w:type="dxa" w:w="5233"/>
          </w:tcPr>
          <w:p>
            <w:r>
              <w:t>A8 (Q5)</w:t>
            </w:r>
          </w:p>
        </w:tc>
      </w:tr>
      <w:tr>
        <w:tc>
          <w:tcPr>
            <w:tcW w:type="dxa" w:w="5233"/>
          </w:tcPr>
          <w:p>
            <w:r>
              <w:t>KE 10 — Purpose of DNS for connecting remote servers when web browsing</w:t>
            </w:r>
          </w:p>
        </w:tc>
        <w:tc>
          <w:tcPr>
            <w:tcW w:type="dxa" w:w="5233"/>
          </w:tcPr>
          <w:p>
            <w:r>
              <w:t>A8 (Q6)</w:t>
            </w:r>
          </w:p>
        </w:tc>
      </w:tr>
      <w:tr>
        <w:tc>
          <w:tcPr>
            <w:tcW w:type="dxa" w:w="5233"/>
          </w:tcPr>
          <w:p>
            <w:r>
              <w:t>FS Reading</w:t>
            </w:r>
          </w:p>
        </w:tc>
        <w:tc>
          <w:tcPr>
            <w:tcW w:type="dxa" w:w="5233"/>
          </w:tcPr>
          <w:p>
            <w:r>
              <w:t>A13</w:t>
            </w:r>
          </w:p>
        </w:tc>
      </w:tr>
      <w:tr>
        <w:tc>
          <w:tcPr>
            <w:tcW w:type="dxa" w:w="5233"/>
          </w:tcPr>
          <w:p>
            <w:r>
              <w:t>FS Writing</w:t>
            </w:r>
          </w:p>
        </w:tc>
        <w:tc>
          <w:tcPr>
            <w:tcW w:type="dxa" w:w="5233"/>
          </w:tcPr>
          <w:p>
            <w:r>
              <w:t>A13</w:t>
            </w:r>
          </w:p>
        </w:tc>
      </w:tr>
      <w:tr>
        <w:tc>
          <w:tcPr>
            <w:tcW w:type="dxa" w:w="5233"/>
          </w:tcPr>
          <w:p>
            <w:r>
              <w:t>FS Learning</w:t>
            </w:r>
          </w:p>
        </w:tc>
        <w:tc>
          <w:tcPr>
            <w:tcW w:type="dxa" w:w="5233"/>
          </w:tcPr>
          <w:p>
            <w:r>
              <w:t>A12</w:t>
            </w:r>
          </w:p>
        </w:tc>
      </w:tr>
      <w:tr>
        <w:tc>
          <w:tcPr>
            <w:tcW w:type="dxa" w:w="5233"/>
          </w:tcPr>
          <w:p>
            <w:r>
              <w:t>FS Planning and organising</w:t>
            </w:r>
          </w:p>
        </w:tc>
        <w:tc>
          <w:tcPr>
            <w:tcW w:type="dxa" w:w="5233"/>
          </w:tcPr>
          <w:p>
            <w:r>
              <w:t>A12</w:t>
            </w:r>
          </w:p>
        </w:tc>
      </w:tr>
      <w:tr>
        <w:tc>
          <w:tcPr>
            <w:tcW w:type="dxa" w:w="5233"/>
          </w:tcPr>
          <w:p>
            <w:r>
              <w:t>FS Self-management skills</w:t>
            </w:r>
          </w:p>
        </w:tc>
        <w:tc>
          <w:tcPr>
            <w:tcW w:type="dxa" w:w="5233"/>
          </w:tcPr>
          <w:p>
            <w:r>
              <w:t>A12</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Internet and web browser</w:t>
            </w:r>
          </w:p>
        </w:tc>
        <w:tc>
          <w:tcPr>
            <w:tcW w:type="dxa" w:w="5233"/>
          </w:tcPr>
          <w:p>
            <w:r>
              <w:t>C1 (pre-condition)</w:t>
            </w:r>
          </w:p>
        </w:tc>
      </w:tr>
      <w:tr>
        <w:tc>
          <w:tcPr>
            <w:tcW w:type="dxa" w:w="5233"/>
          </w:tcPr>
          <w:p>
            <w:r>
              <w:t>AC 4 —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1.3 — Identify level of shared security responsibility models according to business needs</w:t>
            </w:r>
          </w:p>
        </w:tc>
        <w:tc>
          <w:tcPr>
            <w:tcW w:type="dxa" w:w="5233"/>
          </w:tcPr>
          <w:p>
            <w:r>
              <w:t>A2 (co-evidenced with [ICTCLD401 PC 1.2] · [ICTCLD401 PC 1.7] via Group 2 of consolidated UoC)</w:t>
            </w:r>
          </w:p>
        </w:tc>
      </w:tr>
      <w:tr>
        <w:tc>
          <w:tcPr>
            <w:tcW w:type="dxa" w:w="5233"/>
          </w:tcPr>
          <w:p>
            <w:r>
              <w:t>PC 4.1 — Implement architecture design in cloud environment</w:t>
            </w:r>
          </w:p>
        </w:tc>
        <w:tc>
          <w:tcPr>
            <w:tcW w:type="dxa" w:w="5233"/>
          </w:tcPr>
          <w:p>
            <w:r>
              <w:t>A3</w:t>
            </w:r>
          </w:p>
        </w:tc>
      </w:tr>
      <w:tr>
        <w:tc>
          <w:tcPr>
            <w:tcW w:type="dxa" w:w="5233"/>
          </w:tcPr>
          <w:p>
            <w:r>
              <w:t>PC 4.2 — Demonstrate connectivity between resources at all tiers</w:t>
            </w:r>
          </w:p>
        </w:tc>
        <w:tc>
          <w:tcPr>
            <w:tcW w:type="dxa" w:w="5233"/>
          </w:tcPr>
          <w:p>
            <w:r>
              <w:t>A6 · A11</w:t>
            </w:r>
          </w:p>
        </w:tc>
      </w:tr>
      <w:tr>
        <w:tc>
          <w:tcPr>
            <w:tcW w:type="dxa" w:w="5233"/>
          </w:tcPr>
          <w:p>
            <w:r>
              <w:t>PC 4.3 — Monitor and measure availability of resources</w:t>
            </w:r>
          </w:p>
        </w:tc>
        <w:tc>
          <w:tcPr>
            <w:tcW w:type="dxa" w:w="5233"/>
          </w:tcPr>
          <w:p>
            <w:r>
              <w:t>A4 · A11 (baseline monitoring only — HA-tuned monitoring is AT3)</w:t>
            </w:r>
          </w:p>
        </w:tc>
      </w:tr>
      <w:tr>
        <w:tc>
          <w:tcPr>
            <w:tcW w:type="dxa" w:w="5233"/>
          </w:tcPr>
          <w:p>
            <w:r>
              <w:t>FS Reading</w:t>
            </w:r>
          </w:p>
        </w:tc>
        <w:tc>
          <w:tcPr>
            <w:tcW w:type="dxa" w:w="5233"/>
          </w:tcPr>
          <w:p>
            <w:r>
              <w:t>A13</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Information and data sources required to design and implement cloud infrastructure</w:t>
            </w:r>
          </w:p>
        </w:tc>
        <w:tc>
          <w:tcPr>
            <w:tcW w:type="dxa" w:w="5233"/>
          </w:tcPr>
          <w:p>
            <w:r>
              <w:t>C2 (pre-condition)</w:t>
            </w:r>
          </w:p>
        </w:tc>
      </w:tr>
      <w:tr>
        <w:tc>
          <w:tcPr>
            <w:tcW w:type="dxa" w:w="5233"/>
          </w:tcPr>
          <w:p>
            <w:r>
              <w:t>AC 4 — Integrated development environment (IDE)</w:t>
            </w:r>
          </w:p>
        </w:tc>
        <w:tc>
          <w:tcPr>
            <w:tcW w:type="dxa" w:w="5233"/>
          </w:tcPr>
          <w:p>
            <w:r>
              <w:t>C1 (pre-condition — AWS Console + CLI counts as IDE)</w:t>
            </w:r>
          </w:p>
        </w:tc>
      </w:tr>
      <w:tr>
        <w:tc>
          <w:tcPr>
            <w:tcW w:type="dxa" w:w="5233"/>
          </w:tcPr>
          <w:p>
            <w:r>
              <w:t>AC 5 —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AC 6 — Internet and web browser</w:t>
            </w:r>
          </w:p>
        </w:tc>
        <w:tc>
          <w:tcPr>
            <w:tcW w:type="dxa" w:w="5233"/>
          </w:tcPr>
          <w:p>
            <w:r>
              <w:t>C1 (pre-condition)</w:t>
            </w:r>
          </w:p>
        </w:tc>
      </w:tr>
      <w:tr>
        <w:tc>
          <w:tcPr>
            <w:tcW w:type="dxa" w:w="5233"/>
          </w:tcPr>
          <w:p>
            <w:r>
              <w:t>AC 7 — Secure shell (SSH) or remote desktop protocol (RDP) client</w:t>
            </w:r>
          </w:p>
        </w:tc>
        <w:tc>
          <w:tcPr>
            <w:tcW w:type="dxa" w:w="5233"/>
          </w:tcPr>
          <w:p>
            <w:r>
              <w:t>C1 (pre-condition — RDP for Windows EC2 instances)</w:t>
            </w:r>
          </w:p>
        </w:tc>
      </w:tr>
      <w:tr>
        <w:tc>
          <w:tcPr>
            <w:tcW w:type="dxa" w:w="5233"/>
          </w:tcPr>
          <w:p>
            <w:r>
              <w:t>AC 8 —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projects/lms-cloud-infrastructure/cloud-architecture-baseline" TargetMode="External"/><Relationship Id="rId18" Type="http://schemas.openxmlformats.org/officeDocument/2006/relationships/hyperlink" Target="https://yat.timbaird.com/intranet/s1-cl1-at2/ict/lms-application-spec" TargetMode="External"/><Relationship Id="rId19" Type="http://schemas.openxmlformats.org/officeDocument/2006/relationships/hyperlink" Target="https://yat.timbaird.com/intranet/s1-cl1-at2/projects/lms-cloud-infrastructure/role-brief" TargetMode="External"/><Relationship Id="rId20" Type="http://schemas.openxmlformats.org/officeDocument/2006/relationships/hyperlink" Target="https://yat.timbaird.com/intranet/s1-cl1-at2/policies/records-management" TargetMode="External"/><Relationship Id="rId21" Type="http://schemas.openxmlformats.org/officeDocument/2006/relationships/hyperlink" Target="https://yat.timbaird.com/intranet/s1-cl1-at2/templates" TargetMode="External"/><Relationship Id="rId22" Type="http://schemas.openxmlformats.org/officeDocument/2006/relationships/hyperlink" Target="https://yat.timbaird.com/intranet/s1-cl1-at2/projects/lms-replacement/deploymen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