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Business Case</w:t>
      </w:r>
    </w:p>
    <w:p>
      <w:r>
        <w:rPr>
          <w:b/>
          <w:color w:val="C5613B"/>
          <w:sz w:val="30"/>
        </w:rPr>
        <w:t>YAT LMS Cloud Migration</w:t>
      </w:r>
    </w:p>
    <w:p>
      <w:r>
        <w:rPr>
          <w:i/>
          <w:color w:val="6B6660"/>
          <w:sz w:val="20"/>
        </w:rPr>
        <w:t>Assessor exemplar — internal marking reference (not for distribution to students)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Board, via Sam Walker (YAT ICT Manager)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MTS Consultant, MP Tech Solutions (MTS)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Pat Lin, MTS Senior Consultant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LMS Cloud Migration — S1-CL1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Analysis period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5 years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AUD, exclusive of GST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i/>
          <w:color w:val="1F5A5C"/>
          <w:sz w:val="17"/>
        </w:rPr>
        <w:t>Evidences: contributes to [ICTICT517 PC 1.4]</w:t>
      </w:r>
    </w:p>
    <w:p>
      <w:r>
        <w:rPr>
          <w:sz w:val="21"/>
        </w:rPr>
        <w:t>YAT's Learning Management System (DOODLE) runs on a single, end-of-supportable-life on-premises server delivering ~99.2% availability — short of the 99.9% target the ICT Strategic Plan sets for critical systems, and unable to meet the recovery and capacity expectations of a growing RTO. This Business Case evaluates two options over a five-year horizon: Option A — renew the on-premises server; Option B — migrate the LMS to Amazon Web Services (AWS) in the Sydney region (ap-southeast-2), preserving the existing Windows Server 2016 / DOODLE / MySQL stack.</w:t>
      </w:r>
    </w:p>
    <w:p>
      <w:r>
        <w:rPr>
          <w:sz w:val="21"/>
        </w:rPr>
        <w:t>The five-year direct cost of the two options is comparable (~$447,300 on-premises vs ~$441,400 cloud). The decision therefore turns on the non-cost factors: only Option B credibly achieves 99.9% availability and the RTO ≤ 4h / RPO ≤ 1h recovery objectives, and only Option B provides the elastic capacity for 15% annual student growth and the ~3× assessment-window peaks. Quantifying the avoided downtime adds ~$69,000 of benefit to the cloud option over five years, giving it the stronger net position (~$372,400 vs ~$447,300).</w:t>
      </w:r>
    </w:p>
    <w:p>
      <w:r>
        <w:rPr>
          <w:sz w:val="21"/>
        </w:rPr>
        <w:t>The principal risks of the cloud option — staff upskilling, cost control, and a safe cutover — are manageable through continued MTS support, AWS cost guardrails, and phased migration outside assessment windows. We recommend Option B and ask the board to approve the migration, the phased action plan in §9, and the Year-1 budget envelope.</w:t>
      </w:r>
    </w:p>
    <w:p>
      <w:pPr>
        <w:pStyle w:val="Heading1"/>
      </w:pPr>
      <w:r>
        <w:t>2. Strategic Alignment Analysis</w:t>
      </w:r>
    </w:p>
    <w:p>
      <w:pPr>
        <w:spacing w:after="120"/>
      </w:pPr>
      <w:r>
        <w:rPr>
          <w:i/>
          <w:color w:val="1F5A5C"/>
          <w:sz w:val="17"/>
        </w:rPr>
        <w:t>Evidences: [ICTICT517 PC 1.1] · [ICTICT517 PE 1]</w:t>
      </w:r>
    </w:p>
    <w:p>
      <w:r>
        <w:rPr>
          <w:sz w:val="21"/>
        </w:rPr>
        <w:t>YAT's ICT Strategic Plan sets goals to ensure reliable ICT services, respond quickly to change, reduce dependency on in-house server infrastructure, and adopt sustainable practices. Three objectives are material to this engagement: investigate transitioning critical on-premises application services to the cloud (by mid-2027); deploy the LMS in the cloud (by end-2027); and achieve 99.9% availability for critical systems (by end-2027). The plan names the LMS as the first system to transition, making this engagement the lead initiative of the strategy. These ICT objectives in turn serve YAT's business objectives — location-independent learning, national expansion, and 15% annual student growth — for which the plan identifies cloud-hosted infrastructure as the principal ICT enabler.</w:t>
      </w:r>
    </w:p>
    <w:p>
      <w:r>
        <w:rPr>
          <w:sz w:val="21"/>
        </w:rPr>
        <w:t>Against the industry environment, the direction is well aligned: Australian RTOs and the wider education sector are moving steadily to cloud and managed services, shifting from capital refresh cycles (CAPEX) to consumption-based operating costs (OPEX), and treating resilience and elastic capacity as baseline expectations rather than premium features. Data-residency obligations under the Privacy Act 1988 (APP 8) and the Standards for RTOs 2015 are equally part of that environment, and are met by deploying in an Australian region.</w:t>
      </w:r>
    </w:p>
    <w:p>
      <w:r>
        <w:rPr>
          <w:sz w:val="21"/>
        </w:rPr>
        <w:t>Where YAT's plan is more ambitious than its current posture is the 99.9% availability target — a meaningful step up from the measured 99.2% and one a single on-premises server cannot credibly deliver. That ambition is appropriate, not excessive: it reflects the LMS's mission-critical role. The implication is clear — the LMS migration is the proving ground for the broader strategy, and delivering it well sets the pattern for moving YAT's other suitable on-site systems to the cloud.</w:t>
      </w:r>
    </w:p>
    <w:p>
      <w:pPr>
        <w:pStyle w:val="Heading1"/>
      </w:pPr>
      <w:r>
        <w:t>3. Current State of YAT's ICT</w:t>
      </w:r>
    </w:p>
    <w:p>
      <w:pPr>
        <w:spacing w:after="120"/>
      </w:pPr>
      <w:r>
        <w:rPr>
          <w:i/>
          <w:color w:val="1F5A5C"/>
          <w:sz w:val="17"/>
        </w:rPr>
        <w:t>Evidences: [ICTICT517 PC 1.2] · [ICTICT517 PE 2]</w:t>
      </w:r>
    </w:p>
    <w:p>
      <w:r>
        <w:rPr>
          <w:sz w:val="21"/>
        </w:rPr>
        <w:t>YAT's network is resilient at the infrastructure layer (no single point of failure, dual-NIC servers, two AD-controlled security zones), but the LMS itself is not. DOODLE runs on a single Windows Server 2016 host with a MySQL database and ~178 GB of data (of ~250 GB allocated), and the server is at end of supportable life. Measured availability is 99.2%; recovery rests on nightly tape backups, giving an RPO of ~24 hours and an RTO of ~7–11 hours — both well short of the migration targets. The LMS integrates with Active Directory (authentication), Office 365 (notifications), the Accounting system (fee-status), and ASQA/DET reporting. YAT ICT staff are highly capable on-premises but have limited cloud experience; MTS provides application support under a standing contract. The material limitations for this decision are the single point of failure, the end-of-life hardware, recovery objectives far from target, and fixed capacity that cannot absorb the ~3× assessment-window peaks or 15% annual growth without over-provisioning.</w:t>
      </w:r>
    </w:p>
    <w:p>
      <w:pPr>
        <w:pStyle w:val="Heading1"/>
      </w:pPr>
      <w:r>
        <w:t>4. Gap Analysis</w:t>
      </w:r>
    </w:p>
    <w:p>
      <w:pPr>
        <w:spacing w:after="120"/>
      </w:pPr>
      <w:r>
        <w:rPr>
          <w:i/>
          <w:color w:val="1F5A5C"/>
          <w:sz w:val="17"/>
        </w:rPr>
        <w:t>Evidences: [ICTICT517 PC 1.3] · [ICTICT517 PE 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Strategic objective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Improvement opportunity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Proposed change</w:t>
            </w:r>
          </w:p>
        </w:tc>
      </w:tr>
      <w:tr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99.9% availability for critical systems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99.2% on a single server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~0.7 pp (~61 hr/yr); single server cannot deliver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Highly available architecture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Migrate to AWS across two Availability Zones</w:t>
            </w:r>
          </w:p>
        </w:tc>
      </w:tr>
      <w:tr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Reduce dependency on in-house infrastructure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Owns/runs end-of-life server + room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Full reliance on self-run hardware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Managed cloud operating model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Migrate LMS to AWS (managed services)</w:t>
            </w:r>
          </w:p>
        </w:tc>
      </w:tr>
      <w:tr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Recover quickly (RTO ≤ 4h / RPO ≤ 1h)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RTO ~7–11h, RPO ~24h (nightly tape)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Hours-to-a-day short on both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Automated backups + failover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RDS Multi-AZ + AWS Backup</w:t>
            </w:r>
          </w:p>
        </w:tc>
      </w:tr>
      <w:tr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Scale for growth and assessment peaks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Fixed server, no elasticity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 elasticity; over-provision or degrade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Elastic compute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Auto Scaling; scale in off-peak</w:t>
            </w:r>
          </w:p>
        </w:tc>
      </w:tr>
    </w:tbl>
    <w:p/>
    <w:p>
      <w:r>
        <w:rPr>
          <w:sz w:val="21"/>
        </w:rPr>
        <w:t>The gaps cluster around resilience, recovery, capacity, and ownership. An on-premises refresh (Option A) addresses end-of-life hardware but leaves the single point of failure, the recovery shortfall, and the fixed capacity largely intact. A cloud operating model (Option B) addresses all four. This is the central finding the options analysis tests.</w:t>
      </w:r>
    </w:p>
    <w:p>
      <w:pPr>
        <w:pStyle w:val="Heading1"/>
      </w:pPr>
      <w:r>
        <w:t>5. Options Considered and Evaluation</w:t>
      </w:r>
    </w:p>
    <w:p>
      <w:pPr>
        <w:spacing w:after="120"/>
      </w:pPr>
      <w:r>
        <w:rPr>
          <w:i/>
          <w:color w:val="1F5A5C"/>
          <w:sz w:val="17"/>
        </w:rPr>
        <w:t>Evidences: [ICTICT517 PC 2.1] · [ICTICT517 PC 2.2] · [ICTICT517 KE 3] · [ICTCLD401 PC 1.8] · [ICTCLD502 PC 1.2]</w:t>
      </w:r>
    </w:p>
    <w:p>
      <w:pPr>
        <w:pStyle w:val="Heading2"/>
      </w:pPr>
      <w:r>
        <w:t>5.1 Workload definition</w:t>
      </w:r>
    </w:p>
    <w:p>
      <w:r>
        <w:rPr>
          <w:sz w:val="21"/>
        </w:rPr>
        <w:t>The LMS serves ~860 users (≈800 students + 60 staff), with 200–300 typical concurrent users, 500–700 at peak (~3× for the ~10–14-day assessment window each term), and very low overnight/term-break load. Data is ~178 GB, growing ~25 GB/year. It must preserve the Windows Server 2016 / DOODLE / MySQL stack with full OS control, keep its AD, Office 365, Accounting and ASQA integrations, hold all data in Australia, and meet 99.9% availability, RTO ≤ 4h and RPO ≤ 1h.</w:t>
      </w:r>
    </w:p>
    <w:p>
      <w:pPr>
        <w:pStyle w:val="Heading2"/>
      </w:pPr>
      <w:r>
        <w:t>5.2 Options considered</w:t>
      </w:r>
    </w:p>
    <w:p>
      <w:pPr>
        <w:pStyle w:val="ListBullet"/>
      </w:pPr>
      <w:r>
        <w:rPr>
          <w:sz w:val="21"/>
        </w:rPr>
        <w:t>Option A — In-house renewal: replace the end-of-life server and ancillary hardware; retain the single-site on-premises operating model.</w:t>
      </w:r>
    </w:p>
    <w:p>
      <w:pPr>
        <w:pStyle w:val="ListBullet"/>
      </w:pPr>
      <w:r>
        <w:rPr>
          <w:sz w:val="21"/>
        </w:rPr>
        <w:t>Option B — Cloud migration to AWS: redeploy the LMS onto a highly available AWS architecture (EC2 Auto Scaling across two AZs, RDS Multi-AZ for MySQL, ALB), preserving the OS and application stack.</w:t>
      </w:r>
    </w:p>
    <w:p>
      <w:pPr>
        <w:pStyle w:val="ListBullet"/>
      </w:pPr>
      <w:r>
        <w:rPr>
          <w:sz w:val="21"/>
        </w:rPr>
        <w:t>A standalone managed-hosting option was considered but not carried forward separately: its benefits (no in-house server, managed resilience) are a subset of Option B's, while AWS adds the elasticity and recovery posture the requirements demand.</w:t>
      </w:r>
    </w:p>
    <w:p>
      <w:pPr>
        <w:pStyle w:val="Heading2"/>
      </w:pPr>
      <w:r>
        <w:t>5.3 Evaluation method</w:t>
      </w:r>
    </w:p>
    <w:p>
      <w:r>
        <w:rPr>
          <w:sz w:val="21"/>
        </w:rPr>
        <w:t>Each option is evaluated with a five-year cost-benefit analysis (§6), a quantified avoided-downtime benefit (§6.4), an intangibles comparison (§7.1), and a risk register (§7.2). This combination is appropriate because the decision turns on both cost and non-cost factors — resilience, capacity, and strategic alignment — that a cost comparison alone would not capture.</w:t>
      </w:r>
    </w:p>
    <w:p>
      <w:pPr>
        <w:pStyle w:val="Heading2"/>
      </w:pPr>
      <w:r>
        <w:t>5.4 Initial impact and difficulty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54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A — In-house</w:t>
            </w:r>
          </w:p>
        </w:tc>
        <w:tc>
          <w:tcPr>
            <w:tcW w:type="dxa" w:w="354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B — Cloud (AWS)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Strategic impact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Refreshes hardware but leaves the 99.9% target out of reach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Directly delivers the strategy's lead initiative and availability target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Implementation difficulty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Low — familiar in-house refresh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Moderate — new platform; mitigated by MTS and a phased plan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Headline pros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Cheap upfront; uses existing skills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Meets availability/recovery/scaling targets; reduces in-house burden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Headline cons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Single point of failure persists; fixed capacity</w:t>
            </w:r>
          </w:p>
        </w:tc>
        <w:tc>
          <w:tcPr>
            <w:tcW w:type="dxa" w:w="354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Higher Year-1 outlay; cloud upskilling; vendor dependency</w:t>
            </w:r>
          </w:p>
        </w:tc>
      </w:tr>
    </w:tbl>
    <w:p/>
    <w:p>
      <w:pPr>
        <w:pStyle w:val="Heading1"/>
      </w:pPr>
      <w:r>
        <w:t>6. Cost-Benefit Analysis</w:t>
      </w:r>
    </w:p>
    <w:p>
      <w:pPr>
        <w:spacing w:after="120"/>
      </w:pPr>
      <w:r>
        <w:rPr>
          <w:i/>
          <w:color w:val="1F5A5C"/>
          <w:sz w:val="17"/>
        </w:rPr>
        <w:t>Evidences: [ICTICT517 PC 2.1] · [ICTICT517 KE 3] · [ICTICT517 FS Numeracy] · [ICTCLD401 KE 4] · [ICTCLD502 KE 3] · [ICTCLD401 KE 1]</w:t>
      </w:r>
    </w:p>
    <w:p>
      <w:r>
        <w:rPr>
          <w:sz w:val="21"/>
        </w:rPr>
        <w:t>A five-year CBA comparing the two options (AUD ex GST). Detailed line items are in Appendix 1; AWS figures are indicative, sized per §5.1 and backed by a Pricing Calculator export. A 3% annual inflation factor is applied to recurring costs from Year 2.</w:t>
      </w:r>
    </w:p>
    <w:p>
      <w:pPr>
        <w:pStyle w:val="Heading2"/>
      </w:pPr>
      <w:r>
        <w:t>6.1 Assumptions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LMS user population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800 students + 60 staff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LMS application specification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Annual student growth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+15% per year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Strategic Plan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Current / target availability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99.2% / 99.9%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LMS server status; ICT Strategic Plan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ICT FTE fully-loaded cost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$115,000 / year (≈$63.19/hr)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LMS operational costing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Cost of downtime (teaching hours)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$750 / hour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LMS operational costing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Inflation applied to recurring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3% per year from Year 2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Own assumption — RBA target midpoint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AWS region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ap-southeast-2 (Sydney)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Pricing Calculator (data residency)</w:t>
            </w:r>
          </w:p>
        </w:tc>
      </w:tr>
    </w:tbl>
    <w:p/>
    <w:p>
      <w:pPr>
        <w:pStyle w:val="Heading2"/>
      </w:pPr>
      <w:r>
        <w:t>6.2 Option A — In-house renewal (5-year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5-year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One-off capital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$51,000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$51,000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Recurring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$74,650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$76,890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$79,196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$81,572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$84,019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$396,327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Annual total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$125,650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$76,890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$79,196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$81,572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$84,019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$447,327</w:t>
            </w:r>
          </w:p>
        </w:tc>
      </w:tr>
    </w:tbl>
    <w:p/>
    <w:p>
      <w:pPr>
        <w:pStyle w:val="Heading2"/>
      </w:pPr>
      <w:r>
        <w:t>6.3 Option B — Cloud migration to AWS (5-year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34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5-year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One-off project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$108,500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$108,500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AWS direct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$27,250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$28,068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$28,910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$29,777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$30,670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$144,675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Staff + external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(in project)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$45,000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$46,350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$47,741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$49,173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$188,264</w:t>
            </w:r>
          </w:p>
        </w:tc>
      </w:tr>
      <w:tr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Annual total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$135,750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$73,068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$75,260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$77,518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$79,843</w:t>
            </w:r>
          </w:p>
        </w:tc>
        <w:tc>
          <w:tcPr>
            <w:tcW w:type="dxa" w:w="134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$441,439</w:t>
            </w:r>
          </w:p>
        </w:tc>
      </w:tr>
    </w:tbl>
    <w:p/>
    <w:p>
      <w:pPr>
        <w:pStyle w:val="Heading2"/>
      </w:pPr>
      <w:r>
        <w:t>6.4 Avoided-downtime benefit (Option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Avoided unavailability / year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(0.008 − 0.001) × 8,760 hr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61.3 hr</w:t>
            </w:r>
          </w:p>
        </w:tc>
      </w:tr>
      <w:tr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Proportion during teaching hours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Avoided downtime cost / year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61.3 × 30% × $750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$13,800</w:t>
            </w:r>
          </w:p>
        </w:tc>
      </w:tr>
      <w:tr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5-year avoided-downtime benefit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× 5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$69,000</w:t>
            </w:r>
          </w:p>
        </w:tc>
      </w:tr>
    </w:tbl>
    <w:p/>
    <w:p>
      <w:pPr>
        <w:pStyle w:val="Heading2"/>
      </w:pPr>
      <w:r>
        <w:t>6.5 Comparison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1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A</w:t>
            </w:r>
          </w:p>
        </w:tc>
        <w:tc>
          <w:tcPr>
            <w:tcW w:type="dxa" w:w="21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B</w:t>
            </w:r>
          </w:p>
        </w:tc>
        <w:tc>
          <w:tcPr>
            <w:tcW w:type="dxa" w:w="21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Delta (B − A)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One-off (Year 1)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$51,000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$108,500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+$57,500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Recurring (5-year)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$396,327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$332,939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−$63,388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5-year direct cost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$447,327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$441,439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−$5,888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Avoided-downtime benefit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$69,000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−$69,000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Net 5-year position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$447,327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$372,439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−$74,888</w:t>
            </w:r>
          </w:p>
        </w:tc>
      </w:tr>
    </w:tbl>
    <w:p/>
    <w:p>
      <w:r>
        <w:rPr>
          <w:sz w:val="21"/>
        </w:rPr>
        <w:t>On direct cost the options are within ~1.3% over five years. Option B carries a higher Year-1 outlay but lower recurring cost, and once the avoided-downtime benefit is included it is ~$74,900 ahead on net position — before the unpriced strategic and capacity benefits.</w:t>
      </w:r>
    </w:p>
    <w:p>
      <w:pPr>
        <w:pStyle w:val="Heading1"/>
      </w:pPr>
      <w:r>
        <w:t>7. Risk and Impact Assessment</w:t>
      </w:r>
    </w:p>
    <w:p>
      <w:pPr>
        <w:spacing w:after="120"/>
      </w:pPr>
      <w:r>
        <w:rPr>
          <w:i/>
          <w:color w:val="1F5A5C"/>
          <w:sz w:val="17"/>
        </w:rPr>
        <w:t>Evidences: [ICTICT517 PC 2.1] · [ICTICT517 PC 2.2] · [ICTICT517 PE 5]</w:t>
      </w:r>
    </w:p>
    <w:p>
      <w:pPr>
        <w:pStyle w:val="Heading2"/>
      </w:pPr>
      <w:r>
        <w:t>7.1 Intangibles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26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A — In-house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Option B — Cloud (AWS)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99.9% availability target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Not credibly achievable on a single server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Achievable via Multi-AZ deployment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Recovery (RTO ≤ 4h / RPO ≤ 1h)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Improves but stays single-site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Met via RDS Multi-AZ + automated backups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Capacity for 15% growth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Needs over-provisioning / re-refresh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Scales on demand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Assessment-week peaks (~3×)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Must size for peak year-round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Auto-scales for peaks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Staff capability impact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Uses existing skills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Requires upskilling (MTS-supported)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Vendor lock-in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 new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dependency; standard stack aids portability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Sustainability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Runs own server + room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Shared, efficient cloud infrastructure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DR (whole-campus loss)</w:t>
            </w:r>
          </w:p>
        </w:tc>
        <w:tc>
          <w:tcPr>
            <w:tcW w:type="dxa" w:w="326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Slow tape restore offsite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Cross-Region backup copy</w:t>
            </w:r>
          </w:p>
        </w:tc>
      </w:tr>
    </w:tbl>
    <w:p/>
    <w:p>
      <w:pPr>
        <w:pStyle w:val="Heading2"/>
      </w:pPr>
      <w:r>
        <w:t>7.2 Risk register (recommended option — cloud)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30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91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Cloud cost overrun / bill shock</w:t>
            </w:r>
          </w:p>
        </w:tc>
        <w:tc>
          <w:tcPr>
            <w:tcW w:type="dxa" w:w="130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1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Budgets + CloudWatch alarms; tagging; Savings Plans for baseline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Staff cloud-skills gap</w:t>
            </w:r>
          </w:p>
        </w:tc>
        <w:tc>
          <w:tcPr>
            <w:tcW w:type="dxa" w:w="130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1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support contract; AWS training; documented runbooks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Data loss/corruption during migration</w:t>
            </w:r>
          </w:p>
        </w:tc>
        <w:tc>
          <w:tcPr>
            <w:tcW w:type="dxa" w:w="130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91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Parallel running; verified backups; tested rollback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Cutover disrupts teaching</w:t>
            </w:r>
          </w:p>
        </w:tc>
        <w:tc>
          <w:tcPr>
            <w:tcW w:type="dxa" w:w="130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91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Schedule outside assessment windows; maintenance window; comms plan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Vendor dependency</w:t>
            </w:r>
          </w:p>
        </w:tc>
        <w:tc>
          <w:tcPr>
            <w:tcW w:type="dxa" w:w="130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1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Standard Windows/MySQL stack; infrastructure-as-code; documented exit plan</w:t>
            </w:r>
          </w:p>
        </w:tc>
      </w:tr>
    </w:tbl>
    <w:p/>
    <w:p>
      <w:pPr>
        <w:pStyle w:val="Heading1"/>
      </w:pPr>
      <w:r>
        <w:t>8. Recommendation</w:t>
      </w:r>
    </w:p>
    <w:p>
      <w:pPr>
        <w:spacing w:after="120"/>
      </w:pPr>
      <w:r>
        <w:rPr>
          <w:i/>
          <w:color w:val="1F5A5C"/>
          <w:sz w:val="17"/>
        </w:rPr>
        <w:t>Evidences: [ICTICT517 PC 2.3] · [ICTICT517 PE 4] · contributes to [ICTICT517 PC 3.1]</w:t>
      </w:r>
    </w:p>
    <w:p>
      <w:r>
        <w:rPr>
          <w:sz w:val="21"/>
        </w:rPr>
        <w:t>Recommended option: Option B — Cloud migration to AWS. Over five years the two options are effectively cost-neutral on direct spend, but only the cloud option meets the 99.9% availability target and the RTO ≤ 4h / RPO ≤ 1h recovery objectives, scales for 15% growth and the assessment-window peaks, and materially improves disaster recovery. The avoided-downtime benefit puts it ahead on net cost as well. The main risks — upskilling, cost control, and a safe cutover — are manageable and addressed in §7.2 and §9. This recommendation drives the prioritisation and action plan below.</w:t>
      </w:r>
    </w:p>
    <w:p>
      <w:pPr>
        <w:pStyle w:val="Heading1"/>
      </w:pPr>
      <w:r>
        <w:t>9. Action Plan</w:t>
      </w:r>
    </w:p>
    <w:p>
      <w:pPr>
        <w:spacing w:after="120"/>
      </w:pPr>
      <w:r>
        <w:rPr>
          <w:i/>
          <w:color w:val="1F5A5C"/>
          <w:sz w:val="17"/>
        </w:rPr>
        <w:t>Evidences: [ICTICT517 PC 3.1] · [ICTICT517 PC 3.2] · [ICTICT517 PE 6] · [ICTICT517 KE 1]</w:t>
      </w:r>
    </w:p>
    <w:p>
      <w:pPr>
        <w:pStyle w:val="Heading2"/>
      </w:pPr>
      <w:r>
        <w:t>9.1 Prioritised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8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3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Priority rationale</w:t>
            </w:r>
          </w:p>
        </w:tc>
      </w:tr>
      <w:tr>
        <w:tc>
          <w:tcPr>
            <w:tcW w:type="dxa" w:w="68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413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Stand up the AWS foundation (network, IAM, guardrails)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Everything else depends on a secure, governed landing zone</w:t>
            </w:r>
          </w:p>
        </w:tc>
      </w:tr>
      <w:tr>
        <w:tc>
          <w:tcPr>
            <w:tcW w:type="dxa" w:w="68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413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Build the highly available LMS infrastructure (EC2 ASG Multi-AZ, RDS Multi-AZ, ALB)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Delivers the availability/recovery/scaling targets before any data moves</w:t>
            </w:r>
          </w:p>
        </w:tc>
      </w:tr>
      <w:tr>
        <w:tc>
          <w:tcPr>
            <w:tcW w:type="dxa" w:w="68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413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Deploy DOODLE and migrate the MySQL data; run in parallel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Validate the new platform against the live system before commitment</w:t>
            </w:r>
          </w:p>
        </w:tc>
      </w:tr>
      <w:tr>
        <w:tc>
          <w:tcPr>
            <w:tcW w:type="dxa" w:w="68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413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Cut over and decommission the on-premises server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Final, highest-risk step; only after parallel-run acceptance</w:t>
            </w:r>
          </w:p>
        </w:tc>
      </w:tr>
    </w:tbl>
    <w:p/>
    <w:p>
      <w:pPr>
        <w:pStyle w:val="Heading2"/>
      </w:pPr>
      <w:r>
        <w:t>9.2 Implementation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85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Activities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147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foundation + design review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Wk 1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2 wks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</w:t>
            </w:r>
          </w:p>
        </w:tc>
      </w:tr>
      <w:tr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HA infrastructure build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Wk 3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3 wks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</w:t>
            </w:r>
          </w:p>
        </w:tc>
      </w:tr>
      <w:tr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App deploy + data migration + parallel run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Wk 6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3 wks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+ YAT ICT</w:t>
            </w:r>
          </w:p>
        </w:tc>
      </w:tr>
      <w:tr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Cutover + decommission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Wk 9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 wk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Phase 3 acceptance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+ MTS</w:t>
            </w:r>
          </w:p>
        </w:tc>
      </w:tr>
    </w:tbl>
    <w:p/>
    <w:p>
      <w:r>
        <w:rPr>
          <w:sz w:val="21"/>
        </w:rPr>
        <w:t>Scheduling avoids month-end and the two-week assessment windows; the cutover runs in an approved maintenance window with a tested rollback.</w:t>
      </w:r>
    </w:p>
    <w:p>
      <w:pPr>
        <w:pStyle w:val="Heading2"/>
      </w:pPr>
      <w:r>
        <w:t>9.3 Standards, targets, and success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Standard / target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99.9%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CloudWatch uptime over rolling 12 months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RPO ≤ 1h / RTO ≤ 4h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DR test results; backup frequency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Data residency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Australia (ap-southeast-2)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Config region check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Cost envelope (Year 1)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≈ $135,750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Actuals vs budget in Cost Explorer</w:t>
            </w:r>
          </w:p>
        </w:tc>
      </w:tr>
    </w:tbl>
    <w:p/>
    <w:p>
      <w:pPr>
        <w:pStyle w:val="Heading2"/>
      </w:pPr>
      <w:r>
        <w:t>9.4 Implementation methods</w:t>
      </w:r>
    </w:p>
    <w:p>
      <w:r>
        <w:rPr>
          <w:sz w:val="21"/>
        </w:rPr>
        <w:t>Each phase applies an AWS Well-Architected review at its design milestone, infrastructure-as-code (CloudFormation) for repeatable builds, and YAT's Change Management Procedure for all production changes.</w:t>
      </w:r>
    </w:p>
    <w:p>
      <w:pPr>
        <w:pStyle w:val="Heading2"/>
      </w:pPr>
      <w:r>
        <w:t>9.5 Alignment with the change management procedure</w:t>
      </w:r>
    </w:p>
    <w:p>
      <w:r>
        <w:rPr>
          <w:sz w:val="21"/>
        </w:rPr>
        <w:t>Phases 2–4 raise change requests; the Phase 4 cutover is a high-risk change requiring Change Advisory Board endorsement and ICT-Manager approval, with the budget and option decision approved by the board via this Business Case.</w:t>
      </w:r>
    </w:p>
    <w:p>
      <w:pPr>
        <w:pStyle w:val="Heading1"/>
      </w:pPr>
      <w:r>
        <w:t>10. Next Steps and Decision Requested</w:t>
      </w:r>
    </w:p>
    <w:p>
      <w:pPr>
        <w:spacing w:after="120"/>
      </w:pPr>
      <w:r>
        <w:rPr>
          <w:i/>
          <w:color w:val="1F5A5C"/>
          <w:sz w:val="17"/>
        </w:rPr>
        <w:t>Evidences: [ICTICT517 PC 3.3]</w:t>
      </w:r>
    </w:p>
    <w:p>
      <w:r>
        <w:rPr>
          <w:sz w:val="21"/>
        </w:rPr>
        <w:t>We ask the board today to: (1) approve Option B — cloud migration to AWS — as the recommended approach; (2) approve the phased action plan in §9 as the implementation roadmap; and (3) authorise the Year-1 budget envelope (≈$135,750). The high-risk cutover change request is deferred to the appropriate phase gate, per the change management procedure.</w:t>
      </w:r>
    </w:p>
    <w:p>
      <w:pPr>
        <w:pStyle w:val="Heading1"/>
      </w:pPr>
      <w:r>
        <w:t>11. Feedback</w:t>
      </w:r>
    </w:p>
    <w:p>
      <w:pPr>
        <w:spacing w:after="120"/>
      </w:pPr>
      <w:r>
        <w:rPr>
          <w:i/>
          <w:color w:val="1F5A5C"/>
          <w:sz w:val="17"/>
        </w:rPr>
        <w:t>Evidences: [ICTICT517 PC 2.4]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Your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Year-1 capital outlay is close to the on-premises option — make the payback point clearer.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Sam Walker (YAT ICT Manager)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Agreed. The Year-1 positions are comparable; the saving accrues from Year 2.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Added the payback point to the Executive Summary.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Confirm the migration will not run across an assessment period.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Board member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Confirmed — Phase 4 cutover is scheduled outside teaching weeks.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Noted the constraint against Phase 4 in the schedule (§9.2).</w:t>
            </w:r>
          </w:p>
        </w:tc>
      </w:tr>
    </w:tbl>
    <w:p/>
    <w:p>
      <w:pPr>
        <w:pStyle w:val="Heading1"/>
      </w:pPr>
      <w:r>
        <w:t>Sign-off</w:t>
      </w:r>
    </w:p>
    <w:p>
      <w:pPr>
        <w:spacing w:after="120"/>
      </w:pPr>
      <w:r>
        <w:rPr>
          <w:i/>
          <w:color w:val="1F5A5C"/>
          <w:sz w:val="17"/>
        </w:rPr>
        <w:t>Evidences: [ICTICT517 PC 3.3]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Consultant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Pat Lin (MTS Senior Consultant)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Sam Walker (YAT ICT Manager)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1 — Cost-Benefit Analysis: Detailed Line Items</w:t>
      </w:r>
    </w:p>
    <w:p>
      <w:pPr>
        <w:spacing w:after="120"/>
      </w:pPr>
      <w:r>
        <w:rPr>
          <w:i/>
          <w:color w:val="1F5A5C"/>
          <w:sz w:val="17"/>
        </w:rPr>
        <w:t>Evidences: [ICTICT517 FS Numeracy] · [ICTICT517 KE 3] · [ICTCLD401 KE 4] · [ICTCLD502 KE 3]</w:t>
      </w:r>
    </w:p>
    <w:p>
      <w:pPr>
        <w:pStyle w:val="Heading2"/>
      </w:pPr>
      <w:r>
        <w:t>A1.1 Option A — In-house renewal</w:t>
      </w:r>
    </w:p>
    <w:p>
      <w:r>
        <w:rPr>
          <w:sz w:val="21"/>
        </w:rPr>
        <w:t>One-off capital (Year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52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Replacement LMS server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Backup tape library refresh + drive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UPS upgrade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One-off migration labour (in-house)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$15,000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Total Year-1 capital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$51,000</w:t>
            </w:r>
          </w:p>
        </w:tc>
      </w:tr>
    </w:tbl>
    <w:p/>
    <w:p>
      <w:r>
        <w:rPr>
          <w:sz w:val="21"/>
        </w:rPr>
        <w:t>Recurring operational (per year):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Annual cost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Software licensing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Windows Server Standard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Antivirus / EDR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Monitoring / management tooling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$2,000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Power &amp; facilities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Electricity + cooling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$1,200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Server-room rent allocation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UPS battery (amortised)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Backup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Tape media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Offsite tape storage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$2,400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Backup software maintenance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Staff (YAT ICT)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LMS admin (0.20 FTE)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$23,000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Incident response (0.05 FTE)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$5,750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External support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application support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$30,000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Total recurring per year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$74,650</w:t>
            </w:r>
          </w:p>
        </w:tc>
      </w:tr>
    </w:tbl>
    <w:p/>
    <w:p>
      <w:pPr>
        <w:pStyle w:val="Heading2"/>
      </w:pPr>
      <w:r>
        <w:t>A1.2 Option B — Cloud migration to AWS</w:t>
      </w:r>
    </w:p>
    <w:p>
      <w:r>
        <w:rPr>
          <w:sz w:val="21"/>
        </w:rPr>
        <w:t>One-off project costs (Year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52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MTS migration labour (design + build)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YAT ICT staff time during migration (oversight, deploy, data, cutover, change mgmt)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$38,000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Parallel running of on-prem + cloud during cutover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Decommissioning + secure data destruction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$3,500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Total Year-1 project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$108,500</w:t>
            </w:r>
          </w:p>
        </w:tc>
      </w:tr>
    </w:tbl>
    <w:p/>
    <w:p>
      <w:r>
        <w:rPr>
          <w:sz w:val="21"/>
        </w:rPr>
        <w:t>AWS direct recurring (per year, indicative — ap-southeast-2):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Service / item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Annual cost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Compute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baseline (2× Windows m6i.xlarge, Multi-AZ, Savings Plan)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$8,400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auto-scaling (assessment-window peaks)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RDS for MySQL — Multi-AZ (1-yr RI)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$6,800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RDS storage + automated backups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$1,400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Network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Application Load Balancer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$850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NAT Gateway (×2, AZ-redundant)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$1,300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Data transfer out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$900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EBS volumes (web tier)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 (attachments + snapshots)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$600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Backup (incl. cross-Region copy)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$1,200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Monitoring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CloudWatch (metrics + logs + alarms)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$700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Support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AWS Business Support (≤1h sev-1)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$2,900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AWS direct per year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$27,250</w:t>
            </w:r>
          </w:p>
        </w:tc>
      </w:tr>
    </w:tbl>
    <w:p/>
    <w:p>
      <w:r>
        <w:rPr>
          <w:sz w:val="21"/>
        </w:rPr>
        <w:t>Staff + ongoing external support (per year, Years 2–5):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52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Annual cost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YAT ICT staff time (admin/monitoring, reduced — 0.10 FTE)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$11,500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YAT ICT staff time (incident response — 0.03 FTE)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$3,450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MTS ongoing support (application + cloud infrastructure)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$30,000</w:t>
            </w:r>
          </w:p>
        </w:tc>
      </w:tr>
      <w:tr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Staff + external per year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$44,950</w:t>
            </w:r>
          </w:p>
        </w:tc>
      </w:tr>
    </w:tbl>
    <w:p/>
    <w:p>
      <w:pPr>
        <w:pStyle w:val="Heading1"/>
      </w:pPr>
      <w:r>
        <w:t>Appendix 2 — Knowledge Evidence</w:t>
      </w:r>
    </w:p>
    <w:p>
      <w:r>
        <w:rPr>
          <w:sz w:val="21"/>
        </w:rPr>
        <w:t>Underlying knowledge as applied to the work presented above.</w:t>
      </w:r>
    </w:p>
    <w:p>
      <w:pPr>
        <w:pStyle w:val="Heading2"/>
      </w:pPr>
      <w:r>
        <w:t>A2.1 Selection-style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Service model of each AWS component (IaaS/PaaS/SaaS) and why [ICTCLD401 KE 3]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= IaaS (full OS control is required to host DOODLE on Windows Server 2016). RDS, ALB, S3, AWS Backup, CloudWatch = PaaS-style managed services (chosen to offload operations from a thin in-house team). Office 365 (email) = SaaS.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Deployment model and why [ICTCLD401 KE 11]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Public cloud. YAT has no regulatory reason to run private infrastructure, already uses SaaS (O365), and gains managed resilience and elasticity it cannot achieve on-prem; data residency is met by an Australian region.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Industry standards that informed the approach (≥3) [ICTCLD401 KE 1] · [ICTCLD502 KE 1]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NIST SP 800-145 (service-model definitions); AWS Well-Architected (design + the Reliability pillar behind the HA design); ISO/IEC 27017 and the ACSC Essential Eight (cloud security controls); the Privacy Act / APP 8 (data-residency region choice).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Industry-standard products in the solution and their role [ICTCLD401 KE 2] · [ICTCLD502 KE 2]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(compute hosting DOODLE), RDS for MySQL (managed database), Application Load Balancer (traffic distribution across AZs), S3 (object storage for attachments/snapshots), CloudWatch (monitoring/alarms).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Cloud cost model(s) applied and why [ICTCLD401 KE 4] · [ICTCLD502 KE 3]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Reserved Instances / Savings Plans for the always-on baseline (compute, RDS); on-demand auto-scaling for the assessment-window peaks; pay-as-you-go for storage and data transfer. The model follows the workload's demand shape, so cost tracks usage.</w:t>
            </w:r>
          </w:p>
        </w:tc>
      </w:tr>
    </w:tbl>
    <w:p/>
    <w:p>
      <w:pPr>
        <w:pStyle w:val="Heading2"/>
      </w:pPr>
      <w:r>
        <w:t>A2.2 Demonstration-style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How does §9 demonstrate the key sections of an action plan? [ICTICT517 KE 1]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§9.1 prioritised changes; §9.2 schedule with durations/dependencies/owners; §9.3 standards, targets and success metrics; §9.4 methods; §9.5 change-management alignment.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Evaluation and planning methods applied [ICTICT517 KE 2]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Five-year CBA (§6) built on stated, sourced assumptions (§6.1), avoided-downtime quantification (§6.4), intangibles comparison (§7.1), and a risk register (§7.2).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How competing products were evaluated [ICTICT517 KE 3]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Option A vs Option B compared on cost (§6), strategic impact and difficulty (§5.4), intangibles (§7.1) and risk (§7.2).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Emerging trends that informed the recommendation [ICTICT517 KE 4]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Sector shift to managed cloud and OPEX-over-CAPEX, and elastic capacity as a baseline expectation — material to choosing a cloud operating model over a hardware refresh.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