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worked through and recorded in a guided build run sheet.</w:t>
            </w:r>
          </w:p>
          <w:p>
            <w:pPr>
              <w:pStyle w:val="Assessortext"/>
            </w:pPr>
            <w:r>
              <w:t>The assessment is a single-task project delivered as one document: the build run sheet in the second half of this instrument, which the student works through and fills in as they build. Implementation occurs in the AWS Academy lab environment authorised for this cluster. There is no presentation or observation event — every piece of evidence is captured in the run sheet itself, in the box beside the task it evidences.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two Configuration Decisions left to the implementer (per the supplied design §4.16) must be made by the student.</w:t>
            </w:r>
          </w:p>
          <w:p>
            <w:pPr>
              <w:pStyle w:val="Assessortext"/>
            </w:pPr>
            <w:r>
              <w:t>Submission: the completed run sheet (.docx) is submitted via the LMS. There are no separate files — the screenshots and written answers sit in the document itself.</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Work through the build run sheet, recording the build as they go. It covers what was built, the two configuration decisions the supplied design leaves open, five tests with their results, written responses to six contextual Knowledge Evidence questions about the student's own build, and where the completed run sheet was filed.</w:t>
            </w:r>
          </w:p>
          <w:p>
            <w:pPr>
              <w:pStyle w:val="Assessortext"/>
            </w:pPr>
            <w:r>
              <w:t>The completed run sheet is the single submitted deliverable. Each screenshot sits in the box beside the task it evidences rather than in an appendix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the supplied design,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LMS Application Specification and the Records Management Policy</w:t>
            </w:r>
          </w:p>
          <w:p>
            <w:pPr>
              <w:pStyle w:val="Assessortext"/>
            </w:pPr>
            <w:r>
              <w:t>Both documents are linked in the Instructions to Student below</w:t>
            </w:r>
          </w:p>
          <w:p>
            <w:pPr>
              <w:pStyle w:val="Assessortext"/>
            </w:pPr>
            <w:r>
              <w:t>AWS Academy lab access — Cloud Foundations [104469] + Cloud Architecting [172221]</w:t>
            </w:r>
          </w:p>
          <w:p>
            <w:pPr>
              <w:pStyle w:val="Assessortext"/>
            </w:pPr>
            <w:r>
              <w:t>The worked run sheet later in this document — screenshot descriptions, model answers and per-task UoC mapping</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run sheet (.docx) with every task, test, decision and question answered, and every evidence box filled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and the organisational policies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Network foundation (tasks 2-7) — student builds the VPC; the five subnets, with the three workload subnets in one zone and the two second-zone subnets the load balancer and the database subnet group each require; the internet and NAT gateways; two route tables, the data subnets left on the VPC default which carries no internet route; and the three security groups, with the database reachable only from the application tier</w:t>
            </w:r>
          </w:p>
          <w:p>
            <w:pPr/>
            <w:r>
              <w:t>[ICTCLD401 PC 1.7] · [ICTCLD401 PC 2.2] · [ICTCLD401 PE 1] · [ICTCLD502 PC 1.3]</w:t>
            </w:r>
          </w:p>
        </w:tc>
        <w:tc>
          <w:tcPr>
            <w:tcW w:type="dxa" w:w="1934"/>
          </w:tcPr>
          <w:p>
            <w:r>
              <w:t>☐ Yes  ☐ No</w:t>
            </w:r>
          </w:p>
        </w:tc>
      </w:tr>
      <w:tr>
        <w:tc>
          <w:tcPr>
            <w:tcW w:type="dxa" w:w="8697"/>
          </w:tcPr>
          <w:p>
            <w:r>
              <w:t>A2 Identity and access (tasks 1, 8-9) — student accesses the platform; works through the group and user creation to the point of submission and captures the environment’s refusal, with the permissions reasoning in the decision box; and reviews the supplied instance role, naming the services it lets the servers reach. The refusal is the evidence — do not expect created groups, an enabled MFA device, or a student-created role</w:t>
            </w:r>
          </w:p>
          <w:p>
            <w:pPr/>
            <w:r>
              <w:t>[ICTCLD401 PC 1.4] · [ICTCLD401 PC 1.5] · [ICTCLD401 PC 1.6] · [ICTCLD401 PC 2.1]</w:t>
            </w:r>
          </w:p>
        </w:tc>
        <w:tc>
          <w:tcPr>
            <w:tcW w:type="dxa" w:w="1934"/>
          </w:tcPr>
          <w:p>
            <w:r>
              <w:t>☐ Yes  ☐ No</w:t>
            </w:r>
          </w:p>
        </w:tc>
      </w:tr>
      <w:tr>
        <w:tc>
          <w:tcPr>
            <w:tcW w:type="dxa" w:w="8697"/>
          </w:tcPr>
          <w:p>
            <w:r>
              <w:t>A3 Compute and load balancing (tasks 10-13) — student creates the launch template with the instance role and both volumes, the target group and internet-facing load balancer, and the Auto Scaling group attached to that target group with a scaling policy</w:t>
            </w:r>
          </w:p>
          <w:p>
            <w:pPr/>
            <w:r>
              <w:t>[ICTCLD401 PC 2.3] · [ICTCLD401 PC 2.4] · [ICTCLD401 PC 3.1] · [ICTCLD502 PC 4.1] · [ICTCLD401 PE 2]</w:t>
            </w:r>
          </w:p>
        </w:tc>
        <w:tc>
          <w:tcPr>
            <w:tcW w:type="dxa" w:w="1934"/>
          </w:tcPr>
          <w:p>
            <w:r>
              <w:t>☐ Yes  ☐ No</w:t>
            </w:r>
          </w:p>
        </w:tc>
      </w:tr>
      <w:tr>
        <w:tc>
          <w:tcPr>
            <w:tcW w:type="dxa" w:w="8697"/>
          </w:tcPr>
          <w:p>
            <w:r>
              <w:t>A4 Database (tasks 14-15) — student creates the subnet group spanning two zones and deploys the managed database: single-AZ, encrypted, not publicly accessible, and in the database security group</w:t>
            </w:r>
          </w:p>
          <w:p>
            <w:pPr/>
            <w:r>
              <w:t>[ICTCLD401 PC 2.5] · [ICTCLD401 PE 2]</w:t>
            </w:r>
          </w:p>
        </w:tc>
        <w:tc>
          <w:tcPr>
            <w:tcW w:type="dxa" w:w="1934"/>
          </w:tcPr>
          <w:p>
            <w:r>
              <w:t>☐ Yes  ☐ No</w:t>
            </w:r>
          </w:p>
        </w:tc>
      </w:tr>
      <w:tr>
        <w:tc>
          <w:tcPr>
            <w:tcW w:type="dxa" w:w="8697"/>
          </w:tcPr>
          <w:p>
            <w:r>
              <w:t>A5 Monitoring (task 16) — student creates both baseline alarms and evidences their state</w:t>
            </w:r>
          </w:p>
          <w:p>
            <w:pPr/>
            <w:r>
              <w:t>[ICTCLD502 PC 4.3]</w:t>
            </w:r>
          </w:p>
        </w:tc>
        <w:tc>
          <w:tcPr>
            <w:tcW w:type="dxa" w:w="1934"/>
          </w:tcPr>
          <w:p>
            <w:r>
              <w:t>☐ Yes  ☐ No</w:t>
            </w:r>
          </w:p>
        </w:tc>
      </w:tr>
      <w:tr>
        <w:tc>
          <w:tcPr>
            <w:tcW w:type="dxa" w:w="8697"/>
          </w:tcPr>
          <w:p>
            <w:r>
              <w:t>A6 Shared responsibility (task 17) — student assigns responsibility for securing each component of the platform they built — facilities, operating system, database engine and host, network access rules, identity, and the data — naming the party and what that party actually does, and identifies which responsibilities the managed database moved and which it did not. A correct list with no statement of what each party does, or the data placed anywhere but with YAT, is not satisfactory</w:t>
            </w:r>
          </w:p>
          <w:p>
            <w:pPr/>
            <w:r>
              <w:t>[ICTCLD401 PC 1.2]</w:t>
            </w:r>
          </w:p>
        </w:tc>
        <w:tc>
          <w:tcPr>
            <w:tcW w:type="dxa" w:w="1934"/>
          </w:tcPr>
          <w:p>
            <w:r>
              <w:t>☐ Yes  ☐ No</w:t>
            </w:r>
          </w:p>
        </w:tc>
      </w:tr>
      <w:tr>
        <w:tc>
          <w:tcPr>
            <w:tcW w:type="dxa" w:w="8697"/>
          </w:tcPr>
          <w:p>
            <w:r>
              <w:t>A7 Configuration decisions (tasks 10 and 15) — for each of the two decisions the run sheet leaves open, student names the option not chosen, states the choice made, and justifies it against the YAT LMS workload. Naming the gap between what the environment permits and what the workload needs is a satisfactory answer</w:t>
            </w:r>
          </w:p>
          <w:p>
            <w:pPr/>
            <w:r>
              <w:t>[ICTCLD401 PC 1.1] · [ICTCLD401 PC 1.3]</w:t>
            </w:r>
          </w:p>
        </w:tc>
        <w:tc>
          <w:tcPr>
            <w:tcW w:type="dxa" w:w="1934"/>
          </w:tcPr>
          <w:p>
            <w:r>
              <w:t>☐ Yes  ☐ No</w:t>
            </w:r>
          </w:p>
        </w:tc>
      </w:tr>
      <w:tr>
        <w:tc>
          <w:tcPr>
            <w:tcW w:type="dxa" w:w="8697"/>
          </w:tcPr>
          <w:p>
            <w:r>
              <w:t>A8 Testing (T1-T5) — student connects to the application server, reaches the internet, the database and the load balancer from it, and demonstrates the Auto Scaling group scaling out and back in on its own. Each screenshot shows what its box asks for</w:t>
            </w:r>
          </w:p>
          <w:p>
            <w:pPr/>
            <w:r>
              <w:t>[ICTCLD401 PC 2.6] · [ICTCLD401 PC 3.2] · [ICTCLD401 PE 3] · [ICTCLD502 PC 4.2]</w:t>
            </w:r>
          </w:p>
        </w:tc>
        <w:tc>
          <w:tcPr>
            <w:tcW w:type="dxa" w:w="1934"/>
          </w:tcPr>
          <w:p>
            <w:r>
              <w:t>☐ Yes  ☐ No</w:t>
            </w:r>
          </w:p>
        </w:tc>
      </w:tr>
      <w:tr>
        <w:tc>
          <w:tcPr>
            <w:tcW w:type="dxa" w:w="8697"/>
          </w:tcPr>
          <w:p>
            <w:r>
              <w:t>A9 Knowledge questions (Q1-Q6) — student answers all six with reference to their own build, not generically, in clear written English</w:t>
            </w:r>
          </w:p>
          <w:p>
            <w:pPr/>
            <w:r>
              <w:t>[ICTCLD401 KE 5] · [ICTCLD401 KE 6] · [ICTCLD401 KE 7] · [ICTCLD401 KE 8] · [ICTCLD401 KE 9] · [ICTCLD401 KE 10] · [ICTCLD401 FS Reading] · [ICTCLD401 FS Writing]</w:t>
            </w:r>
          </w:p>
        </w:tc>
        <w:tc>
          <w:tcPr>
            <w:tcW w:type="dxa" w:w="1934"/>
          </w:tcPr>
          <w:p>
            <w:r>
              <w:t>☐ Yes  ☐ No</w:t>
            </w:r>
          </w:p>
        </w:tc>
      </w:tr>
      <w:tr>
        <w:tc>
          <w:tcPr>
            <w:tcW w:type="dxa" w:w="8697"/>
          </w:tcPr>
          <w:p>
            <w:r>
              <w:t>A10 Handover — student states where the completed run sheet was filed and which YAT policy required that location</w:t>
            </w:r>
          </w:p>
          <w:p>
            <w:pPr/>
            <w:r>
              <w:t>[ICTCLD401 PC 4.3]</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80"/>
      </w:pPr>
      <w:r>
        <w:rPr>
          <w:b w:val="0"/>
          <w:i/>
          <w:color w:val="6B6660"/>
          <w:sz w:val="18"/>
        </w:rPr>
        <w:t>Evidences: [ICTCLD401 PC 1.4]</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console with the region selector visible, showing the correct region.</w:t>
            </w:r>
          </w:p>
          <w:p>
            <w:pPr>
              <w:jc w:val="center"/>
            </w:pPr>
            <w:r>
              <w:drawing>
                <wp:inline xmlns:a="http://schemas.openxmlformats.org/drawingml/2006/main" xmlns:pic="http://schemas.openxmlformats.org/drawingml/2006/picture">
                  <wp:extent cx="5760000" cy="4708280"/>
                  <wp:docPr id="1" name="Picture 1"/>
                  <wp:cNvGraphicFramePr>
                    <a:graphicFrameLocks noChangeAspect="1"/>
                  </wp:cNvGraphicFramePr>
                  <a:graphic>
                    <a:graphicData uri="http://schemas.openxmlformats.org/drawingml/2006/picture">
                      <pic:pic>
                        <pic:nvPicPr>
                          <pic:cNvPr id="0" name="task-01.png"/>
                          <pic:cNvPicPr/>
                        </pic:nvPicPr>
                        <pic:blipFill>
                          <a:blip r:embed="rId19"/>
                          <a:stretch>
                            <a:fillRect/>
                          </a:stretch>
                        </pic:blipFill>
                        <pic:spPr>
                          <a:xfrm>
                            <a:off x="0" y="0"/>
                            <a:ext cx="5760000" cy="4708280"/>
                          </a:xfrm>
                          <a:prstGeom prst="rect"/>
                        </pic:spPr>
                      </pic:pic>
                    </a:graphicData>
                  </a:graphic>
                </wp:inline>
              </w:drawing>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p>
      <w:pPr>
        <w:spacing w:after="200"/>
      </w:pPr>
      <w:r>
        <w:rPr>
          <w:b w:val="0"/>
          <w:i/>
          <w:color w:val="6B6660"/>
          <w:sz w:val="19"/>
        </w:rPr>
        <w:t>No screenshot required. Creating the VPC is not an assessable action on its own — it is the prerequisite for everything that follows, all of which is built inside it.</w:t>
      </w:r>
    </w:p>
    <w:p>
      <w:pPr>
        <w:spacing w:before="200" w:after="0"/>
      </w:pPr>
      <w:r>
        <w:rPr>
          <w:b/>
          <w:color w:val="1F5A5C"/>
          <w:sz w:val="16"/>
        </w:rPr>
        <w:t>TASK 3</w:t>
      </w:r>
    </w:p>
    <w:p>
      <w:pPr>
        <w:pStyle w:val="Heading2"/>
      </w:pPr>
      <w:r>
        <w:t>Create the subnets</w:t>
      </w:r>
    </w:p>
    <w:p>
      <w:pPr>
        <w:spacing w:after="80"/>
      </w:pPr>
      <w:r>
        <w:rPr>
          <w:b w:val="0"/>
          <w:i/>
          <w:color w:val="6B6660"/>
          <w:sz w:val="18"/>
        </w:rPr>
        <w:t>Evidences: [ICTCLD401 PC 2.2] · [ICTCLD401 PE 1]</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subnet list filtered to your VPC, showing all five with their address ranges and, in particular, the Availability Zone column.</w:t>
            </w:r>
          </w:p>
          <w:p>
            <w:pPr>
              <w:jc w:val="center"/>
            </w:pPr>
            <w:r>
              <w:drawing>
                <wp:inline xmlns:a="http://schemas.openxmlformats.org/drawingml/2006/main" xmlns:pic="http://schemas.openxmlformats.org/drawingml/2006/picture">
                  <wp:extent cx="5760000" cy="982259"/>
                  <wp:docPr id="2" name="Picture 2"/>
                  <wp:cNvGraphicFramePr>
                    <a:graphicFrameLocks noChangeAspect="1"/>
                  </wp:cNvGraphicFramePr>
                  <a:graphic>
                    <a:graphicData uri="http://schemas.openxmlformats.org/drawingml/2006/picture">
                      <pic:pic>
                        <pic:nvPicPr>
                          <pic:cNvPr id="0" name="task-03.png"/>
                          <pic:cNvPicPr/>
                        </pic:nvPicPr>
                        <pic:blipFill>
                          <a:blip r:embed="rId20"/>
                          <a:stretch>
                            <a:fillRect/>
                          </a:stretch>
                        </pic:blipFill>
                        <pic:spPr>
                          <a:xfrm>
                            <a:off x="0" y="0"/>
                            <a:ext cx="5760000" cy="982259"/>
                          </a:xfrm>
                          <a:prstGeom prst="rect"/>
                        </pic:spPr>
                      </pic:pic>
                    </a:graphicData>
                  </a:graphic>
                </wp:inline>
              </w:drawing>
            </w:r>
          </w:p>
        </w:tc>
      </w:tr>
    </w:tbl>
    <w:p/>
    <w:p>
      <w:pPr>
        <w:spacing w:before="200" w:after="0"/>
      </w:pPr>
      <w:r>
        <w:rPr>
          <w:b/>
          <w:color w:val="1F5A5C"/>
          <w:sz w:val="16"/>
        </w:rPr>
        <w:t>TASK 4</w:t>
      </w:r>
    </w:p>
    <w:p>
      <w:pPr>
        <w:pStyle w:val="Heading2"/>
      </w:pPr>
      <w:r>
        <w:t>Create the internet gateway</w:t>
      </w:r>
    </w:p>
    <w:p>
      <w:pPr>
        <w:spacing w:after="80"/>
      </w:pPr>
      <w:r>
        <w:rPr>
          <w:b w:val="0"/>
          <w:i/>
          <w:color w:val="6B6660"/>
          <w:sz w:val="18"/>
        </w:rPr>
        <w:t>Evidences: [ICTCLD401 PC 2.2] · [ICTCLD401 PE 1]</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internet gateway showing State: Attached, and the VPC it is attached to.</w:t>
            </w:r>
          </w:p>
          <w:p>
            <w:pPr>
              <w:jc w:val="center"/>
            </w:pPr>
            <w:r>
              <w:drawing>
                <wp:inline xmlns:a="http://schemas.openxmlformats.org/drawingml/2006/main" xmlns:pic="http://schemas.openxmlformats.org/drawingml/2006/picture">
                  <wp:extent cx="5760000" cy="860437"/>
                  <wp:docPr id="3" name="Picture 3"/>
                  <wp:cNvGraphicFramePr>
                    <a:graphicFrameLocks noChangeAspect="1"/>
                  </wp:cNvGraphicFramePr>
                  <a:graphic>
                    <a:graphicData uri="http://schemas.openxmlformats.org/drawingml/2006/picture">
                      <pic:pic>
                        <pic:nvPicPr>
                          <pic:cNvPr id="0" name="task-04.png"/>
                          <pic:cNvPicPr/>
                        </pic:nvPicPr>
                        <pic:blipFill>
                          <a:blip r:embed="rId21"/>
                          <a:stretch>
                            <a:fillRect/>
                          </a:stretch>
                        </pic:blipFill>
                        <pic:spPr>
                          <a:xfrm>
                            <a:off x="0" y="0"/>
                            <a:ext cx="5760000" cy="860437"/>
                          </a:xfrm>
                          <a:prstGeom prst="rect"/>
                        </pic:spPr>
                      </pic:pic>
                    </a:graphicData>
                  </a:graphic>
                </wp:inline>
              </w:drawing>
            </w:r>
          </w:p>
        </w:tc>
      </w:tr>
    </w:tbl>
    <w:p/>
    <w:p>
      <w:pPr>
        <w:spacing w:before="200" w:after="0"/>
      </w:pPr>
      <w:r>
        <w:rPr>
          <w:b/>
          <w:color w:val="1F5A5C"/>
          <w:sz w:val="16"/>
        </w:rPr>
        <w:t>TASK 5</w:t>
      </w:r>
    </w:p>
    <w:p>
      <w:pPr>
        <w:pStyle w:val="Heading2"/>
      </w:pPr>
      <w:r>
        <w:t>Create the NAT gateway</w:t>
      </w:r>
    </w:p>
    <w:p>
      <w:pPr>
        <w:spacing w:after="80"/>
      </w:pPr>
      <w:r>
        <w:rPr>
          <w:b w:val="0"/>
          <w:i/>
          <w:color w:val="6B6660"/>
          <w:sz w:val="18"/>
        </w:rPr>
        <w:t>Evidences: [ICTCLD401 PC 2.2] · [ICTCLD401 PE 1]</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NAT gateway showing State: Available, its subnet and its Elastic IP.</w:t>
            </w:r>
          </w:p>
          <w:p>
            <w:pPr>
              <w:jc w:val="center"/>
            </w:pPr>
            <w:r>
              <w:drawing>
                <wp:inline xmlns:a="http://schemas.openxmlformats.org/drawingml/2006/main" xmlns:pic="http://schemas.openxmlformats.org/drawingml/2006/picture">
                  <wp:extent cx="5760000" cy="1933032"/>
                  <wp:docPr id="4" name="Picture 4"/>
                  <wp:cNvGraphicFramePr>
                    <a:graphicFrameLocks noChangeAspect="1"/>
                  </wp:cNvGraphicFramePr>
                  <a:graphic>
                    <a:graphicData uri="http://schemas.openxmlformats.org/drawingml/2006/picture">
                      <pic:pic>
                        <pic:nvPicPr>
                          <pic:cNvPr id="0" name="task-05.png"/>
                          <pic:cNvPicPr/>
                        </pic:nvPicPr>
                        <pic:blipFill>
                          <a:blip r:embed="rId22"/>
                          <a:stretch>
                            <a:fillRect/>
                          </a:stretch>
                        </pic:blipFill>
                        <pic:spPr>
                          <a:xfrm>
                            <a:off x="0" y="0"/>
                            <a:ext cx="5760000" cy="1933032"/>
                          </a:xfrm>
                          <a:prstGeom prst="rect"/>
                        </pic:spPr>
                      </pic:pic>
                    </a:graphicData>
                  </a:graphic>
                </wp:inline>
              </w:drawing>
            </w:r>
          </w:p>
        </w:tc>
      </w:tr>
    </w:tbl>
    <w:p/>
    <w:p>
      <w:pPr>
        <w:spacing w:before="200" w:after="0"/>
      </w:pPr>
      <w:r>
        <w:rPr>
          <w:b/>
          <w:color w:val="1F5A5C"/>
          <w:sz w:val="16"/>
        </w:rPr>
        <w:t>TASK 6</w:t>
      </w:r>
    </w:p>
    <w:p>
      <w:pPr>
        <w:pStyle w:val="Heading2"/>
      </w:pPr>
      <w:r>
        <w:t>Create the route tables</w:t>
      </w:r>
    </w:p>
    <w:p>
      <w:pPr>
        <w:spacing w:after="80"/>
      </w:pPr>
      <w:r>
        <w:rPr>
          <w:b w:val="0"/>
          <w:i/>
          <w:color w:val="6B6660"/>
          <w:sz w:val="18"/>
        </w:rPr>
        <w:t>Evidences: [ICTCLD401 PC 2.2] · [ICTCLD401 PE 1]</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both route tables, showing their routes and their subnet associations.</w:t>
            </w:r>
          </w:p>
          <w:p>
            <w:pPr>
              <w:jc w:val="center"/>
            </w:pPr>
            <w:r>
              <w:drawing>
                <wp:inline xmlns:a="http://schemas.openxmlformats.org/drawingml/2006/main" xmlns:pic="http://schemas.openxmlformats.org/drawingml/2006/picture">
                  <wp:extent cx="5760000" cy="1786113"/>
                  <wp:docPr id="5" name="Picture 5"/>
                  <wp:cNvGraphicFramePr>
                    <a:graphicFrameLocks noChangeAspect="1"/>
                  </wp:cNvGraphicFramePr>
                  <a:graphic>
                    <a:graphicData uri="http://schemas.openxmlformats.org/drawingml/2006/picture">
                      <pic:pic>
                        <pic:nvPicPr>
                          <pic:cNvPr id="0" name="task-06.1.png"/>
                          <pic:cNvPicPr/>
                        </pic:nvPicPr>
                        <pic:blipFill>
                          <a:blip r:embed="rId23"/>
                          <a:stretch>
                            <a:fillRect/>
                          </a:stretch>
                        </pic:blipFill>
                        <pic:spPr>
                          <a:xfrm>
                            <a:off x="0" y="0"/>
                            <a:ext cx="5760000" cy="178611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900293"/>
                  <wp:docPr id="6" name="Picture 6"/>
                  <wp:cNvGraphicFramePr>
                    <a:graphicFrameLocks noChangeAspect="1"/>
                  </wp:cNvGraphicFramePr>
                  <a:graphic>
                    <a:graphicData uri="http://schemas.openxmlformats.org/drawingml/2006/picture">
                      <pic:pic>
                        <pic:nvPicPr>
                          <pic:cNvPr id="0" name="task-06.2.png"/>
                          <pic:cNvPicPr/>
                        </pic:nvPicPr>
                        <pic:blipFill>
                          <a:blip r:embed="rId24"/>
                          <a:stretch>
                            <a:fillRect/>
                          </a:stretch>
                        </pic:blipFill>
                        <pic:spPr>
                          <a:xfrm>
                            <a:off x="0" y="0"/>
                            <a:ext cx="5760000" cy="1900293"/>
                          </a:xfrm>
                          <a:prstGeom prst="rect"/>
                        </pic:spPr>
                      </pic:pic>
                    </a:graphicData>
                  </a:graphic>
                </wp:inline>
              </w:drawing>
            </w:r>
          </w:p>
        </w:tc>
      </w:tr>
    </w:tbl>
    <w:p/>
    <w:p>
      <w:pPr>
        <w:spacing w:before="200" w:after="0"/>
      </w:pPr>
      <w:r>
        <w:rPr>
          <w:b/>
          <w:color w:val="1F5A5C"/>
          <w:sz w:val="16"/>
        </w:rPr>
        <w:t>TASK 7</w:t>
      </w:r>
    </w:p>
    <w:p>
      <w:pPr>
        <w:pStyle w:val="Heading2"/>
      </w:pPr>
      <w:r>
        <w:t>Create the three security groups</w:t>
      </w:r>
    </w:p>
    <w:p>
      <w:pPr>
        <w:spacing w:after="80"/>
      </w:pPr>
      <w:r>
        <w:rPr>
          <w:b w:val="0"/>
          <w:i/>
          <w:color w:val="6B6660"/>
          <w:sz w:val="18"/>
        </w:rPr>
        <w:t>Evidences: [ICTCLD401 PC 1.7] · [ICTCLD502 PC 1.3]</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all three security groups with their inbound rules expanded.</w:t>
            </w:r>
          </w:p>
          <w:p>
            <w:pPr>
              <w:jc w:val="center"/>
            </w:pPr>
            <w:r>
              <w:drawing>
                <wp:inline xmlns:a="http://schemas.openxmlformats.org/drawingml/2006/main" xmlns:pic="http://schemas.openxmlformats.org/drawingml/2006/picture">
                  <wp:extent cx="5760000" cy="1725463"/>
                  <wp:docPr id="7" name="Picture 7"/>
                  <wp:cNvGraphicFramePr>
                    <a:graphicFrameLocks noChangeAspect="1"/>
                  </wp:cNvGraphicFramePr>
                  <a:graphic>
                    <a:graphicData uri="http://schemas.openxmlformats.org/drawingml/2006/picture">
                      <pic:pic>
                        <pic:nvPicPr>
                          <pic:cNvPr id="0" name="task-07.1.png"/>
                          <pic:cNvPicPr/>
                        </pic:nvPicPr>
                        <pic:blipFill>
                          <a:blip r:embed="rId25"/>
                          <a:stretch>
                            <a:fillRect/>
                          </a:stretch>
                        </pic:blipFill>
                        <pic:spPr>
                          <a:xfrm>
                            <a:off x="0" y="0"/>
                            <a:ext cx="5760000" cy="172546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28426"/>
                  <wp:docPr id="8" name="Picture 8"/>
                  <wp:cNvGraphicFramePr>
                    <a:graphicFrameLocks noChangeAspect="1"/>
                  </wp:cNvGraphicFramePr>
                  <a:graphic>
                    <a:graphicData uri="http://schemas.openxmlformats.org/drawingml/2006/picture">
                      <pic:pic>
                        <pic:nvPicPr>
                          <pic:cNvPr id="0" name="task-07.2.png"/>
                          <pic:cNvPicPr/>
                        </pic:nvPicPr>
                        <pic:blipFill>
                          <a:blip r:embed="rId26"/>
                          <a:stretch>
                            <a:fillRect/>
                          </a:stretch>
                        </pic:blipFill>
                        <pic:spPr>
                          <a:xfrm>
                            <a:off x="0" y="0"/>
                            <a:ext cx="5760000" cy="17284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73944"/>
                  <wp:docPr id="9" name="Picture 9"/>
                  <wp:cNvGraphicFramePr>
                    <a:graphicFrameLocks noChangeAspect="1"/>
                  </wp:cNvGraphicFramePr>
                  <a:graphic>
                    <a:graphicData uri="http://schemas.openxmlformats.org/drawingml/2006/picture">
                      <pic:pic>
                        <pic:nvPicPr>
                          <pic:cNvPr id="0" name="task-07.3.png"/>
                          <pic:cNvPicPr/>
                        </pic:nvPicPr>
                        <pic:blipFill>
                          <a:blip r:embed="rId27"/>
                          <a:stretch>
                            <a:fillRect/>
                          </a:stretch>
                        </pic:blipFill>
                        <pic:spPr>
                          <a:xfrm>
                            <a:off x="0" y="0"/>
                            <a:ext cx="5760000" cy="1773944"/>
                          </a:xfrm>
                          <a:prstGeom prst="rect"/>
                        </pic:spPr>
                      </pic:pic>
                    </a:graphicData>
                  </a:graphic>
                </wp:inline>
              </w:drawing>
            </w:r>
          </w:p>
        </w:tc>
      </w:tr>
    </w:tbl>
    <w:p/>
    <w:p>
      <w:pPr>
        <w:spacing w:before="200" w:after="0"/>
      </w:pPr>
      <w:r>
        <w:rPr>
          <w:b/>
          <w:color w:val="1F5A5C"/>
          <w:sz w:val="16"/>
        </w:rPr>
        <w:t>TASK 8</w:t>
      </w:r>
    </w:p>
    <w:p>
      <w:pPr>
        <w:pStyle w:val="Heading2"/>
      </w:pPr>
      <w:r>
        <w:t>Configure the access model</w:t>
      </w:r>
    </w:p>
    <w:p>
      <w:pPr>
        <w:spacing w:after="80"/>
      </w:pPr>
      <w:r>
        <w:rPr>
          <w:b w:val="0"/>
          <w:i/>
          <w:color w:val="6B6660"/>
          <w:sz w:val="18"/>
        </w:rPr>
        <w:t>Evidences: [ICTCLD401 PC 1.5] · [ICTCLD401 PC 2.1]</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Identity is what decides who can grant themselves more access. A group that can rewrite its own permissions has no boundary at all — it could give itself anything. So YAT ICT can see and operate everything, and identity stays with whoever governs the account. The user carries CloudWatch access directly rather than through the group, which shows permissions can sit in either place; groups are for not repeating yourself across many users, not a requirement.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group form — YAT-ICT-Admins with ReadOnlyAccess attached — and the error returned.</w:t>
            </w:r>
          </w:p>
          <w:p>
            <w:pPr>
              <w:jc w:val="center"/>
            </w:pPr>
            <w:r>
              <w:drawing>
                <wp:inline xmlns:a="http://schemas.openxmlformats.org/drawingml/2006/main" xmlns:pic="http://schemas.openxmlformats.org/drawingml/2006/picture">
                  <wp:extent cx="5760000" cy="3437826"/>
                  <wp:docPr id="10" name="Picture 10"/>
                  <wp:cNvGraphicFramePr>
                    <a:graphicFrameLocks noChangeAspect="1"/>
                  </wp:cNvGraphicFramePr>
                  <a:graphic>
                    <a:graphicData uri="http://schemas.openxmlformats.org/drawingml/2006/picture">
                      <pic:pic>
                        <pic:nvPicPr>
                          <pic:cNvPr id="0" name="task-08.1.png"/>
                          <pic:cNvPicPr/>
                        </pic:nvPicPr>
                        <pic:blipFill>
                          <a:blip r:embed="rId28"/>
                          <a:stretch>
                            <a:fillRect/>
                          </a:stretch>
                        </pic:blipFill>
                        <pic:spPr>
                          <a:xfrm>
                            <a:off x="0" y="0"/>
                            <a:ext cx="5760000" cy="34378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user form — swalker with CloudWatchFullAccess attached — and the error returned.</w:t>
            </w:r>
          </w:p>
          <w:p>
            <w:pPr>
              <w:jc w:val="center"/>
            </w:pPr>
            <w:r>
              <w:drawing>
                <wp:inline xmlns:a="http://schemas.openxmlformats.org/drawingml/2006/main" xmlns:pic="http://schemas.openxmlformats.org/drawingml/2006/picture">
                  <wp:extent cx="5760000" cy="1717206"/>
                  <wp:docPr id="11" name="Picture 11"/>
                  <wp:cNvGraphicFramePr>
                    <a:graphicFrameLocks noChangeAspect="1"/>
                  </wp:cNvGraphicFramePr>
                  <a:graphic>
                    <a:graphicData uri="http://schemas.openxmlformats.org/drawingml/2006/picture">
                      <pic:pic>
                        <pic:nvPicPr>
                          <pic:cNvPr id="0" name="task-08.2.png"/>
                          <pic:cNvPicPr/>
                        </pic:nvPicPr>
                        <pic:blipFill>
                          <a:blip r:embed="rId29"/>
                          <a:stretch>
                            <a:fillRect/>
                          </a:stretch>
                        </pic:blipFill>
                        <pic:spPr>
                          <a:xfrm>
                            <a:off x="0" y="0"/>
                            <a:ext cx="5760000" cy="1717206"/>
                          </a:xfrm>
                          <a:prstGeom prst="rect"/>
                        </pic:spPr>
                      </pic:pic>
                    </a:graphicData>
                  </a:graphic>
                </wp:inline>
              </w:drawing>
            </w:r>
          </w:p>
        </w:tc>
      </w:tr>
    </w:tbl>
    <w:p/>
    <w:p>
      <w:pPr>
        <w:spacing w:before="200" w:after="0"/>
      </w:pPr>
      <w:r>
        <w:rPr>
          <w:b/>
          <w:color w:val="1F5A5C"/>
          <w:sz w:val="16"/>
        </w:rPr>
        <w:t>TASK 9</w:t>
      </w:r>
    </w:p>
    <w:p>
      <w:pPr>
        <w:pStyle w:val="Heading2"/>
      </w:pPr>
      <w:r>
        <w:t>Review the instance role</w:t>
      </w:r>
    </w:p>
    <w:p>
      <w:pPr>
        <w:spacing w:after="80"/>
      </w:pPr>
      <w:r>
        <w:rPr>
          <w:b w:val="0"/>
          <w:i/>
          <w:color w:val="6B6660"/>
          <w:sz w:val="18"/>
        </w:rPr>
        <w:t>Evidences: [ICTCLD401 PC 1.6] · [ICTCLD401 PC 1.7]</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LabRole summary page with the Permissions tab open, showing the policies attached to it.</w:t>
            </w:r>
          </w:p>
          <w:p>
            <w:pPr>
              <w:jc w:val="center"/>
            </w:pPr>
            <w:r>
              <w:drawing>
                <wp:inline xmlns:a="http://schemas.openxmlformats.org/drawingml/2006/main" xmlns:pic="http://schemas.openxmlformats.org/drawingml/2006/picture">
                  <wp:extent cx="5760000" cy="2758383"/>
                  <wp:docPr id="12" name="Picture 12"/>
                  <wp:cNvGraphicFramePr>
                    <a:graphicFrameLocks noChangeAspect="1"/>
                  </wp:cNvGraphicFramePr>
                  <a:graphic>
                    <a:graphicData uri="http://schemas.openxmlformats.org/drawingml/2006/picture">
                      <pic:pic>
                        <pic:nvPicPr>
                          <pic:cNvPr id="0" name="task-09.png"/>
                          <pic:cNvPicPr/>
                        </pic:nvPicPr>
                        <pic:blipFill>
                          <a:blip r:embed="rId30"/>
                          <a:stretch>
                            <a:fillRect/>
                          </a:stretch>
                        </pic:blipFill>
                        <pic:spPr>
                          <a:xfrm>
                            <a:off x="0" y="0"/>
                            <a:ext cx="5760000" cy="2758383"/>
                          </a:xfrm>
                          <a:prstGeom prst="rect"/>
                        </pic:spPr>
                      </pic:pic>
                    </a:graphicData>
                  </a:graphic>
                </wp:inline>
              </w:drawing>
            </w:r>
          </w:p>
        </w:tc>
      </w:tr>
    </w:tbl>
    <w:p/>
    <w:p>
      <w:pPr>
        <w:spacing w:before="200" w:after="0"/>
      </w:pPr>
      <w:r>
        <w:rPr>
          <w:b/>
          <w:color w:val="1F5A5C"/>
          <w:sz w:val="16"/>
        </w:rPr>
        <w:t>TASK 10</w:t>
      </w:r>
    </w:p>
    <w:p>
      <w:pPr>
        <w:pStyle w:val="Heading2"/>
      </w:pPr>
      <w:r>
        <w:t>Create the launch template</w:t>
      </w:r>
    </w:p>
    <w:p>
      <w:pPr>
        <w:spacing w:after="80"/>
      </w:pPr>
      <w:r>
        <w:rPr>
          <w:b w:val="0"/>
          <w:i/>
          <w:color w:val="6B6660"/>
          <w:sz w:val="18"/>
        </w:rPr>
        <w:t>Evidences: [ICTCLD401 PC 2.3] · [ICTCLD401 PC 2.4] · [ICTCLD401 PC 1.1] · [ICTCLD401 PC 1.3]</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t3.micro has 1 GiB of memory and t3.small has 2 GiB. Windows Server alone uses most of 1 GiB before the application starts, so t3.micro would spend its time paging and the health check would be slow and unreliable. I chose t3.small. Both are well below what the specification's 200–300 typical concurrent users would need — in production I would size to a general-purpose instance several times this — but this environment caps what I can launch, and t3.small is the better of the two available.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launch template summary, showing the AMI, instance type, instance profile, security group and both volumes.</w:t>
            </w:r>
          </w:p>
          <w:p>
            <w:pPr>
              <w:jc w:val="center"/>
            </w:pPr>
            <w:r>
              <w:drawing>
                <wp:inline xmlns:a="http://schemas.openxmlformats.org/drawingml/2006/main" xmlns:pic="http://schemas.openxmlformats.org/drawingml/2006/picture">
                  <wp:extent cx="5760000" cy="2039648"/>
                  <wp:docPr id="13" name="Picture 13"/>
                  <wp:cNvGraphicFramePr>
                    <a:graphicFrameLocks noChangeAspect="1"/>
                  </wp:cNvGraphicFramePr>
                  <a:graphic>
                    <a:graphicData uri="http://schemas.openxmlformats.org/drawingml/2006/picture">
                      <pic:pic>
                        <pic:nvPicPr>
                          <pic:cNvPr id="0" name="task-10.png"/>
                          <pic:cNvPicPr/>
                        </pic:nvPicPr>
                        <pic:blipFill>
                          <a:blip r:embed="rId31"/>
                          <a:stretch>
                            <a:fillRect/>
                          </a:stretch>
                        </pic:blipFill>
                        <pic:spPr>
                          <a:xfrm>
                            <a:off x="0" y="0"/>
                            <a:ext cx="5760000" cy="2039648"/>
                          </a:xfrm>
                          <a:prstGeom prst="rect"/>
                        </pic:spPr>
                      </pic:pic>
                    </a:graphicData>
                  </a:graphic>
                </wp:inline>
              </w:drawing>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p>
      <w:pPr>
        <w:spacing w:after="200"/>
      </w:pPr>
      <w:r>
        <w:rPr>
          <w:b w:val="0"/>
          <w:i/>
          <w:color w:val="6B6660"/>
          <w:sz w:val="19"/>
        </w:rPr>
        <w:t>No screenshot required. Creating the target group is not an assessable action on its own — it is the prerequisite for the load balancer, which sends traffic to it, and the Auto Scaling group, which fills it with servers.</w:t>
      </w:r>
    </w:p>
    <w:p>
      <w:pPr>
        <w:spacing w:before="200" w:after="0"/>
      </w:pPr>
      <w:r>
        <w:rPr>
          <w:b/>
          <w:color w:val="1F5A5C"/>
          <w:sz w:val="16"/>
        </w:rPr>
        <w:t>TASK 12</w:t>
      </w:r>
    </w:p>
    <w:p>
      <w:pPr>
        <w:pStyle w:val="Heading2"/>
      </w:pPr>
      <w:r>
        <w:t>Create the load balancer</w:t>
      </w:r>
    </w:p>
    <w:p>
      <w:pPr>
        <w:spacing w:after="80"/>
      </w:pPr>
      <w:r>
        <w:rPr>
          <w:b w:val="0"/>
          <w:i/>
          <w:color w:val="6B6660"/>
          <w:sz w:val="18"/>
        </w:rPr>
        <w:t>Evidences: [ICTCLD401 PC 2.2] · [ICTCLD502 PC 4.1]</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load balancer summary, showing its scheme, DNS name, subnets and security group.</w:t>
            </w:r>
          </w:p>
          <w:p>
            <w:pPr>
              <w:jc w:val="center"/>
            </w:pPr>
            <w:r>
              <w:drawing>
                <wp:inline xmlns:a="http://schemas.openxmlformats.org/drawingml/2006/main" xmlns:pic="http://schemas.openxmlformats.org/drawingml/2006/picture">
                  <wp:extent cx="5760000" cy="2851871"/>
                  <wp:docPr id="14" name="Picture 14"/>
                  <wp:cNvGraphicFramePr>
                    <a:graphicFrameLocks noChangeAspect="1"/>
                  </wp:cNvGraphicFramePr>
                  <a:graphic>
                    <a:graphicData uri="http://schemas.openxmlformats.org/drawingml/2006/picture">
                      <pic:pic>
                        <pic:nvPicPr>
                          <pic:cNvPr id="0" name="task-12.1.png"/>
                          <pic:cNvPicPr/>
                        </pic:nvPicPr>
                        <pic:blipFill>
                          <a:blip r:embed="rId32"/>
                          <a:stretch>
                            <a:fillRect/>
                          </a:stretch>
                        </pic:blipFill>
                        <pic:spPr>
                          <a:xfrm>
                            <a:off x="0" y="0"/>
                            <a:ext cx="5760000" cy="2851871"/>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746"/>
                  <wp:docPr id="15" name="Picture 15"/>
                  <wp:cNvGraphicFramePr>
                    <a:graphicFrameLocks noChangeAspect="1"/>
                  </wp:cNvGraphicFramePr>
                  <a:graphic>
                    <a:graphicData uri="http://schemas.openxmlformats.org/drawingml/2006/picture">
                      <pic:pic>
                        <pic:nvPicPr>
                          <pic:cNvPr id="0" name="task-12.2.png"/>
                          <pic:cNvPicPr/>
                        </pic:nvPicPr>
                        <pic:blipFill>
                          <a:blip r:embed="rId33"/>
                          <a:stretch>
                            <a:fillRect/>
                          </a:stretch>
                        </pic:blipFill>
                        <pic:spPr>
                          <a:xfrm>
                            <a:off x="0" y="0"/>
                            <a:ext cx="5760000" cy="2170746"/>
                          </a:xfrm>
                          <a:prstGeom prst="rect"/>
                        </pic:spPr>
                      </pic:pic>
                    </a:graphicData>
                  </a:graphic>
                </wp:inline>
              </w:drawing>
            </w:r>
          </w:p>
        </w:tc>
      </w:tr>
    </w:tbl>
    <w:p/>
    <w:p>
      <w:pPr>
        <w:spacing w:before="200" w:after="0"/>
      </w:pPr>
      <w:r>
        <w:rPr>
          <w:b/>
          <w:color w:val="1F5A5C"/>
          <w:sz w:val="16"/>
        </w:rPr>
        <w:t>TASK 13</w:t>
      </w:r>
    </w:p>
    <w:p>
      <w:pPr>
        <w:pStyle w:val="Heading2"/>
      </w:pPr>
      <w:r>
        <w:t>Create the Auto Scaling group</w:t>
      </w:r>
    </w:p>
    <w:p>
      <w:pPr>
        <w:spacing w:after="80"/>
      </w:pPr>
      <w:r>
        <w:rPr>
          <w:b w:val="0"/>
          <w:i/>
          <w:color w:val="6B6660"/>
          <w:sz w:val="18"/>
        </w:rPr>
        <w:t>Evidences: [ICTCLD401 PC 3.1] · [ICTCLD401 PE 2]</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Auto Scaling group details, showing group size, the attached target group and the scaling policy.</w:t>
            </w:r>
          </w:p>
          <w:p>
            <w:pPr>
              <w:jc w:val="center"/>
            </w:pPr>
            <w:r>
              <w:drawing>
                <wp:inline xmlns:a="http://schemas.openxmlformats.org/drawingml/2006/main" xmlns:pic="http://schemas.openxmlformats.org/drawingml/2006/picture">
                  <wp:extent cx="5760000" cy="4300019"/>
                  <wp:docPr id="16" name="Picture 16"/>
                  <wp:cNvGraphicFramePr>
                    <a:graphicFrameLocks noChangeAspect="1"/>
                  </wp:cNvGraphicFramePr>
                  <a:graphic>
                    <a:graphicData uri="http://schemas.openxmlformats.org/drawingml/2006/picture">
                      <pic:pic>
                        <pic:nvPicPr>
                          <pic:cNvPr id="0" name="task-13.png"/>
                          <pic:cNvPicPr/>
                        </pic:nvPicPr>
                        <pic:blipFill>
                          <a:blip r:embed="rId34"/>
                          <a:stretch>
                            <a:fillRect/>
                          </a:stretch>
                        </pic:blipFill>
                        <pic:spPr>
                          <a:xfrm>
                            <a:off x="0" y="0"/>
                            <a:ext cx="5760000" cy="4300019"/>
                          </a:xfrm>
                          <a:prstGeom prst="rect"/>
                        </pic:spPr>
                      </pic:pic>
                    </a:graphicData>
                  </a:graphic>
                </wp:inline>
              </w:drawing>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p>
      <w:pPr>
        <w:spacing w:after="200"/>
      </w:pPr>
      <w:r>
        <w:rPr>
          <w:b w:val="0"/>
          <w:i/>
          <w:color w:val="6B6660"/>
          <w:sz w:val="19"/>
        </w:rPr>
        <w:t>No screenshot required. Creating the subnet group is not an assessable action on its own — it is the prerequisite for the database, which cannot be created without one.</w:t>
      </w:r>
    </w:p>
    <w:p>
      <w:pPr>
        <w:spacing w:before="200" w:after="0"/>
      </w:pPr>
      <w:r>
        <w:rPr>
          <w:b/>
          <w:color w:val="1F5A5C"/>
          <w:sz w:val="16"/>
        </w:rPr>
        <w:t>TASK 15</w:t>
      </w:r>
    </w:p>
    <w:p>
      <w:pPr>
        <w:pStyle w:val="Heading2"/>
      </w:pPr>
      <w:r>
        <w:t>Deploy the database</w:t>
      </w:r>
    </w:p>
    <w:p>
      <w:pPr>
        <w:spacing w:after="80"/>
      </w:pPr>
      <w:r>
        <w:rPr>
          <w:b w:val="0"/>
          <w:i/>
          <w:color w:val="6B6660"/>
          <w:sz w:val="18"/>
        </w:rPr>
        <w:t>Evidences: [ICTCLD401 PC 2.5] · [ICTCLD401 PC 1.1] · [ICTCLD401 PC 1.3] · [ICTCLD401 PE 2]</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db.t3.micro has 1 GiB of memory, db.t3.small has 2 GiB. An LMS database is read-heavy and benefits from having enough memory to keep frequently-read pages cached, so I chose db.t3.small. As with the application tier, both are well below what the real workload would need; the environment caps the choice and db.t3.small is the better of the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database summary showing Available, its class, encryption enabled and public access set to No.</w:t>
            </w:r>
          </w:p>
          <w:p>
            <w:pPr>
              <w:jc w:val="center"/>
            </w:pPr>
            <w:r>
              <w:drawing>
                <wp:inline xmlns:a="http://schemas.openxmlformats.org/drawingml/2006/main" xmlns:pic="http://schemas.openxmlformats.org/drawingml/2006/picture">
                  <wp:extent cx="5760000" cy="3115730"/>
                  <wp:docPr id="17" name="Picture 17"/>
                  <wp:cNvGraphicFramePr>
                    <a:graphicFrameLocks noChangeAspect="1"/>
                  </wp:cNvGraphicFramePr>
                  <a:graphic>
                    <a:graphicData uri="http://schemas.openxmlformats.org/drawingml/2006/picture">
                      <pic:pic>
                        <pic:nvPicPr>
                          <pic:cNvPr id="0" name="task-15.png"/>
                          <pic:cNvPicPr/>
                        </pic:nvPicPr>
                        <pic:blipFill>
                          <a:blip r:embed="rId35"/>
                          <a:stretch>
                            <a:fillRect/>
                          </a:stretch>
                        </pic:blipFill>
                        <pic:spPr>
                          <a:xfrm>
                            <a:off x="0" y="0"/>
                            <a:ext cx="5760000" cy="3115730"/>
                          </a:xfrm>
                          <a:prstGeom prst="rect"/>
                        </pic:spPr>
                      </pic:pic>
                    </a:graphicData>
                  </a:graphic>
                </wp:inline>
              </w:drawing>
            </w:r>
          </w:p>
        </w:tc>
      </w:tr>
    </w:tbl>
    <w:p/>
    <w:p>
      <w:pPr>
        <w:spacing w:before="200" w:after="0"/>
      </w:pPr>
      <w:r>
        <w:rPr>
          <w:b/>
          <w:color w:val="1F5A5C"/>
          <w:sz w:val="16"/>
        </w:rPr>
        <w:t>TASK 16</w:t>
      </w:r>
    </w:p>
    <w:p>
      <w:pPr>
        <w:pStyle w:val="Heading2"/>
      </w:pPr>
      <w:r>
        <w:t>Create the two monitoring alarms</w:t>
      </w:r>
    </w:p>
    <w:p>
      <w:pPr>
        <w:spacing w:after="80"/>
      </w:pPr>
      <w:r>
        <w:rPr>
          <w:b w:val="0"/>
          <w:i/>
          <w:color w:val="6B6660"/>
          <w:sz w:val="18"/>
        </w:rPr>
        <w:t>Evidences: [ICTCLD502 PC 4.3]</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DBInstanceIdentifier, then filter for FreeStorageSpace and tick the row for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alarm list showing both alarms with their metrics, thresholds and current state.</w:t>
            </w:r>
          </w:p>
          <w:p>
            <w:pPr>
              <w:jc w:val="center"/>
            </w:pPr>
            <w:r>
              <w:drawing>
                <wp:inline xmlns:a="http://schemas.openxmlformats.org/drawingml/2006/main" xmlns:pic="http://schemas.openxmlformats.org/drawingml/2006/picture">
                  <wp:extent cx="5760000" cy="3099912"/>
                  <wp:docPr id="18" name="Picture 18"/>
                  <wp:cNvGraphicFramePr>
                    <a:graphicFrameLocks noChangeAspect="1"/>
                  </wp:cNvGraphicFramePr>
                  <a:graphic>
                    <a:graphicData uri="http://schemas.openxmlformats.org/drawingml/2006/picture">
                      <pic:pic>
                        <pic:nvPicPr>
                          <pic:cNvPr id="0" name="task-16.1.png"/>
                          <pic:cNvPicPr/>
                        </pic:nvPicPr>
                        <pic:blipFill>
                          <a:blip r:embed="rId36"/>
                          <a:stretch>
                            <a:fillRect/>
                          </a:stretch>
                        </pic:blipFill>
                        <pic:spPr>
                          <a:xfrm>
                            <a:off x="0" y="0"/>
                            <a:ext cx="5760000" cy="3099912"/>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198"/>
                  <wp:docPr id="19" name="Picture 19"/>
                  <wp:cNvGraphicFramePr>
                    <a:graphicFrameLocks noChangeAspect="1"/>
                  </wp:cNvGraphicFramePr>
                  <a:graphic>
                    <a:graphicData uri="http://schemas.openxmlformats.org/drawingml/2006/picture">
                      <pic:pic>
                        <pic:nvPicPr>
                          <pic:cNvPr id="0" name="task-16.2.png"/>
                          <pic:cNvPicPr/>
                        </pic:nvPicPr>
                        <pic:blipFill>
                          <a:blip r:embed="rId37"/>
                          <a:stretch>
                            <a:fillRect/>
                          </a:stretch>
                        </pic:blipFill>
                        <pic:spPr>
                          <a:xfrm>
                            <a:off x="0" y="0"/>
                            <a:ext cx="5760000" cy="2170198"/>
                          </a:xfrm>
                          <a:prstGeom prst="rect"/>
                        </pic:spPr>
                      </pic:pic>
                    </a:graphicData>
                  </a:graphic>
                </wp:inline>
              </w:drawing>
            </w:r>
          </w:p>
        </w:tc>
      </w:tr>
    </w:tbl>
    <w:p/>
    <w:p>
      <w:pPr>
        <w:spacing w:before="200" w:after="0"/>
      </w:pPr>
      <w:r>
        <w:rPr>
          <w:b/>
          <w:color w:val="1F5A5C"/>
          <w:sz w:val="16"/>
        </w:rPr>
        <w:t>TASK 17</w:t>
      </w:r>
    </w:p>
    <w:p>
      <w:pPr>
        <w:pStyle w:val="Heading2"/>
      </w:pPr>
      <w:r>
        <w:t>Assign the security responsibilities</w:t>
      </w:r>
    </w:p>
    <w:p>
      <w:pPr>
        <w:spacing w:after="80"/>
      </w:pPr>
      <w:r>
        <w:rPr>
          <w:b w:val="0"/>
          <w:i/>
          <w:color w:val="6B6660"/>
          <w:sz w:val="18"/>
        </w:rPr>
        <w:t>Evidences: [ICTCLD401 PC 1.2]</w:t>
      </w:r>
    </w:p>
    <w:p>
      <w:pPr>
        <w:spacing w:after="120"/>
      </w:pPr>
      <w:r>
        <w:rPr>
          <w:b w:val="0"/>
          <w:i w:val="0"/>
          <w:sz w:val="21"/>
        </w:rPr>
        <w:t>The platform is built. Work through it component by component and record who is responsible for securing each part — AWS or YAT — and what securing it actually involves. Answer for the environment you have just built, naming your own resources; this is not a question about cloud computing in general.</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physical facilities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 centres, hardware and network the platform runs on</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server operating system</w:t>
            </w:r>
          </w:p>
        </w:tc>
        <w:tc>
          <w:tcPr>
            <w:tcW w:type="dxa" w:w="6576"/>
            <w:tcBorders>
              <w:top w:val="single" w:sz="4" w:space="0" w:color="E4DED3"/>
              <w:left w:val="single" w:sz="4" w:space="0" w:color="E4DED3"/>
              <w:bottom w:val="single" w:sz="4" w:space="0" w:color="E4DED3"/>
              <w:right w:val="single" w:sz="4" w:space="0" w:color="E4DED3"/>
            </w:tcBorders>
          </w:tcPr>
          <w:p>
            <w:r>
              <w:rPr>
                <w:sz w:val="19"/>
              </w:rPr>
              <w:t>the instances your Auto Scaling group launches from the launch template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database engine and its host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managed database you deployed in task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 access rules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three security groups and the route tables you built in tasks 6 and 7</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Identity and permissions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group and user from task 8, and the instance role from task 9</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itself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what the LMS stores in the database and on its volumes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For each one</w:t>
            </w:r>
          </w:p>
        </w:tc>
        <w:tc>
          <w:tcPr>
            <w:tcW w:type="dxa" w:w="6576"/>
            <w:tcBorders>
              <w:top w:val="single" w:sz="4" w:space="0" w:color="E4DED3"/>
              <w:left w:val="single" w:sz="4" w:space="0" w:color="E4DED3"/>
              <w:bottom w:val="single" w:sz="4" w:space="0" w:color="E4DED3"/>
              <w:right w:val="single" w:sz="4" w:space="0" w:color="E4DED3"/>
            </w:tcBorders>
          </w:tcPr>
          <w:p>
            <w:r>
              <w:rPr>
                <w:sz w:val="19"/>
              </w:rPr>
              <w:t>name the responsible party, and say in one sentence what that party actually does to secure it</w:t>
            </w:r>
          </w:p>
        </w:tc>
      </w:tr>
    </w:tbl>
    <w:p/>
    <w:p>
      <w:pPr>
        <w:spacing w:after="60"/>
      </w:pPr>
      <w:r>
        <w:rPr>
          <w:b/>
          <w:i w:val="0"/>
          <w:sz w:val="21"/>
        </w:rPr>
        <w:t>Your assignment</w:t>
      </w:r>
    </w:p>
    <w:p>
      <w:pPr>
        <w:spacing w:after="120"/>
      </w:pPr>
      <w:r>
        <w:rPr>
          <w:b w:val="0"/>
          <w:i/>
          <w:color w:val="6B6660"/>
          <w:sz w:val="19"/>
        </w:rPr>
        <w:t>For each component above, name who secures it and what securing it involves. Then answer one more question: which of these responsibilities moved from YAT to AWS because the design uses a managed database rather than the database engine installed on a server — and which did not move?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Physical facilities — AWS. Data centre access, hardware, power and cooling. YAT cannot affect it and is not accountable for it.</w:t>
            </w:r>
          </w:p>
          <w:p>
            <w:pPr>
              <w:jc w:val="left"/>
            </w:pPr>
            <w:r>
              <w:rPr>
                <w:b w:val="0"/>
                <w:i w:val="0"/>
                <w:color w:val="1F5A5C"/>
                <w:sz w:val="19"/>
              </w:rPr>
              <w:t>•  Server operating system — YAT. Patching, hardening and configuration of the instances. AWS supplies the image; its state from first boot onwards is YAT's.</w:t>
            </w:r>
          </w:p>
          <w:p>
            <w:pPr>
              <w:jc w:val="left"/>
            </w:pPr>
            <w:r>
              <w:rPr>
                <w:b w:val="0"/>
                <w:i w:val="0"/>
                <w:color w:val="1F5A5C"/>
                <w:sz w:val="19"/>
              </w:rPr>
              <w:t>•  Database engine and host — split, and the split is the point. AWS installs and patches the engine, maintains the host and runs the backup mechanism. YAT owns the schema, the data, and who is permitted to connect.</w:t>
            </w:r>
          </w:p>
          <w:p>
            <w:pPr>
              <w:jc w:val="left"/>
            </w:pPr>
            <w:r>
              <w:rPr>
                <w:b w:val="0"/>
                <w:i w:val="0"/>
                <w:color w:val="1F5A5C"/>
                <w:sz w:val="19"/>
              </w:rPr>
              <w:t>•  Network access rules — YAT. The security groups and route tables are customer configuration. A rule that exposes the database is not something AWS will catch.</w:t>
            </w:r>
          </w:p>
          <w:p>
            <w:pPr>
              <w:jc w:val="left"/>
            </w:pPr>
            <w:r>
              <w:rPr>
                <w:b w:val="0"/>
                <w:i w:val="0"/>
                <w:color w:val="1F5A5C"/>
                <w:sz w:val="19"/>
              </w:rPr>
              <w:t>•  Identity and permissions — YAT. Who exists, what they may do, and the role the servers assume.</w:t>
            </w:r>
          </w:p>
          <w:p>
            <w:pPr>
              <w:jc w:val="left"/>
            </w:pPr>
            <w:r>
              <w:rPr>
                <w:b w:val="0"/>
                <w:i w:val="0"/>
                <w:color w:val="1F5A5C"/>
                <w:sz w:val="19"/>
              </w:rPr>
              <w:t>•  The data — YAT, always, under every service model. Responsibility for content never transfers.</w:t>
            </w:r>
          </w:p>
          <w:p>
            <w:pPr>
              <w:jc w:val="left"/>
            </w:pPr>
            <w:r>
              <w:rPr>
                <w:b w:val="0"/>
                <w:i w:val="0"/>
                <w:color w:val="1F5A5C"/>
                <w:sz w:val="19"/>
              </w:rPr>
              <w:t>•  The impact question: choosing a managed database moved engine patching, host maintenance and backup execution to AWS. It did not move the data, the access rules, or who may connect — those stay with YAT whichever way the database is run. A student who says the managed service made the database 'AWS's responsibility' has missed the distinction this task exists to draw.</w:t>
            </w:r>
          </w:p>
          <w:p>
            <w:pPr>
              <w:jc w:val="left"/>
            </w:pPr>
            <w:r>
              <w:rPr>
                <w:b w:val="0"/>
                <w:i w:val="0"/>
                <w:color w:val="1F5A5C"/>
                <w:sz w:val="19"/>
              </w:rPr>
              <w:t>•  A student who lists the split without saying what each party actually does, or who places the data anywhere but with YAT, has not evidenced this.</w:t>
            </w:r>
          </w:p>
        </w:tc>
      </w:tr>
    </w:tbl>
    <w:p/>
    <w:p>
      <w:pPr>
        <w:spacing w:after="60"/>
      </w:pPr>
      <w:r>
        <w:rPr>
          <w:b/>
          <w:i w:val="0"/>
          <w:sz w:val="21"/>
        </w:rPr>
        <w:t>Evidence</w:t>
      </w:r>
    </w:p>
    <w:p>
      <w:pPr>
        <w:spacing w:after="200"/>
      </w:pPr>
      <w:r>
        <w:rPr>
          <w:b w:val="0"/>
          <w:i/>
          <w:color w:val="6B6660"/>
          <w:sz w:val="19"/>
        </w:rPr>
        <w:t>No screenshot required. Your written assignment above is the evidence for this task.</w:t>
      </w:r>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80"/>
      </w:pPr>
      <w:r>
        <w:rPr>
          <w:b w:val="0"/>
          <w:i/>
          <w:color w:val="6B6660"/>
          <w:sz w:val="18"/>
        </w:rPr>
        <w:t>Evidences: [ICTCLD401 PE 3]</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session window, showing the connection open and the hostname it returned.</w:t>
            </w:r>
          </w:p>
          <w:p>
            <w:pPr>
              <w:jc w:val="center"/>
            </w:pPr>
            <w:r>
              <w:drawing>
                <wp:inline xmlns:a="http://schemas.openxmlformats.org/drawingml/2006/main" xmlns:pic="http://schemas.openxmlformats.org/drawingml/2006/picture">
                  <wp:extent cx="5760000" cy="1708138"/>
                  <wp:docPr id="20" name="Picture 20"/>
                  <wp:cNvGraphicFramePr>
                    <a:graphicFrameLocks noChangeAspect="1"/>
                  </wp:cNvGraphicFramePr>
                  <a:graphic>
                    <a:graphicData uri="http://schemas.openxmlformats.org/drawingml/2006/picture">
                      <pic:pic>
                        <pic:nvPicPr>
                          <pic:cNvPr id="0" name="test-01.png"/>
                          <pic:cNvPicPr/>
                        </pic:nvPicPr>
                        <pic:blipFill>
                          <a:blip r:embed="rId38"/>
                          <a:stretch>
                            <a:fillRect/>
                          </a:stretch>
                        </pic:blipFill>
                        <pic:spPr>
                          <a:xfrm>
                            <a:off x="0" y="0"/>
                            <a:ext cx="5760000" cy="1708138"/>
                          </a:xfrm>
                          <a:prstGeom prst="rect"/>
                        </pic:spPr>
                      </pic:pic>
                    </a:graphicData>
                  </a:graphic>
                </wp:inline>
              </w:drawing>
            </w:r>
          </w:p>
        </w:tc>
      </w:tr>
    </w:tbl>
    <w:p/>
    <w:p>
      <w:pPr>
        <w:spacing w:before="200" w:after="0"/>
      </w:pPr>
      <w:r>
        <w:rPr>
          <w:b/>
          <w:color w:val="1F5A5C"/>
          <w:sz w:val="16"/>
        </w:rPr>
        <w:t>TEST 2</w:t>
      </w:r>
    </w:p>
    <w:p>
      <w:pPr>
        <w:pStyle w:val="Heading2"/>
      </w:pPr>
      <w:r>
        <w:t>Reach the internet from the application server</w:t>
      </w:r>
    </w:p>
    <w:p>
      <w:pPr>
        <w:spacing w:after="80"/>
      </w:pPr>
      <w:r>
        <w:rPr>
          <w:b w:val="0"/>
          <w:i/>
          <w:color w:val="6B6660"/>
          <w:sz w:val="18"/>
        </w:rPr>
        <w:t>Evidences: [ICTCLD401 PC 2.6]</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the status code it returned.</w:t>
            </w:r>
          </w:p>
          <w:p>
            <w:pPr>
              <w:jc w:val="center"/>
            </w:pPr>
            <w:r>
              <w:drawing>
                <wp:inline xmlns:a="http://schemas.openxmlformats.org/drawingml/2006/main" xmlns:pic="http://schemas.openxmlformats.org/drawingml/2006/picture">
                  <wp:extent cx="5760000" cy="2394073"/>
                  <wp:docPr id="21" name="Picture 21"/>
                  <wp:cNvGraphicFramePr>
                    <a:graphicFrameLocks noChangeAspect="1"/>
                  </wp:cNvGraphicFramePr>
                  <a:graphic>
                    <a:graphicData uri="http://schemas.openxmlformats.org/drawingml/2006/picture">
                      <pic:pic>
                        <pic:nvPicPr>
                          <pic:cNvPr id="0" name="test-02.png"/>
                          <pic:cNvPicPr/>
                        </pic:nvPicPr>
                        <pic:blipFill>
                          <a:blip r:embed="rId39"/>
                          <a:stretch>
                            <a:fillRect/>
                          </a:stretch>
                        </pic:blipFill>
                        <pic:spPr>
                          <a:xfrm>
                            <a:off x="0" y="0"/>
                            <a:ext cx="5760000" cy="2394073"/>
                          </a:xfrm>
                          <a:prstGeom prst="rect"/>
                        </pic:spPr>
                      </pic:pic>
                    </a:graphicData>
                  </a:graphic>
                </wp:inline>
              </w:drawing>
            </w:r>
          </w:p>
        </w:tc>
      </w:tr>
    </w:tbl>
    <w:p/>
    <w:p>
      <w:pPr>
        <w:spacing w:before="200" w:after="0"/>
      </w:pPr>
      <w:r>
        <w:rPr>
          <w:b/>
          <w:color w:val="1F5A5C"/>
          <w:sz w:val="16"/>
        </w:rPr>
        <w:t>TEST 3</w:t>
      </w:r>
    </w:p>
    <w:p>
      <w:pPr>
        <w:pStyle w:val="Heading2"/>
      </w:pPr>
      <w:r>
        <w:t>Reach the database from the application server</w:t>
      </w:r>
    </w:p>
    <w:p>
      <w:pPr>
        <w:spacing w:after="80"/>
      </w:pPr>
      <w:r>
        <w:rPr>
          <w:b w:val="0"/>
          <w:i/>
          <w:color w:val="6B6660"/>
          <w:sz w:val="18"/>
        </w:rPr>
        <w:t>Evidences: [ICTCLD401 PC 2.6] · [ICTCLD502 PC 4.2]</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its output showing TcpTestSucceeded : True.</w:t>
            </w:r>
          </w:p>
          <w:p>
            <w:pPr>
              <w:jc w:val="center"/>
            </w:pPr>
            <w:r>
              <w:drawing>
                <wp:inline xmlns:a="http://schemas.openxmlformats.org/drawingml/2006/main" xmlns:pic="http://schemas.openxmlformats.org/drawingml/2006/picture">
                  <wp:extent cx="5760000" cy="1867740"/>
                  <wp:docPr id="22" name="Picture 22"/>
                  <wp:cNvGraphicFramePr>
                    <a:graphicFrameLocks noChangeAspect="1"/>
                  </wp:cNvGraphicFramePr>
                  <a:graphic>
                    <a:graphicData uri="http://schemas.openxmlformats.org/drawingml/2006/picture">
                      <pic:pic>
                        <pic:nvPicPr>
                          <pic:cNvPr id="0" name="test-03.png"/>
                          <pic:cNvPicPr/>
                        </pic:nvPicPr>
                        <pic:blipFill>
                          <a:blip r:embed="rId40"/>
                          <a:stretch>
                            <a:fillRect/>
                          </a:stretch>
                        </pic:blipFill>
                        <pic:spPr>
                          <a:xfrm>
                            <a:off x="0" y="0"/>
                            <a:ext cx="5760000" cy="1867740"/>
                          </a:xfrm>
                          <a:prstGeom prst="rect"/>
                        </pic:spPr>
                      </pic:pic>
                    </a:graphicData>
                  </a:graphic>
                </wp:inline>
              </w:drawing>
            </w:r>
          </w:p>
        </w:tc>
      </w:tr>
    </w:tbl>
    <w:p/>
    <w:p>
      <w:pPr>
        <w:spacing w:before="200" w:after="0"/>
      </w:pPr>
      <w:r>
        <w:rPr>
          <w:b/>
          <w:color w:val="1F5A5C"/>
          <w:sz w:val="16"/>
        </w:rPr>
        <w:t>TEST 4</w:t>
      </w:r>
    </w:p>
    <w:p>
      <w:pPr>
        <w:pStyle w:val="Heading2"/>
      </w:pPr>
      <w:r>
        <w:t>Reach the application through the load balancer</w:t>
      </w:r>
    </w:p>
    <w:p>
      <w:pPr>
        <w:spacing w:after="80"/>
      </w:pPr>
      <w:r>
        <w:rPr>
          <w:b w:val="0"/>
          <w:i/>
          <w:color w:val="6B6660"/>
          <w:sz w:val="18"/>
        </w:rPr>
        <w:t>Evidences: [ICTCLD401 PC 2.6] · [ICTCLD502 PC 4.2]</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browser showing the page, with the load balancer address visible in the address bar.</w:t>
            </w:r>
          </w:p>
          <w:p>
            <w:pPr>
              <w:jc w:val="center"/>
            </w:pPr>
            <w:r>
              <w:drawing>
                <wp:inline xmlns:a="http://schemas.openxmlformats.org/drawingml/2006/main" xmlns:pic="http://schemas.openxmlformats.org/drawingml/2006/picture">
                  <wp:extent cx="5760000" cy="2003855"/>
                  <wp:docPr id="23" name="Picture 23"/>
                  <wp:cNvGraphicFramePr>
                    <a:graphicFrameLocks noChangeAspect="1"/>
                  </wp:cNvGraphicFramePr>
                  <a:graphic>
                    <a:graphicData uri="http://schemas.openxmlformats.org/drawingml/2006/picture">
                      <pic:pic>
                        <pic:nvPicPr>
                          <pic:cNvPr id="0" name="test-04.png"/>
                          <pic:cNvPicPr/>
                        </pic:nvPicPr>
                        <pic:blipFill>
                          <a:blip r:embed="rId41"/>
                          <a:stretch>
                            <a:fillRect/>
                          </a:stretch>
                        </pic:blipFill>
                        <pic:spPr>
                          <a:xfrm>
                            <a:off x="0" y="0"/>
                            <a:ext cx="5760000" cy="2003855"/>
                          </a:xfrm>
                          <a:prstGeom prst="rect"/>
                        </pic:spPr>
                      </pic:pic>
                    </a:graphicData>
                  </a:graphic>
                </wp:inline>
              </w:drawing>
            </w:r>
          </w:p>
        </w:tc>
      </w:tr>
    </w:tbl>
    <w:p/>
    <w:p>
      <w:pPr>
        <w:spacing w:before="200" w:after="0"/>
      </w:pPr>
      <w:r>
        <w:rPr>
          <w:b/>
          <w:color w:val="1F5A5C"/>
          <w:sz w:val="16"/>
        </w:rPr>
        <w:t>TEST 5</w:t>
      </w:r>
    </w:p>
    <w:p>
      <w:pPr>
        <w:pStyle w:val="Heading2"/>
      </w:pPr>
      <w:r>
        <w:t>Automatic scaling</w:t>
      </w:r>
    </w:p>
    <w:p>
      <w:pPr>
        <w:spacing w:after="80"/>
      </w:pPr>
      <w:r>
        <w:rPr>
          <w:b w:val="0"/>
          <w:i/>
          <w:color w:val="6B6660"/>
          <w:sz w:val="18"/>
        </w:rPr>
        <w:t>Evidences: [ICTCLD401 PC 3.2]</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before="80" w:after="160"/>
        <w:ind w:left="227"/>
      </w:pPr>
      <w:r>
        <w:rPr>
          <w:b/>
          <w:color w:val="1F5A5C"/>
          <w:sz w:val="19"/>
        </w:rPr>
        <w:t xml:space="preserve">Assessor note </w:t>
      </w:r>
      <w:r>
        <w:rPr>
          <w:i/>
          <w:color w:val="1F5A5C"/>
          <w:sz w:val="19"/>
        </w:rPr>
        <w:t>proven in the lab: an idle Windows t3.small read about 6% CPU, and setting the target value to 1 triggered a scale-out within a few minutes. Expect students to report readings of a few percent and targets of 1. A student who reports a higher reading and a correspondingly higher target has done the same thing correctly. Scale-in takes noticeably longer than scale-out, so a submission showing a long gap between the two Activity entries is normal, not a fault.</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Activity tab, showing both the scale-out and the scale-in entries with their times.</w:t>
            </w:r>
          </w:p>
          <w:p>
            <w:pPr>
              <w:jc w:val="center"/>
            </w:pPr>
            <w:r>
              <w:drawing>
                <wp:inline xmlns:a="http://schemas.openxmlformats.org/drawingml/2006/main" xmlns:pic="http://schemas.openxmlformats.org/drawingml/2006/picture">
                  <wp:extent cx="5760000" cy="1704753"/>
                  <wp:docPr id="24" name="Picture 24"/>
                  <wp:cNvGraphicFramePr>
                    <a:graphicFrameLocks noChangeAspect="1"/>
                  </wp:cNvGraphicFramePr>
                  <a:graphic>
                    <a:graphicData uri="http://schemas.openxmlformats.org/drawingml/2006/picture">
                      <pic:pic>
                        <pic:nvPicPr>
                          <pic:cNvPr id="0" name="test-05.png"/>
                          <pic:cNvPicPr/>
                        </pic:nvPicPr>
                        <pic:blipFill>
                          <a:blip r:embed="rId42"/>
                          <a:stretch>
                            <a:fillRect/>
                          </a:stretch>
                        </pic:blipFill>
                        <pic:spPr>
                          <a:xfrm>
                            <a:off x="0" y="0"/>
                            <a:ext cx="5760000" cy="1704753"/>
                          </a:xfrm>
                          <a:prstGeom prst="rect"/>
                        </pic:spPr>
                      </pic:pic>
                    </a:graphicData>
                  </a:graphic>
                </wp:inline>
              </w:drawing>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80"/>
      </w:pPr>
      <w:r>
        <w:rPr>
          <w:b w:val="0"/>
          <w:i/>
          <w:color w:val="6B6660"/>
          <w:sz w:val="18"/>
        </w:rPr>
        <w:t>Evidences: [ICTCLD401 KE 5]</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43">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three: the instance, the load balancer, the Auto Scaling group.</w:t>
            </w:r>
          </w:p>
          <w:p>
            <w:pPr>
              <w:jc w:val="left"/>
            </w:pPr>
            <w:r>
              <w:rPr>
                <w:b w:val="0"/>
                <w:i w:val="0"/>
                <w:color w:val="1F5A5C"/>
                <w:sz w:val="19"/>
              </w:rPr>
              <w:t>•  Instance: the compute the LMS runs on, sized against the concurrent-user load.</w:t>
            </w:r>
          </w:p>
          <w:p>
            <w:pPr>
              <w:jc w:val="left"/>
            </w:pPr>
            <w:r>
              <w:rPr>
                <w:b w:val="0"/>
                <w:i w:val="0"/>
                <w:color w:val="1F5A5C"/>
                <w:sz w:val="19"/>
              </w:rPr>
              <w:t>•  Load balancer: distributes traffic and removes unhealthy servers from rotation.</w:t>
            </w:r>
          </w:p>
          <w:p>
            <w:pPr>
              <w:jc w:val="left"/>
            </w:pPr>
            <w:r>
              <w:rPr>
                <w:b w:val="0"/>
                <w:i w:val="0"/>
                <w:color w:val="1F5A5C"/>
                <w:sz w:val="19"/>
              </w:rPr>
              <w:t>•  Auto Scaling: adds capacity during assessment-window peaks without anyone acting.</w:t>
            </w:r>
          </w:p>
          <w:p>
            <w:pPr>
              <w:jc w:val="left"/>
            </w:pPr>
            <w:r>
              <w:rPr>
                <w:b w:val="0"/>
                <w:i w:val="0"/>
                <w:color w:val="1F5A5C"/>
                <w:sz w:val="19"/>
              </w:rPr>
              <w:t>•  Each tied to YAT, not explained generically.</w:t>
            </w:r>
          </w:p>
        </w:tc>
      </w:tr>
    </w:tbl>
    <w:p/>
    <w:p>
      <w:pPr>
        <w:spacing w:before="200" w:after="0"/>
      </w:pPr>
      <w:r>
        <w:rPr>
          <w:b/>
          <w:color w:val="1F5A5C"/>
          <w:sz w:val="16"/>
        </w:rPr>
        <w:t>QUESTION 2</w:t>
      </w:r>
    </w:p>
    <w:p>
      <w:pPr>
        <w:pStyle w:val="Heading2"/>
      </w:pPr>
      <w:r>
        <w:t>In your build: (a) why a managed database service rather t...</w:t>
      </w:r>
    </w:p>
    <w:p>
      <w:pPr>
        <w:spacing w:after="80"/>
      </w:pPr>
      <w:r>
        <w:rPr>
          <w:b w:val="0"/>
          <w:i/>
          <w:color w:val="6B6660"/>
          <w:sz w:val="18"/>
        </w:rPr>
        <w:t>Evidences: [ICTCLD401 KE 6]</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43">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Managed: AWS handles patching, backups and monitoring; less for YAT ICT to operate; and multi-AZ is one setting away for the next phase.</w:t>
            </w:r>
          </w:p>
          <w:p>
            <w:pPr>
              <w:jc w:val="left"/>
            </w:pPr>
            <w:r>
              <w:rPr>
                <w:b w:val="0"/>
                <w:i w:val="0"/>
                <w:color w:val="1F5A5C"/>
                <w:sz w:val="19"/>
              </w:rPr>
              <w:t>•  (b) Block storage is a disk attached to one server, addressed in blocks, and it is what an operating system and a database need. Object storage holds whole files retrieved by name over the network, is effectively unlimited, is cheaper at scale, and can age files off to archive. For an LMS: block for the system and the database, object for course attachments and student submissions.</w:t>
            </w:r>
          </w:p>
          <w:p>
            <w:pPr>
              <w:jc w:val="left"/>
            </w:pPr>
            <w:r>
              <w:rPr>
                <w:b w:val="0"/>
                <w:i w:val="0"/>
                <w:color w:val="1F5A5C"/>
                <w:sz w:val="19"/>
              </w:rPr>
              <w:t>•  (c) Horizontal adds servers with no downtime, which suits an LMS that must stay up; vertical needs a restart. Trade-off: the application must tolerate requests landing on different servers.</w:t>
            </w:r>
          </w:p>
        </w:tc>
      </w:tr>
    </w:tbl>
    <w:p/>
    <w:p>
      <w:pPr>
        <w:spacing w:before="200" w:after="0"/>
      </w:pPr>
      <w:r>
        <w:rPr>
          <w:b/>
          <w:color w:val="1F5A5C"/>
          <w:sz w:val="16"/>
        </w:rPr>
        <w:t>QUESTION 3</w:t>
      </w:r>
    </w:p>
    <w:p>
      <w:pPr>
        <w:pStyle w:val="Heading2"/>
      </w:pPr>
      <w:r>
        <w:t>Using your own environment, name two responsibilities that...</w:t>
      </w:r>
    </w:p>
    <w:p>
      <w:pPr>
        <w:spacing w:after="80"/>
      </w:pPr>
      <w:r>
        <w:rPr>
          <w:b w:val="0"/>
          <w:i/>
          <w:color w:val="6B6660"/>
          <w:sz w:val="18"/>
        </w:rPr>
        <w:t>Evidences: [ICTCLD401 KE 7]</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Two YAT-side: operating-system patching after handover; managing users and MFA.</w:t>
            </w:r>
          </w:p>
          <w:p>
            <w:pPr>
              <w:jc w:val="left"/>
            </w:pPr>
            <w:r>
              <w:rPr>
                <w:b w:val="0"/>
                <w:i w:val="0"/>
                <w:color w:val="1F5A5C"/>
                <w:sz w:val="19"/>
              </w:rPr>
              <w:t>•  One shifted: hardware, data-centre power and cooling; or backup media handling, now the managed database's job.</w:t>
            </w:r>
          </w:p>
          <w:p>
            <w:pPr>
              <w:jc w:val="left"/>
            </w:pPr>
            <w:r>
              <w:rPr>
                <w:b w:val="0"/>
                <w:i w:val="0"/>
                <w:color w:val="1F5A5C"/>
                <w:sz w:val="19"/>
              </w:rPr>
              <w:t>•  Reasons given, not just a list.</w:t>
            </w:r>
          </w:p>
        </w:tc>
      </w:tr>
    </w:tbl>
    <w:p/>
    <w:p>
      <w:pPr>
        <w:spacing w:before="200" w:after="0"/>
      </w:pPr>
      <w:r>
        <w:rPr>
          <w:b/>
          <w:color w:val="1F5A5C"/>
          <w:sz w:val="16"/>
        </w:rPr>
        <w:t>QUESTION 4</w:t>
      </w:r>
    </w:p>
    <w:p>
      <w:pPr>
        <w:pStyle w:val="Heading2"/>
      </w:pPr>
      <w:r>
        <w:t>Pick one IAM group you created. Describe the permissions y...</w:t>
      </w:r>
    </w:p>
    <w:p>
      <w:pPr>
        <w:spacing w:after="80"/>
      </w:pPr>
      <w:r>
        <w:rPr>
          <w:b w:val="0"/>
          <w:i/>
          <w:color w:val="6B6660"/>
          <w:sz w:val="18"/>
        </w:rPr>
        <w:t>Evidences: [ICTCLD401 KE 8]</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44">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a real group from their own build.</w:t>
            </w:r>
          </w:p>
          <w:p>
            <w:pPr>
              <w:jc w:val="left"/>
            </w:pPr>
            <w:r>
              <w:rPr>
                <w:b w:val="0"/>
                <w:i w:val="0"/>
                <w:color w:val="1F5A5C"/>
                <w:sz w:val="19"/>
              </w:rPr>
              <w:t>•  Ties the permissions to what that job actually needs to do.</w:t>
            </w:r>
          </w:p>
          <w:p>
            <w:pPr>
              <w:jc w:val="left"/>
            </w:pPr>
            <w:r>
              <w:rPr>
                <w:b w:val="0"/>
                <w:i w:val="0"/>
                <w:color w:val="1F5A5C"/>
                <w:sz w:val="19"/>
              </w:rPr>
              <w:t>•  Contrasts it with another group and explains the boundary — e.g. YAT ICT operate the platform but do not change IAM, because that is a security boundary.</w:t>
            </w:r>
          </w:p>
        </w:tc>
      </w:tr>
    </w:tbl>
    <w:p/>
    <w:p>
      <w:pPr>
        <w:spacing w:before="200" w:after="0"/>
      </w:pPr>
      <w:r>
        <w:rPr>
          <w:b/>
          <w:color w:val="1F5A5C"/>
          <w:sz w:val="16"/>
        </w:rPr>
        <w:t>QUESTION 5</w:t>
      </w:r>
    </w:p>
    <w:p>
      <w:pPr>
        <w:pStyle w:val="Heading2"/>
      </w:pPr>
      <w:r>
        <w:t>The yat-lms-db-sg security group you created in task 7 per...</w:t>
      </w:r>
    </w:p>
    <w:p>
      <w:pPr>
        <w:spacing w:after="80"/>
      </w:pPr>
      <w:r>
        <w:rPr>
          <w:b w:val="0"/>
          <w:i/>
          <w:color w:val="6B6660"/>
          <w:sz w:val="18"/>
        </w:rPr>
        <w:t>Evidences: [ICTCLD401 KE 9]</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45">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States the rule as built: inbound MySQL on 3306, source yat-lms-app-sg — the application tier's security group, not an address range and not the internet.</w:t>
            </w:r>
          </w:p>
          <w:p>
            <w:pPr>
              <w:jc w:val="left"/>
            </w:pPr>
            <w:r>
              <w:rPr>
                <w:b w:val="0"/>
                <w:i w:val="0"/>
                <w:color w:val="1F5A5C"/>
                <w:sz w:val="19"/>
              </w:rPr>
              <w:t>•  Explains the restriction: only the application tier has any business reaching the database. Naming a security group as the source rather than an address range means the rule follows the instances, however many the Auto Scaling group launches and whatever addresses they get.</w:t>
            </w:r>
          </w:p>
          <w:p>
            <w:pPr>
              <w:jc w:val="left"/>
            </w:pPr>
            <w:r>
              <w:rPr>
                <w:b w:val="0"/>
                <w:i w:val="0"/>
                <w:color w:val="1F5A5C"/>
                <w:sz w:val="19"/>
              </w:rPr>
              <w:t>•  Names a concrete risk grounded in what the database holds — the ~50 GB of student personal information in § 4 of the specification (names, dates of birth, USIs, enrolment and fee status, assessment results) becomes reachable from the internet and the database engine can be attacked directly for credentials. YAT carries Privacy Act and APP obligations over that data.</w:t>
            </w:r>
          </w:p>
          <w:p>
            <w:pPr>
              <w:jc w:val="left"/>
            </w:pPr>
            <w:r>
              <w:rPr>
                <w:b w:val="0"/>
                <w:i w:val="0"/>
                <w:color w:val="1F5A5C"/>
                <w:sz w:val="19"/>
              </w:rPr>
              <w:t>•  A student who says only that it would be "less secure" has not evidenced this.</w:t>
            </w:r>
          </w:p>
        </w:tc>
      </w:tr>
    </w:tbl>
    <w:p/>
    <w:p>
      <w:pPr>
        <w:spacing w:before="200" w:after="0"/>
      </w:pPr>
      <w:r>
        <w:rPr>
          <w:b/>
          <w:color w:val="1F5A5C"/>
          <w:sz w:val="16"/>
        </w:rPr>
        <w:t>QUESTION 6</w:t>
      </w:r>
    </w:p>
    <w:p>
      <w:pPr>
        <w:pStyle w:val="Heading2"/>
      </w:pPr>
      <w:r>
        <w:t>When a YAT staff member types the LMS address into their b...</w:t>
      </w:r>
    </w:p>
    <w:p>
      <w:pPr>
        <w:spacing w:after="80"/>
      </w:pPr>
      <w:r>
        <w:rPr>
          <w:b w:val="0"/>
          <w:i/>
          <w:color w:val="6B6660"/>
          <w:sz w:val="18"/>
        </w:rPr>
        <w:t>Evidences: [ICTCLD401 KE 10]</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browser connects to an address, not a name — DNS is the translation step.</w:t>
            </w:r>
          </w:p>
          <w:p>
            <w:pPr>
              <w:jc w:val="left"/>
            </w:pPr>
            <w:r>
              <w:rPr>
                <w:b w:val="0"/>
                <w:i w:val="0"/>
                <w:color w:val="1F5A5C"/>
                <w:sz w:val="19"/>
              </w:rPr>
              <w:t>•  In this deployment the name resolves to the load balancer.</w:t>
            </w:r>
          </w:p>
          <w:p>
            <w:pPr>
              <w:jc w:val="left"/>
            </w:pPr>
            <w:r>
              <w:rPr>
                <w:b w:val="0"/>
                <w:i w:val="0"/>
                <w:color w:val="1F5A5C"/>
                <w:sz w:val="19"/>
              </w:rPr>
              <w:t>•  The load balancer's addresses change, which is why the name points at it rather than at a server.</w:t>
            </w:r>
          </w:p>
          <w:p>
            <w:pPr>
              <w:jc w:val="left"/>
            </w:pPr>
            <w:r>
              <w:rPr>
                <w:b w:val="0"/>
                <w:i w:val="0"/>
                <w:color w:val="1F5A5C"/>
                <w:sz w:val="19"/>
              </w:rPr>
              <w:t>•  If misconfigured, staff cannot reach the LMS even though every server is running.</w:t>
            </w:r>
          </w:p>
        </w:tc>
      </w:tr>
    </w:tbl>
    <w:p/>
    <w:p>
      <w:pPr>
        <w:pStyle w:val="Heading1"/>
      </w:pPr>
      <w:r>
        <w:t>Handover</w:t>
      </w:r>
    </w:p>
    <w:p>
      <w:pPr>
        <w:pStyle w:val="Heading2"/>
      </w:pPr>
      <w:r>
        <w:t>File the completed run sheet</w:t>
      </w:r>
    </w:p>
    <w:p>
      <w:pPr>
        <w:spacing w:after="80"/>
      </w:pPr>
      <w:r>
        <w:rPr>
          <w:b w:val="0"/>
          <w:i/>
          <w:color w:val="6B6660"/>
          <w:sz w:val="18"/>
        </w:rPr>
        <w:t>Evidences: [ICTCLD401 PC 4.3]</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report was filed in, not a general intention.</w:t>
            </w:r>
          </w:p>
          <w:p>
            <w:pPr>
              <w:jc w:val="left"/>
            </w:pPr>
            <w:r>
              <w:rPr>
                <w:b w:val="0"/>
                <w:i w:val="0"/>
                <w:color w:val="1F5A5C"/>
                <w:sz w:val="19"/>
              </w:rPr>
              <w:t>•  Names the YAT policy that governs it — the Records Management Policy, or the Backup and Retention Policy.</w:t>
            </w:r>
          </w:p>
          <w:p>
            <w:pPr>
              <w:jc w:val="left"/>
            </w:pPr>
            <w:r>
              <w:rPr>
                <w:b w:val="0"/>
                <w:i w:val="0"/>
                <w:color w:val="1F5A5C"/>
                <w:sz w:val="19"/>
              </w:rPr>
              <w:t>•  A student who says only "I would file it appropriately" has not evidenced this.</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AT2 claims to evidence is named below with the marking criterion that evidences it, and each run-sheet task carries its own Evidences line where the work is done.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1.1] Discuss and compare different cloud computing solutions, models and services</w:t>
            </w:r>
          </w:p>
        </w:tc>
        <w:tc>
          <w:tcPr>
            <w:tcW w:type="dxa" w:w="5233"/>
          </w:tcPr>
          <w:p>
            <w:r>
              <w:t>A7</w:t>
            </w:r>
          </w:p>
        </w:tc>
      </w:tr>
      <w:tr>
        <w:tc>
          <w:tcPr>
            <w:tcW w:type="dxa" w:w="5233"/>
          </w:tcPr>
          <w:p>
            <w:r>
              <w:t>[ICTCLD401 PC 1.2] Identify impact of shared security responsibility models</w:t>
            </w:r>
          </w:p>
        </w:tc>
        <w:tc>
          <w:tcPr>
            <w:tcW w:type="dxa" w:w="5233"/>
          </w:tcPr>
          <w:p>
            <w:r>
              <w:t>A6</w:t>
            </w:r>
          </w:p>
        </w:tc>
      </w:tr>
      <w:tr>
        <w:tc>
          <w:tcPr>
            <w:tcW w:type="dxa" w:w="5233"/>
          </w:tcPr>
          <w:p>
            <w:r>
              <w:t>[ICTCLD401 PC 1.3] Select best cloud computing solution and service</w:t>
            </w:r>
          </w:p>
        </w:tc>
        <w:tc>
          <w:tcPr>
            <w:tcW w:type="dxa" w:w="5233"/>
          </w:tcPr>
          <w:p>
            <w:r>
              <w:t>A7</w:t>
            </w:r>
          </w:p>
        </w:tc>
      </w:tr>
      <w:tr>
        <w:tc>
          <w:tcPr>
            <w:tcW w:type="dxa" w:w="5233"/>
          </w:tcPr>
          <w:p>
            <w:r>
              <w:t>[ICTCLD401 PC 1.4] Access account on cloud platform</w:t>
            </w:r>
          </w:p>
        </w:tc>
        <w:tc>
          <w:tcPr>
            <w:tcW w:type="dxa" w:w="5233"/>
          </w:tcPr>
          <w:p>
            <w:r>
              <w:t>A2</w:t>
            </w:r>
          </w:p>
        </w:tc>
      </w:tr>
      <w:tr>
        <w:tc>
          <w:tcPr>
            <w:tcW w:type="dxa" w:w="5233"/>
          </w:tcPr>
          <w:p>
            <w:r>
              <w:t>[ICTCLD401 PC 1.5] Identify user access protocols and policies</w:t>
            </w:r>
          </w:p>
        </w:tc>
        <w:tc>
          <w:tcPr>
            <w:tcW w:type="dxa" w:w="5233"/>
          </w:tcPr>
          <w:p>
            <w:r>
              <w:t>A2</w:t>
            </w:r>
          </w:p>
        </w:tc>
      </w:tr>
      <w:tr>
        <w:tc>
          <w:tcPr>
            <w:tcW w:type="dxa" w:w="5233"/>
          </w:tcPr>
          <w:p>
            <w:r>
              <w:t>[ICTCLD401 PC 1.6] Configure access functions within cloud environment</w:t>
            </w:r>
          </w:p>
        </w:tc>
        <w:tc>
          <w:tcPr>
            <w:tcW w:type="dxa" w:w="5233"/>
          </w:tcPr>
          <w:p>
            <w:r>
              <w:t>A2</w:t>
            </w:r>
          </w:p>
        </w:tc>
      </w:tr>
      <w:tr>
        <w:tc>
          <w:tcPr>
            <w:tcW w:type="dxa" w:w="5233"/>
          </w:tcPr>
          <w:p>
            <w:r>
              <w:t>[ICTCLD401 PC 1.7] Identify and assign security responsibilities</w:t>
            </w:r>
          </w:p>
        </w:tc>
        <w:tc>
          <w:tcPr>
            <w:tcW w:type="dxa" w:w="5233"/>
          </w:tcPr>
          <w:p>
            <w:r>
              <w:t>A1</w:t>
            </w:r>
          </w:p>
        </w:tc>
      </w:tr>
      <w:tr>
        <w:tc>
          <w:tcPr>
            <w:tcW w:type="dxa" w:w="5233"/>
          </w:tcPr>
          <w:p>
            <w:r>
              <w:t>[ICTCLD401 PC 2.1] Create users and groups</w:t>
            </w:r>
          </w:p>
        </w:tc>
        <w:tc>
          <w:tcPr>
            <w:tcW w:type="dxa" w:w="5233"/>
          </w:tcPr>
          <w:p>
            <w:r>
              <w:t>A2</w:t>
            </w:r>
          </w:p>
        </w:tc>
      </w:tr>
      <w:tr>
        <w:tc>
          <w:tcPr>
            <w:tcW w:type="dxa" w:w="5233"/>
          </w:tcPr>
          <w:p>
            <w:r>
              <w:t>[ICTCLD401 PC 2.2] Create virtual multi-tier network</w:t>
            </w:r>
          </w:p>
        </w:tc>
        <w:tc>
          <w:tcPr>
            <w:tcW w:type="dxa" w:w="5233"/>
          </w:tcPr>
          <w:p>
            <w:r>
              <w:t>A1</w:t>
            </w:r>
          </w:p>
        </w:tc>
      </w:tr>
      <w:tr>
        <w:tc>
          <w:tcPr>
            <w:tcW w:type="dxa" w:w="5233"/>
          </w:tcPr>
          <w:p>
            <w:r>
              <w:t>[ICTCLD401 PC 2.3] Create virtual machine</w:t>
            </w:r>
          </w:p>
        </w:tc>
        <w:tc>
          <w:tcPr>
            <w:tcW w:type="dxa" w:w="5233"/>
          </w:tcPr>
          <w:p>
            <w:r>
              <w:t>A3</w:t>
            </w:r>
          </w:p>
        </w:tc>
      </w:tr>
      <w:tr>
        <w:tc>
          <w:tcPr>
            <w:tcW w:type="dxa" w:w="5233"/>
          </w:tcPr>
          <w:p>
            <w:r>
              <w:t>[ICTCLD401 PC 2.4] Define, add and expand storage</w:t>
            </w:r>
          </w:p>
        </w:tc>
        <w:tc>
          <w:tcPr>
            <w:tcW w:type="dxa" w:w="5233"/>
          </w:tcPr>
          <w:p>
            <w:r>
              <w:t>A3</w:t>
            </w:r>
          </w:p>
        </w:tc>
      </w:tr>
      <w:tr>
        <w:tc>
          <w:tcPr>
            <w:tcW w:type="dxa" w:w="5233"/>
          </w:tcPr>
          <w:p>
            <w:r>
              <w:t>[ICTCLD401 PC 2.5] Deploy a managed database</w:t>
            </w:r>
          </w:p>
        </w:tc>
        <w:tc>
          <w:tcPr>
            <w:tcW w:type="dxa" w:w="5233"/>
          </w:tcPr>
          <w:p>
            <w:r>
              <w:t>A4</w:t>
            </w:r>
          </w:p>
        </w:tc>
      </w:tr>
      <w:tr>
        <w:tc>
          <w:tcPr>
            <w:tcW w:type="dxa" w:w="5233"/>
          </w:tcPr>
          <w:p>
            <w:r>
              <w:t>[ICTCLD401 PC 2.6] Test external network access</w:t>
            </w:r>
          </w:p>
        </w:tc>
        <w:tc>
          <w:tcPr>
            <w:tcW w:type="dxa" w:w="5233"/>
          </w:tcPr>
          <w:p>
            <w:r>
              <w:t>A8</w:t>
            </w:r>
          </w:p>
        </w:tc>
      </w:tr>
      <w:tr>
        <w:tc>
          <w:tcPr>
            <w:tcW w:type="dxa" w:w="5233"/>
          </w:tcPr>
          <w:p>
            <w:r>
              <w:t>[ICTCLD401 PC 3.1] Configure and apply autoscaling</w:t>
            </w:r>
          </w:p>
        </w:tc>
        <w:tc>
          <w:tcPr>
            <w:tcW w:type="dxa" w:w="5233"/>
          </w:tcPr>
          <w:p>
            <w:r>
              <w:t>A3</w:t>
            </w:r>
          </w:p>
        </w:tc>
      </w:tr>
      <w:tr>
        <w:tc>
          <w:tcPr>
            <w:tcW w:type="dxa" w:w="5233"/>
          </w:tcPr>
          <w:p>
            <w:r>
              <w:t>[ICTCLD401 PC 3.2] Test automatic scaling</w:t>
            </w:r>
          </w:p>
        </w:tc>
        <w:tc>
          <w:tcPr>
            <w:tcW w:type="dxa" w:w="5233"/>
          </w:tcPr>
          <w:p>
            <w:r>
              <w:t>A8</w:t>
            </w:r>
          </w:p>
        </w:tc>
      </w:tr>
      <w:tr>
        <w:tc>
          <w:tcPr>
            <w:tcW w:type="dxa" w:w="5233"/>
          </w:tcPr>
          <w:p>
            <w:r>
              <w:t>[ICTCLD401 PC 4.3] Save and store user documentation per organisational policies</w:t>
            </w:r>
          </w:p>
        </w:tc>
        <w:tc>
          <w:tcPr>
            <w:tcW w:type="dxa" w:w="5233"/>
          </w:tcPr>
          <w:p>
            <w:r>
              <w:t>A10</w:t>
            </w:r>
          </w:p>
        </w:tc>
      </w:tr>
      <w:tr>
        <w:tc>
          <w:tcPr>
            <w:tcW w:type="dxa" w:w="5233"/>
          </w:tcPr>
          <w:p>
            <w:r>
              <w:t>[ICTCLD401 PE 1] Build at least one simple virtual network capable of supporting a workload</w:t>
            </w:r>
          </w:p>
        </w:tc>
        <w:tc>
          <w:tcPr>
            <w:tcW w:type="dxa" w:w="5233"/>
          </w:tcPr>
          <w:p>
            <w:r>
              <w:t>A1</w:t>
            </w:r>
          </w:p>
        </w:tc>
      </w:tr>
      <w:tr>
        <w:tc>
          <w:tcPr>
            <w:tcW w:type="dxa" w:w="5233"/>
          </w:tcPr>
          <w:p>
            <w:r>
              <w:t>[ICTCLD401 PE 2] Configure compute, storage, database and autoscaling resources within virtual network</w:t>
            </w:r>
          </w:p>
        </w:tc>
        <w:tc>
          <w:tcPr>
            <w:tcW w:type="dxa" w:w="5233"/>
          </w:tcPr>
          <w:p>
            <w:r>
              <w:t>A3 · A4</w:t>
            </w:r>
          </w:p>
        </w:tc>
      </w:tr>
      <w:tr>
        <w:tc>
          <w:tcPr>
            <w:tcW w:type="dxa" w:w="5233"/>
          </w:tcPr>
          <w:p>
            <w:r>
              <w:t>[ICTCLD401 PE 3] Conduct simple tests to confirm access to resources</w:t>
            </w:r>
          </w:p>
        </w:tc>
        <w:tc>
          <w:tcPr>
            <w:tcW w:type="dxa" w:w="5233"/>
          </w:tcPr>
          <w:p>
            <w:r>
              <w:t>A8</w:t>
            </w:r>
          </w:p>
        </w:tc>
      </w:tr>
      <w:tr>
        <w:tc>
          <w:tcPr>
            <w:tcW w:type="dxa" w:w="5233"/>
          </w:tcPr>
          <w:p>
            <w:r>
              <w:t>[ICTCLD401 KE 5] VM/networking/scaling features (VM sizing, load balancing, autoscaling, monitoring, storage backups, virtual networks/traffic routing)</w:t>
            </w:r>
          </w:p>
        </w:tc>
        <w:tc>
          <w:tcPr>
            <w:tcW w:type="dxa" w:w="5233"/>
          </w:tcPr>
          <w:p>
            <w:r>
              <w:t>A9 (Q1)</w:t>
            </w:r>
          </w:p>
        </w:tc>
      </w:tr>
      <w:tr>
        <w:tc>
          <w:tcPr>
            <w:tcW w:type="dxa" w:w="5233"/>
          </w:tcPr>
          <w:p>
            <w:r>
              <w:t>[ICTCLD401 KE 6] Vertical vs horizontal scaling; VM vs physical; RDBMS/DW/NoSQL; self-hosted vs managed vs cloud-native DB; storage options (block/object/archive/network filesystems)</w:t>
            </w:r>
          </w:p>
        </w:tc>
        <w:tc>
          <w:tcPr>
            <w:tcW w:type="dxa" w:w="5233"/>
          </w:tcPr>
          <w:p>
            <w:r>
              <w:t>A9 (Q2)</w:t>
            </w:r>
          </w:p>
        </w:tc>
      </w:tr>
      <w:tr>
        <w:tc>
          <w:tcPr>
            <w:tcW w:type="dxa" w:w="5233"/>
          </w:tcPr>
          <w:p>
            <w:r>
              <w:t>[ICTCLD401 KE 7] User, business and vendor responsibilities according to shared security responsibility models</w:t>
            </w:r>
          </w:p>
        </w:tc>
        <w:tc>
          <w:tcPr>
            <w:tcW w:type="dxa" w:w="5233"/>
          </w:tcPr>
          <w:p>
            <w:r>
              <w:t>A9 (Q3)</w:t>
            </w:r>
          </w:p>
        </w:tc>
      </w:tr>
      <w:tr>
        <w:tc>
          <w:tcPr>
            <w:tcW w:type="dxa" w:w="5233"/>
          </w:tcPr>
          <w:p>
            <w:r>
              <w:t>[ICTCLD401 KE 8] User access protocols and policies according to organisation hierarchy and job function</w:t>
            </w:r>
          </w:p>
        </w:tc>
        <w:tc>
          <w:tcPr>
            <w:tcW w:type="dxa" w:w="5233"/>
          </w:tcPr>
          <w:p>
            <w:r>
              <w:t>A9 (Q4)</w:t>
            </w:r>
          </w:p>
        </w:tc>
      </w:tr>
      <w:tr>
        <w:tc>
          <w:tcPr>
            <w:tcW w:type="dxa" w:w="5233"/>
          </w:tcPr>
          <w:p>
            <w:r>
              <w:t>[ICTCLD401 KE 9] Security policies, protocols and mechanisms as they relate to cloud (network traffic limits + security responsibilities per work function/user access)</w:t>
            </w:r>
          </w:p>
        </w:tc>
        <w:tc>
          <w:tcPr>
            <w:tcW w:type="dxa" w:w="5233"/>
          </w:tcPr>
          <w:p>
            <w:r>
              <w:t>A9 (Q5)</w:t>
            </w:r>
          </w:p>
        </w:tc>
      </w:tr>
      <w:tr>
        <w:tc>
          <w:tcPr>
            <w:tcW w:type="dxa" w:w="5233"/>
          </w:tcPr>
          <w:p>
            <w:r>
              <w:t>[ICTCLD401 KE 10] Purpose of DNS for connecting remote servers when web browsing</w:t>
            </w:r>
          </w:p>
        </w:tc>
        <w:tc>
          <w:tcPr>
            <w:tcW w:type="dxa" w:w="5233"/>
          </w:tcPr>
          <w:p>
            <w:r>
              <w:t>A9 (Q6)</w:t>
            </w:r>
          </w:p>
        </w:tc>
      </w:tr>
      <w:tr>
        <w:tc>
          <w:tcPr>
            <w:tcW w:type="dxa" w:w="5233"/>
          </w:tcPr>
          <w:p>
            <w:r>
              <w:t>[ICTCLD401 FS Reading]</w:t>
            </w:r>
          </w:p>
        </w:tc>
        <w:tc>
          <w:tcPr>
            <w:tcW w:type="dxa" w:w="5233"/>
          </w:tcPr>
          <w:p>
            <w:r>
              <w:t>A9</w:t>
            </w:r>
          </w:p>
        </w:tc>
      </w:tr>
      <w:tr>
        <w:tc>
          <w:tcPr>
            <w:tcW w:type="dxa" w:w="5233"/>
          </w:tcPr>
          <w:p>
            <w:r>
              <w:t>[ICTCLD401 FS Writing]</w:t>
            </w:r>
          </w:p>
        </w:tc>
        <w:tc>
          <w:tcPr>
            <w:tcW w:type="dxa" w:w="5233"/>
          </w:tcPr>
          <w:p>
            <w:r>
              <w:t>A9</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1.3] Identify level of shared security responsibility models according to business needs</w:t>
            </w:r>
          </w:p>
        </w:tc>
        <w:tc>
          <w:tcPr>
            <w:tcW w:type="dxa" w:w="5233"/>
          </w:tcPr>
          <w:p>
            <w:r>
              <w:t>A1</w:t>
            </w:r>
          </w:p>
        </w:tc>
      </w:tr>
      <w:tr>
        <w:tc>
          <w:tcPr>
            <w:tcW w:type="dxa" w:w="5233"/>
          </w:tcPr>
          <w:p>
            <w:r>
              <w:t>[ICTCLD502 PC 4.1] Implement architecture design in cloud environment</w:t>
            </w:r>
          </w:p>
        </w:tc>
        <w:tc>
          <w:tcPr>
            <w:tcW w:type="dxa" w:w="5233"/>
          </w:tcPr>
          <w:p>
            <w:r>
              <w:t>A3</w:t>
            </w:r>
          </w:p>
        </w:tc>
      </w:tr>
      <w:tr>
        <w:tc>
          <w:tcPr>
            <w:tcW w:type="dxa" w:w="5233"/>
          </w:tcPr>
          <w:p>
            <w:r>
              <w:t>[ICTCLD502 PC 4.2] Demonstrate connectivity between resources at all tiers</w:t>
            </w:r>
          </w:p>
        </w:tc>
        <w:tc>
          <w:tcPr>
            <w:tcW w:type="dxa" w:w="5233"/>
          </w:tcPr>
          <w:p>
            <w:r>
              <w:t>A8</w:t>
            </w:r>
          </w:p>
        </w:tc>
      </w:tr>
      <w:tr>
        <w:tc>
          <w:tcPr>
            <w:tcW w:type="dxa" w:w="5233"/>
          </w:tcPr>
          <w:p>
            <w:r>
              <w:t>[ICTCLD502 PC 4.3] Monitor and measure availability of resources</w:t>
            </w:r>
          </w:p>
        </w:tc>
        <w:tc>
          <w:tcPr>
            <w:tcW w:type="dxa" w:w="5233"/>
          </w:tcPr>
          <w:p>
            <w:r>
              <w:t>A5</w:t>
            </w:r>
          </w:p>
        </w:tc>
      </w:tr>
      <w:tr>
        <w:tc>
          <w:tcPr>
            <w:tcW w:type="dxa" w:w="5233"/>
          </w:tcPr>
          <w:p>
            <w:r>
              <w:t>[ICTCLD502 FS Reading]</w:t>
            </w:r>
          </w:p>
        </w:tc>
        <w:tc>
          <w:tcPr>
            <w:tcW w:type="dxa" w:w="5233"/>
          </w:tcPr>
          <w:p>
            <w:r>
              <w:t>A1</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 — RDP for Windows EC2 instances)</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hyperlink" Target="https://yat.timbaird.com/intranet/s1-cl1-at2/projects/lms-cloud-infrastructure/cloud-architecture-baseline" TargetMode="External"/><Relationship Id="rId44" Type="http://schemas.openxmlformats.org/officeDocument/2006/relationships/hyperlink" Target="https://yat.timbaird.com/intranet/s1-cl1-at2/policies/user-access" TargetMode="External"/><Relationship Id="rId45"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