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ICT50220 Diploma of Information Technology</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ICTICT517 Match ICT needs with the strategic direction of the organisation</w:t>
            </w:r>
          </w:p>
          <w:p>
            <w:pPr/>
            <w:r>
              <w:t>ICTCLD401 Configure cloud services</w:t>
            </w:r>
          </w:p>
          <w:p>
            <w:pPr/>
            <w:r>
              <w:t>ICTCLD502 Design and implement highly-available cloud infrastructure</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AT2 — Cloud Foundation Build: YAT LMS Migration</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t>2 of 3</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spacing w:after="160"/>
            </w:pPr>
            <w:r>
              <w:t>You are assessed on building a cloud platform for the YAT LMS migration, following the build run sheet in the second half of this document, and on the evidence and answers you record in it as you go.</w:t>
            </w:r>
          </w:p>
          <w:p>
            <w:pPr>
              <w:pStyle w:val="Assessortext"/>
              <w:spacing w:after="160"/>
            </w:pPr>
            <w:r>
              <w:t>This is an open-book practical assessment. You may use the YAT intranet, the AWS Academy lab environment, AWS documentation and course materials throughout.</w:t>
            </w:r>
          </w:p>
          <w:p>
            <w:pPr>
              <w:pStyle w:val="Assessortext"/>
              <w:spacing w:after="160"/>
            </w:pPr>
            <w:r>
              <w:t>AT2 is the second of three assessment tasks in the S1-CL1 Cloud Design and Build cluster. It follows AT1 (the Business Case engagement) and feeds into AT3 (high-availability hardening). You continue in the same MTS consultant role across all three.</w:t>
            </w:r>
          </w:p>
          <w:p>
            <w:pPr>
              <w:pStyle w:val="Assessortext"/>
              <w:spacing w:after="160"/>
            </w:pPr>
            <w:r>
              <w:t>Submission: this document, completed — every screenshot box filled and every question answered — submitted via the LMS.</w:t>
            </w:r>
          </w:p>
          <w:p>
            <w:pPr>
              <w:pStyle w:val="Assessortext"/>
              <w:spacing w:after="160"/>
            </w:pPr>
            <w:r>
              <w:t>The assessment will not proceed if for any reason it is not safe to do so. The assessor must advise you of the reason for suspending the assessment, what safety action should be taken, and of revised arrangements when it is safe to resume.</w:t>
            </w:r>
          </w:p>
          <w:p>
            <w:pPr>
              <w:pStyle w:val="Assessortext"/>
              <w:spacing w:after="160"/>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spacing w:after="160"/>
            </w:pPr>
            <w:r>
              <w:t>Following the YAT board's approval of your action plan in AT1, MTS Senior Architecture worked with YAT IT to turn that direction into a cloud architecture design, and an MTS implementation lead turned the design into a build run sheet for the engagement.</w:t>
            </w:r>
          </w:p>
          <w:p>
            <w:pPr>
              <w:pStyle w:val="Assessortext"/>
              <w:spacing w:after="160"/>
            </w:pPr>
            <w:r>
              <w:t>You are the implementer. Your work has three parts, all recorded in this one document:</w:t>
            </w:r>
          </w:p>
          <w:p>
            <w:pPr>
              <w:pStyle w:val="Assessortext"/>
              <w:spacing w:after="80"/>
              <w:ind w:left="280"/>
            </w:pPr>
            <w:r>
              <w:t>• Work through the build run sheet, creating each piece of the platform to the settings given, and paste the screenshot each task asks for into the box provided.</w:t>
            </w:r>
          </w:p>
          <w:p>
            <w:pPr>
              <w:pStyle w:val="Assessortext"/>
              <w:spacing w:after="80"/>
              <w:ind w:left="280"/>
            </w:pPr>
            <w:r>
              <w:t>• Run the five tests and paste in what each one returned.</w:t>
            </w:r>
          </w:p>
          <w:p>
            <w:pPr>
              <w:pStyle w:val="Assessortext"/>
              <w:spacing w:after="80"/>
              <w:ind w:left="280"/>
            </w:pPr>
            <w:r>
              <w:t>• Answer the six knowledge questions about the platform you built, then record where you filed the completed document.</w:t>
            </w:r>
          </w:p>
          <w:p>
            <w:pPr>
              <w:pStyle w:val="Assessortext"/>
              <w:spacing w:after="160"/>
            </w:pPr>
            <w:r>
              <w:t>This phase is the foundation build only. The platform is deliberately single-zone at this stage — high-availability hardening is the next phase and is out of scope here.</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spacing w:after="80" w:before="160"/>
            </w:pPr>
            <w:r>
              <w:rPr>
                <w:b/>
              </w:rPr>
              <w:t>Provided to you</w:t>
            </w:r>
          </w:p>
          <w:p>
            <w:pPr>
              <w:pStyle w:val="Assessortext"/>
              <w:spacing w:after="80"/>
              <w:ind w:left="280"/>
            </w:pPr>
            <w:r>
              <w:t>• This document, containing the build run sheet you work through</w:t>
            </w:r>
          </w:p>
          <w:p>
            <w:pPr>
              <w:pStyle w:val="Assessortext"/>
              <w:spacing w:after="80"/>
              <w:ind w:left="280"/>
            </w:pPr>
            <w:r>
              <w:t>• LMS Application Specification (on the YAT intranet) — the workload your two sizing decisions are justified against</w:t>
            </w:r>
          </w:p>
          <w:p>
            <w:pPr>
              <w:pStyle w:val="Assessortext"/>
              <w:spacing w:after="80"/>
              <w:ind w:left="280"/>
            </w:pPr>
            <w:r>
              <w:t>• Records Management Policy (on the YAT intranet) — where a completed engagement document has to be filed</w:t>
            </w:r>
          </w:p>
          <w:p>
            <w:pPr>
              <w:pStyle w:val="Assessortext"/>
              <w:spacing w:after="80" w:before="160"/>
            </w:pPr>
            <w:r>
              <w:rPr>
                <w:b/>
              </w:rPr>
              <w:t>Provided externally</w:t>
            </w:r>
          </w:p>
          <w:p>
            <w:pPr>
              <w:pStyle w:val="Assessortext"/>
              <w:spacing w:after="80"/>
              <w:ind w:left="280"/>
            </w:pPr>
            <w:r>
              <w:t>• AWS Academy lab access</w:t>
            </w:r>
          </w:p>
          <w:p>
            <w:pPr>
              <w:pStyle w:val="Assessortext"/>
              <w:spacing w:after="80" w:before="160"/>
            </w:pPr>
            <w:r>
              <w:rPr>
                <w:b/>
              </w:rPr>
              <w:t>You supply</w:t>
            </w:r>
          </w:p>
          <w:p>
            <w:pPr>
              <w:pStyle w:val="Assessortext"/>
              <w:spacing w:after="80"/>
              <w:ind w:left="280"/>
            </w:pPr>
            <w:r>
              <w:t>• Computer with a web browser</w:t>
            </w:r>
          </w:p>
          <w:p>
            <w:pPr>
              <w:pStyle w:val="Assessortext"/>
              <w:spacing w:after="80"/>
              <w:ind w:left="280"/>
            </w:pPr>
            <w:r>
              <w:t>• Word-processing software (Microsoft Word or equivalent)</w:t>
            </w:r>
          </w:p>
          <w:p>
            <w:pPr>
              <w:pStyle w:val="Assessortext"/>
              <w:spacing w:after="80"/>
              <w:ind w:left="280"/>
            </w:pPr>
            <w:r>
              <w:t>• 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pPr>
              <w:spacing w:after="160"/>
            </w:pPr>
            <w:r>
              <w:t>To receive a Satisfactory result for AT2 you must:</w:t>
            </w:r>
          </w:p>
          <w:p>
            <w:pPr>
              <w:spacing w:after="80"/>
              <w:ind w:left="280"/>
            </w:pPr>
            <w:r>
              <w:t>• Achieve Satisfactory on every criterion in the Assessment Criteria table (below)</w:t>
            </w:r>
          </w:p>
          <w:p>
            <w:pPr>
              <w:spacing w:after="80"/>
              <w:ind w:left="280"/>
            </w:pPr>
            <w:r>
              <w:t>• Complete every task in the run sheet, with the screenshot each one asks for</w:t>
            </w:r>
          </w:p>
          <w:p>
            <w:pPr>
              <w:spacing w:after="80"/>
              <w:ind w:left="280"/>
            </w:pPr>
            <w:r>
              <w:t>• Run all five tests and record what each returned</w:t>
            </w:r>
          </w:p>
          <w:p>
            <w:pPr>
              <w:spacing w:after="80"/>
              <w:ind w:left="280"/>
            </w:pPr>
            <w:r>
              <w:t>• Answer all six knowledge questions with reference to your own build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spacing w:after="160"/>
            </w:pPr>
            <w:r>
              <w:t>If you are deemed not satisfactory for this assessment, you will be given one (1) more attempt at this assessment (or part thereof),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r>
        <w:tc>
          <w:tcPr>
            <w:tcW w:type="dxa" w:w="2807"/>
          </w:tcPr>
          <w:p>
            <w:r>
              <w:rPr>
                <w:b/>
              </w:rPr>
              <w:t>How To Submit</w:t>
            </w:r>
          </w:p>
        </w:tc>
        <w:tc>
          <w:tcPr>
            <w:tcW w:type="dxa" w:w="7938"/>
          </w:tcPr>
          <w:p>
            <w:pPr>
              <w:spacing w:after="160"/>
            </w:pPr>
            <w:r>
              <w:t>Submit this completed document to the LMS by the due date. Everything is recorded in it — there are no separate files to submit.</w:t>
            </w:r>
          </w:p>
        </w:tc>
      </w:tr>
    </w:tbl>
    <w:p w14:paraId="56F88704" w14:textId="77777777" w:rsidR="00FE5400" w:rsidRPr="00C677AA" w:rsidRDefault="00FE5400" w:rsidP="00FE5400">
      <w:pPr>
        <w:pStyle w:val="NoSpacing"/>
        <w:rPr>
          <w:color w:val="4F81BD" w:themeColor="accent1"/>
        </w:rPr>
      </w:pP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 Network foundation (tasks 2-7) — you built the VPC, the five subnets across two zones, the internet and NAT gateways, the route tables, and the three security groups with the database reachable only from the application tier</w:t>
            </w:r>
          </w:p>
        </w:tc>
        <w:tc>
          <w:tcPr>
            <w:tcW w:type="dxa" w:w="1943"/>
          </w:tcPr>
          <w:p>
            <w:r>
              <w:t>☐ Yes  ☐ No</w:t>
            </w:r>
          </w:p>
        </w:tc>
      </w:tr>
      <w:tr>
        <w:tc>
          <w:tcPr>
            <w:tcW w:type="dxa" w:w="8797"/>
          </w:tcPr>
          <w:p>
            <w:r>
              <w:t>A2 - Identity and access (tasks 1, 8-9) — you accessed the platform, worked through the group and user creation and captured the result, and reviewed the role your servers use</w:t>
            </w:r>
          </w:p>
        </w:tc>
        <w:tc>
          <w:tcPr>
            <w:tcW w:type="dxa" w:w="1943"/>
          </w:tcPr>
          <w:p>
            <w:r>
              <w:t>☐ Yes  ☐ No</w:t>
            </w:r>
          </w:p>
        </w:tc>
      </w:tr>
      <w:tr>
        <w:tc>
          <w:tcPr>
            <w:tcW w:type="dxa" w:w="8797"/>
          </w:tcPr>
          <w:p>
            <w:r>
              <w:t>A3 - Compute and load balancing (tasks 10-13) — you created the launch template, the target group, the load balancer and the Auto Scaling group, and the group is attached to the target group</w:t>
            </w:r>
          </w:p>
        </w:tc>
        <w:tc>
          <w:tcPr>
            <w:tcW w:type="dxa" w:w="1943"/>
          </w:tcPr>
          <w:p>
            <w:r>
              <w:t>☐ Yes  ☐ No</w:t>
            </w:r>
          </w:p>
        </w:tc>
      </w:tr>
      <w:tr>
        <w:tc>
          <w:tcPr>
            <w:tcW w:type="dxa" w:w="8797"/>
          </w:tcPr>
          <w:p>
            <w:r>
              <w:t>A4 - Database (tasks 14-15) — you created the subnet group across two zones and deployed the database: single-zone, encrypted, not publicly accessible, and in the database security group</w:t>
            </w:r>
          </w:p>
        </w:tc>
        <w:tc>
          <w:tcPr>
            <w:tcW w:type="dxa" w:w="1943"/>
          </w:tcPr>
          <w:p>
            <w:r>
              <w:t>☐ Yes  ☐ No</w:t>
            </w:r>
          </w:p>
        </w:tc>
      </w:tr>
      <w:tr>
        <w:tc>
          <w:tcPr>
            <w:tcW w:type="dxa" w:w="8797"/>
          </w:tcPr>
          <w:p>
            <w:r>
              <w:t>A5 - Monitoring (task 16) — you created both alarms with the metrics and thresholds given</w:t>
            </w:r>
          </w:p>
        </w:tc>
        <w:tc>
          <w:tcPr>
            <w:tcW w:type="dxa" w:w="1943"/>
          </w:tcPr>
          <w:p>
            <w:r>
              <w:t>☐ Yes  ☐ No</w:t>
            </w:r>
          </w:p>
        </w:tc>
      </w:tr>
      <w:tr>
        <w:tc>
          <w:tcPr>
            <w:tcW w:type="dxa" w:w="8797"/>
          </w:tcPr>
          <w:p>
            <w:r>
              <w:t>A6 - Configuration decisions (tasks 10 and 15) — for each of the two decisions the run sheet leaves open, you named the option you did not choose, stated the one you did, and justified it against the YAT LMS workload</w:t>
            </w:r>
          </w:p>
        </w:tc>
        <w:tc>
          <w:tcPr>
            <w:tcW w:type="dxa" w:w="1943"/>
          </w:tcPr>
          <w:p>
            <w:r>
              <w:t>☐ Yes  ☐ No</w:t>
            </w:r>
          </w:p>
        </w:tc>
      </w:tr>
      <w:tr>
        <w:tc>
          <w:tcPr>
            <w:tcW w:type="dxa" w:w="8797"/>
          </w:tcPr>
          <w:p>
            <w:r>
              <w:t>A7 - Testing (tests 1-5) — you connected to the application server, reached the internet, the database and the load balancer, and demonstrated the Auto Scaling group scaling out and back in on its own. Each screenshot shows what its box asks for</w:t>
            </w:r>
          </w:p>
        </w:tc>
        <w:tc>
          <w:tcPr>
            <w:tcW w:type="dxa" w:w="1943"/>
          </w:tcPr>
          <w:p>
            <w:r>
              <w:t>☐ Yes  ☐ No</w:t>
            </w:r>
          </w:p>
        </w:tc>
      </w:tr>
      <w:tr>
        <w:tc>
          <w:tcPr>
            <w:tcW w:type="dxa" w:w="8797"/>
          </w:tcPr>
          <w:p>
            <w:r>
              <w:t>A8 - Knowledge questions (Q1-Q6) — you answered all six with reference to your own build, not in general terms, in clear written English</w:t>
            </w:r>
          </w:p>
        </w:tc>
        <w:tc>
          <w:tcPr>
            <w:tcW w:type="dxa" w:w="1943"/>
          </w:tcPr>
          <w:p>
            <w:r>
              <w:t>☐ Yes  ☐ No</w:t>
            </w:r>
          </w:p>
        </w:tc>
      </w:tr>
      <w:tr>
        <w:tc>
          <w:tcPr>
            <w:tcW w:type="dxa" w:w="8797"/>
          </w:tcPr>
          <w:p>
            <w:r>
              <w:t>A9 - Handover — you stated where you filed the completed document and which YAT policy required that location</w:t>
            </w:r>
          </w:p>
        </w:tc>
        <w:tc>
          <w:tcPr>
            <w:tcW w:type="dxa" w:w="1943"/>
          </w:tcPr>
          <w:p>
            <w:r>
              <w:t>☐ Yes  ☐ No</w:t>
            </w:r>
          </w:p>
        </w:tc>
      </w:tr>
    </w:tbl>
    <w:p w14:paraId="3274B3E2" w14:textId="77777777" w:rsidR="00C022D4" w:rsidRPr="00C022D4" w:rsidRDefault="00C022D4" w:rsidP="00C022D4">
      <w:pPr>
        <w:pStyle w:val="Assessortext"/>
      </w:pPr>
    </w:p>
    <w:bookmarkEnd w:id="5"/>
    <w:p w14:paraId="3B5466B7" w14:textId="77777777" w:rsidR="00FA41B0" w:rsidRPr="00FA41B0" w:rsidRDefault="00FA41B0" w:rsidP="00C022D4"/>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VPC details page, showing the name, the CIDR and both DNS settings enabled.</w:t>
            </w:r>
          </w:p>
        </w:tc>
      </w:tr>
    </w:tbl>
    <w:p/>
    <w:p>
      <w:pPr>
        <w:spacing w:before="200" w:after="0"/>
      </w:pPr>
      <w:r>
        <w:rPr>
          <w:b/>
          <w:color w:val="1F5A5C"/>
          <w:sz w:val="16"/>
        </w:rPr>
        <w:t>TASK 3</w:t>
      </w:r>
    </w:p>
    <w:p>
      <w:pPr>
        <w:pStyle w:val="Heading2"/>
      </w:pPr>
      <w:r>
        <w:t>Create the subnets</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target group summary, showing its protocol, port, VPC and health-check settings.</w:t>
            </w:r>
          </w:p>
        </w:tc>
      </w:tr>
    </w:tbl>
    <w:p/>
    <w:p>
      <w:pPr>
        <w:spacing w:before="200" w:after="0"/>
      </w:pPr>
      <w:r>
        <w:rPr>
          <w:b/>
          <w:color w:val="1F5A5C"/>
          <w:sz w:val="16"/>
        </w:rPr>
        <w:t>TASK 12</w:t>
      </w:r>
    </w:p>
    <w:p>
      <w:pPr>
        <w:pStyle w:val="Heading2"/>
      </w:pPr>
      <w:r>
        <w:t>Create the load balancer</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group summary, showing its VPC and both subnets.</w:t>
            </w:r>
          </w:p>
        </w:tc>
      </w:tr>
    </w:tbl>
    <w:p/>
    <w:p>
      <w:pPr>
        <w:spacing w:before="200" w:after="0"/>
      </w:pPr>
      <w:r>
        <w:rPr>
          <w:b/>
          <w:color w:val="1F5A5C"/>
          <w:sz w:val="16"/>
        </w:rPr>
        <w:t>TASK 15</w:t>
      </w:r>
    </w:p>
    <w:p>
      <w:pPr>
        <w:pStyle w:val="Heading2"/>
      </w:pPr>
      <w:r>
        <w:t>Deploy the database</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19">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2</w:t>
      </w:r>
    </w:p>
    <w:p>
      <w:pPr>
        <w:pStyle w:val="Heading2"/>
      </w:pPr>
      <w:r>
        <w:t>In your build: (a) why a managed database service rather t...</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19">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3</w:t>
      </w:r>
    </w:p>
    <w:p>
      <w:pPr>
        <w:pStyle w:val="Heading2"/>
      </w:pPr>
      <w:r>
        <w:t>Using your own environment, name two responsibilities that...</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4</w:t>
      </w:r>
    </w:p>
    <w:p>
      <w:pPr>
        <w:pStyle w:val="Heading2"/>
      </w:pPr>
      <w:r>
        <w:t>Pick one IAM group you created. Describe the permissions y...</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20">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5</w:t>
      </w:r>
    </w:p>
    <w:p>
      <w:pPr>
        <w:pStyle w:val="Heading2"/>
      </w:pPr>
      <w:r>
        <w:t>The yat-lms-db-sg security group you created in task 7 per...</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21">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QUESTION 6</w:t>
      </w:r>
    </w:p>
    <w:p>
      <w:pPr>
        <w:pStyle w:val="Heading2"/>
      </w:pPr>
      <w:r>
        <w:t>When a YAT staff member types the LMS address into their b...</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Handover</w:t>
      </w:r>
    </w:p>
    <w:p>
      <w:pPr>
        <w:pStyle w:val="Heading2"/>
      </w:pPr>
      <w:r>
        <w:t>File the completed run sheet</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hyperlink" Target="https://yat.timbaird.com/intranet/s1-cl1-at2/projects/lms-cloud-infrastructure/cloud-architecture-baseline" TargetMode="External"/><Relationship Id="rId20" Type="http://schemas.openxmlformats.org/officeDocument/2006/relationships/hyperlink" Target="https://yat.timbaird.com/intranet/s1-cl1-at2/policies/user-access" TargetMode="External"/><Relationship Id="rId21"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