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Lezione 3 · Soluzioni per il docente</w:t>
      </w:r>
    </w:p>
    <w:p>
      <w:r>
        <w:rPr>
          <w:color w:val="5F6B73"/>
          <w:sz w:val="24"/>
        </w:rPr>
        <w:t>Ricerca, fonti, immagini e licenze</w:t>
      </w:r>
    </w:p>
    <w:p>
      <w:pPr>
        <w:pStyle w:val="Heading1"/>
      </w:pPr>
      <w:r>
        <w:t>Scheda A</w:t>
      </w:r>
    </w:p>
    <w:p>
      <w:pPr>
        <w:pStyle w:val="Heading2"/>
      </w:pPr>
      <w:r>
        <w:t>Parte 0 – Browser e motori</w:t>
      </w:r>
    </w:p>
    <w:p>
      <w:r>
        <w:rPr/>
        <w:t xml:space="preserve">Browser = </w:t>
      </w:r>
      <w:r>
        <w:rPr>
          <w:b/>
        </w:rPr>
        <w:t>Chrome</w:t>
      </w:r>
      <w:r>
        <w:rPr/>
        <w:t xml:space="preserve"> (o Edge, Firefox, Safari). Motori di ricerca = </w:t>
      </w:r>
      <w:r>
        <w:rPr>
          <w:b/>
        </w:rPr>
        <w:t>Google</w:t>
      </w:r>
      <w:r>
        <w:rPr/>
        <w:t xml:space="preserve"> e </w:t>
      </w:r>
      <w:r>
        <w:rPr>
          <w:b/>
        </w:rPr>
        <w:t>Bing</w:t>
      </w:r>
      <w:r>
        <w:rPr/>
        <w:t xml:space="preserve"> (anche DuckDuckGo, Ecosia…). I risultati dei due motori di solito sono </w:t>
      </w:r>
      <w:r>
        <w:rPr>
          <w:b/>
        </w:rPr>
        <w:t>diversi</w:t>
      </w:r>
      <w:r>
        <w:rPr/>
        <w:t xml:space="preserve"> o in ordine diverso: è normale, ogni motore ha il suo modo di ordinare. Messaggio chiave: Chrome è il programma, Google è un sito dentro Chrome.</w:t>
      </w:r>
    </w:p>
    <w:p>
      <w:pPr>
        <w:pStyle w:val="Heading2"/>
      </w:pPr>
      <w:r>
        <w:t>Parte 1 – URL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969"/>
        <w:gridCol w:w="1701"/>
        <w:gridCol w:w="1587"/>
        <w:gridCol w:w="2608"/>
      </w:tblGrid>
      <w:tr>
        <w:trPr>
          <w:tblHeader w:val="true"/>
        </w:trPr>
        <w:tc>
          <w:tcPr>
            <w:tcW w:w="396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w="17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Dominio</w:t>
            </w:r>
          </w:p>
        </w:tc>
        <w:tc>
          <w:tcPr>
            <w:tcW w:w="158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Pagina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Di chi è</w:t>
            </w:r>
          </w:p>
        </w:tc>
      </w:tr>
      <w:t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https://europa.eu/youreurope/citizens/consumers/shopping/returns/index_it.htm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europa.eu</w:t>
            </w:r>
          </w:p>
        </w:tc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interna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Unione europea (portale La tua Europa)</w:t>
            </w:r>
          </w:p>
        </w:tc>
      </w:tr>
      <w:t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https://www.normattiva.it/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normattiva.it</w:t>
            </w:r>
          </w:p>
        </w:tc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home page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Stato italiano (banca dati ufficiale delle leggi)</w:t>
            </w:r>
          </w:p>
        </w:tc>
      </w:tr>
      <w:t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https://www.officina23.example/servizi/noleggio-ebike.html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officina23.example</w:t>
            </w:r>
          </w:p>
        </w:tc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interna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Officina 23 (sito di esempio)</w:t>
            </w:r>
          </w:p>
        </w:tc>
      </w:tr>
      <w:t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https://officina23.example.offerte-bici.click/login.html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offerte-bici.click</w:t>
            </w:r>
          </w:p>
        </w:tc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interna (pagina di login)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Sconosciuto – NON è Officina 23</w:t>
            </w:r>
          </w:p>
        </w:tc>
      </w:tr>
    </w:tbl>
    <w:p>
      <w:pPr>
        <w:spacing w:after="40"/>
      </w:pPr>
    </w:p>
    <w:p>
      <w:r>
        <w:rPr/>
        <w:t xml:space="preserve">Quarto indirizzo: il dominio vero è </w:t>
      </w:r>
      <w:r>
        <w:rPr>
          <w:b/>
        </w:rPr>
        <w:t>offerte-bici.click</w:t>
      </w:r>
      <w:r>
        <w:rPr/>
        <w:t>; 'officina23.example' è solo un'etichetta messa davanti per ingannare (sottodominio). È il trucco tipico del phishing (Lezione 4).</w:t>
      </w:r>
    </w:p>
    <w:p>
      <w:pPr>
        <w:pStyle w:val="Heading2"/>
      </w:pPr>
      <w:r>
        <w:t>Parte 2 – Pagina di risultati simulata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"/>
        <w:gridCol w:w="3402"/>
        <w:gridCol w:w="1020"/>
        <w:gridCol w:w="4989"/>
      </w:tblGrid>
      <w:tr>
        <w:trPr>
          <w:tblHeader w:val="true"/>
        </w:trPr>
        <w:tc>
          <w:tcPr>
            <w:tcW w:w="45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40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102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Sponsor.</w:t>
            </w:r>
          </w:p>
        </w:tc>
        <w:tc>
          <w:tcPr>
            <w:tcW w:w="498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Usarlo?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annuncio pubblicitario (azienda di consulenza)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sì</w:t>
            </w:r>
          </w:p>
        </w:tc>
        <w:tc>
          <w:tcPr>
            <w:tcW w:w="498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No: vende un servizio, non informa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2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ente pubblico (Unione europea)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no</w:t>
            </w:r>
          </w:p>
        </w:tc>
        <w:tc>
          <w:tcPr>
            <w:tcW w:w="498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Sì: ente ufficiale competente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ente pubblico (testo di legge ufficiale)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no</w:t>
            </w:r>
          </w:p>
        </w:tc>
        <w:tc>
          <w:tcPr>
            <w:tcW w:w="498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Sì: è la legge; linguaggio tecnico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4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enciclopedia collaborativa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no</w:t>
            </w:r>
          </w:p>
        </w:tc>
        <w:tc>
          <w:tcPr>
            <w:tcW w:w="498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Per orientarsi, poi verificare su fonte ufficiale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5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sito sensazionalistico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no</w:t>
            </w:r>
          </w:p>
        </w:tc>
        <w:tc>
          <w:tcPr>
            <w:tcW w:w="498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No: titolo urlato, promessa falsa (60 giorni)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6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azienda/negozio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no</w:t>
            </w:r>
          </w:p>
        </w:tc>
        <w:tc>
          <w:tcPr>
            <w:tcW w:w="498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No per la legge: è la regola di quel negozio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7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forum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no</w:t>
            </w:r>
          </w:p>
        </w:tc>
        <w:tc>
          <w:tcPr>
            <w:tcW w:w="498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No: opinione, 2012, informazione superata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8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blog personale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no</w:t>
            </w:r>
          </w:p>
        </w:tc>
        <w:tc>
          <w:tcPr>
            <w:tcW w:w="498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Da verificare: autore non esperto, 2019</w:t>
            </w:r>
          </w:p>
        </w:tc>
      </w:tr>
    </w:tbl>
    <w:p>
      <w:pPr>
        <w:spacing w:after="40"/>
      </w:pPr>
    </w:p>
    <w:p>
      <w:r>
        <w:rPr/>
        <w:t xml:space="preserve">Panoramica IA: </w:t>
      </w:r>
      <w:r>
        <w:rPr>
          <w:b/>
        </w:rPr>
        <w:t>non è una fonte</w:t>
      </w:r>
      <w:r>
        <w:rPr/>
        <w:t>. È un riassunto generato automaticamente dal motore di ricerca, può contenere errori e non ha un autore responsabile. Si aprono e si citano le pagine originali. Lo stesso vale per la 'Modalità IA' di Google e per le risposte dei chatbot.</w:t>
      </w:r>
    </w:p>
    <w:p>
      <w:r>
        <w:rPr/>
        <w:t xml:space="preserve">Nota storica utile (risultato 7): prima del 2014 in Italia il recesso era di 10 giorni lavorativi; dal 2014 (D.Lgs. 21/2014, che ha modificato il Codice del consumo) è di 14 giorni. Buon esempio di informazione </w:t>
      </w:r>
      <w:r>
        <w:rPr>
          <w:b/>
        </w:rPr>
        <w:t>superata</w:t>
      </w:r>
      <w:r>
        <w:rPr/>
        <w:t>.</w:t>
      </w:r>
    </w:p>
    <w:p>
      <w:pPr>
        <w:pStyle w:val="Heading2"/>
      </w:pPr>
      <w:r>
        <w:t>Parte 3 – Chiave delle domande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5329"/>
        <w:gridCol w:w="3969"/>
      </w:tblGrid>
      <w:tr>
        <w:trPr>
          <w:tblHeader w:val="true"/>
        </w:trPr>
        <w:tc>
          <w:tcPr>
            <w:tcW w:w="567" w:type="dxa"/>
            <w:shd w:val="clear" w:color="auto" w:fill="0B6E75"/>
          </w:tcPr>
          <w:p>
            <w:pPr>
              <w:spacing w:after="40" w:line="264" w:lineRule="auto"/>
            </w:pPr>
            <w:r/>
          </w:p>
        </w:tc>
        <w:tc>
          <w:tcPr>
            <w:tcW w:w="532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Informazione corretta attesa</w:t>
            </w:r>
          </w:p>
        </w:tc>
        <w:tc>
          <w:tcPr>
            <w:tcW w:w="396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Fonti attendibili tipiche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D1</w:t>
            </w:r>
          </w:p>
        </w:tc>
        <w:tc>
          <w:tcPr>
            <w:tcW w:w="5329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14 giorni per recedere senza motivazione; per i beni si contano dalla consegna (per i servizi dalla conclusione del contratto). Vale per acquisti a distanza/online.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europa.eu (La tua Europa – Restituzioni); normattiva.it (Codice del consumo, art. 52); mimit.gov.it; siti delle associazioni dei consumatori riconosciute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D2</w:t>
            </w:r>
          </w:p>
        </w:tc>
        <w:tc>
          <w:tcPr>
            <w:tcW w:w="5329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Art. 68 Codice della strada: luce anteriore bianca o gialla, luce posteriore rossa, catadiottri rossi posteriori, catadiottri gialli sui pedali e ai lati (oltre a freni e campanello). Art. 182 (comma 9-bis): fuori dai centri abitati, da mezz'ora dopo il tramonto a mezz'ora prima del sorgere del sole, e in galleria, il ciclista deve indossare giubbotto o bretelle retroriflettenti.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normattiva.it; mit.gov.it; poliziadistato.it; aci.it (testo del Codice della strada)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D3</w:t>
            </w:r>
          </w:p>
        </w:tc>
        <w:tc>
          <w:tcPr>
            <w:tcW w:w="5329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Si può condividere e modificare, anche per uso commerciale; bisogna attribuire: nome dell'autore, titolo (se c'è), fonte/link, tipo di licenza con link, e indicare se si è modificata l'opera.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creativecommons.org (pagina della licenza CC BY 4.0 in italiano: creativecommons.org/licenses/by/4.0/deed.it)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D4</w:t>
            </w:r>
          </w:p>
        </w:tc>
        <w:tc>
          <w:tcPr>
            <w:tcW w:w="5329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Ogni anno dal 16 al 22 settembre; è promossa dalla Commissione europea (campagna europea sulla mobilità sostenibile).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mobilityweek.eu (sito ufficiale della campagna); transport.ec.europa.eu; siti dei Comuni aderenti</w:t>
            </w:r>
          </w:p>
        </w:tc>
      </w:tr>
    </w:tbl>
    <w:p>
      <w:pPr>
        <w:spacing w:after="40"/>
      </w:pPr>
    </w:p>
    <w:p>
      <w:r>
        <w:rPr>
          <w:i/>
        </w:rPr>
        <w:t>Le pagine web cambiano: prima della lezione aprite voi le fonti indicate. Accettate altre fonti se rispettano i criteri (ente competente, pagina aggiornata, informazione presente davvero nella pagina).</w:t>
      </w:r>
    </w:p>
    <w:p>
      <w:pPr>
        <w:pStyle w:val="Heading2"/>
      </w:pPr>
      <w:r>
        <w:t>Versione guidata (L3_A_scheda_ricerca_fonti_GUIDATA.docx)</w:t>
      </w:r>
    </w:p>
    <w:p>
      <w:r>
        <w:rPr/>
        <w:t xml:space="preserve">La prima colonna della scheda fonte è </w:t>
      </w:r>
      <w:r>
        <w:rPr>
          <w:b/>
        </w:rPr>
        <w:t>già compilata come esempio</w:t>
      </w:r>
      <w:r>
        <w:rPr/>
        <w:t xml:space="preserve"> con la domanda D4 (Settimana europea della mobilità, fonte mobilityweek.eu): </w:t>
      </w:r>
      <w:r>
        <w:rPr>
          <w:b/>
        </w:rPr>
        <w:t>non va valutata</w:t>
      </w:r>
      <w:r>
        <w:rPr/>
        <w:t>. Lo studente compila la seconda colonna con D1 o D2; la prima riga della tabella degli URL è svolta (europa.eu). Chiave, evidenze e livelli sono gli stessi della versione standard; annotate 'G' nel registro.</w:t>
      </w:r>
    </w:p>
    <w:p>
      <w:pPr>
        <w:pStyle w:val="Heading2"/>
      </w:pPr>
      <w:r>
        <w:t>Come controllare la scheda fonte (6.1–6.6)</w:t>
      </w:r>
    </w:p>
    <w:p>
      <w:pPr>
        <w:pStyle w:val="ListBullet"/>
        <w:spacing w:after="60"/>
      </w:pPr>
      <w:r>
        <w:rPr>
          <w:b/>
        </w:rPr>
        <w:t>URL completo</w:t>
      </w:r>
      <w:r>
        <w:rPr/>
        <w:t>: cliccatelo. Se apre una home page generica → 6.1 CON SUPPORTO.</w:t>
      </w:r>
    </w:p>
    <w:p>
      <w:pPr>
        <w:pStyle w:val="ListBullet"/>
        <w:spacing w:after="60"/>
      </w:pPr>
      <w:r>
        <w:rPr>
          <w:b/>
        </w:rPr>
        <w:t>URL della pagina dei risultati</w:t>
      </w:r>
      <w:r>
        <w:rPr/>
        <w:t>: deve contenere 'q=' seguito dalle parole di ricerca (prova che la ricerca è stata fatta).</w:t>
      </w:r>
    </w:p>
    <w:p>
      <w:pPr>
        <w:pStyle w:val="ListBullet"/>
        <w:spacing w:after="60"/>
      </w:pPr>
      <w:r>
        <w:rPr>
          <w:b/>
        </w:rPr>
        <w:t>Autore/ente</w:t>
      </w:r>
      <w:r>
        <w:rPr/>
        <w:t>: mai 'Google', 'internet', 'Wikipedia' come ente per una legge.</w:t>
      </w:r>
    </w:p>
    <w:p>
      <w:pPr>
        <w:pStyle w:val="ListBullet"/>
        <w:spacing w:after="60"/>
      </w:pPr>
      <w:r>
        <w:rPr>
          <w:b/>
        </w:rPr>
        <w:t>Informazione</w:t>
      </w:r>
      <w:r>
        <w:rPr/>
        <w:t>: con Ctrl+F sulla pagina indicata cercate una parola chiave: deve esserci.</w:t>
      </w:r>
    </w:p>
    <w:p>
      <w:pPr>
        <w:pStyle w:val="ListBullet"/>
        <w:spacing w:after="60"/>
      </w:pPr>
      <w:r>
        <w:rPr>
          <w:b/>
        </w:rPr>
        <w:t>Attendibilità</w:t>
      </w:r>
      <w:r>
        <w:rPr/>
        <w:t>: accettare criteri concreti ("è il sito dell'Unione europea, che fa queste regole"; "aggiornata nel 2025"; "lo conferma anche normattiva.it"). Non accettare "sembra seria", "è il primo risultato".</w:t>
      </w:r>
    </w:p>
    <w:p>
      <w:pPr>
        <w:pStyle w:val="Heading1"/>
      </w:pPr>
      <w:r>
        <w:t>Scheda B</w:t>
      </w:r>
    </w:p>
    <w:p>
      <w:pPr>
        <w:pStyle w:val="Heading2"/>
      </w:pPr>
      <w:r>
        <w:t>Parte 1 – Valori reali dei file</w:t>
      </w:r>
    </w:p>
    <w:tbl>
      <w:tblPr>
        <w:tblW w:w="9862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494"/>
        <w:gridCol w:w="793"/>
        <w:gridCol w:w="1474"/>
        <w:gridCol w:w="1701"/>
        <w:gridCol w:w="680"/>
        <w:gridCol w:w="1360"/>
        <w:gridCol w:w="1360"/>
      </w:tblGrid>
      <w:tr>
        <w:trPr>
          <w:tblHeader w:val="true"/>
        </w:trPr>
        <w:tc>
          <w:tcPr>
            <w:tcW w:w="249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79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Formato</w:t>
            </w:r>
          </w:p>
        </w:tc>
        <w:tc>
          <w:tcPr>
            <w:tcW w:w="147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Pixel</w:t>
            </w:r>
          </w:p>
        </w:tc>
        <w:tc>
          <w:tcPr>
            <w:tcW w:w="17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Peso (Windows / Mac)</w:t>
            </w:r>
          </w:p>
        </w:tc>
        <w:tc>
          <w:tcPr>
            <w:tcW w:w="68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Trasp.</w:t>
            </w:r>
          </w:p>
        </w:tc>
        <w:tc>
          <w:tcPr>
            <w:tcW w:w="136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Al 400%</w:t>
            </w:r>
          </w:p>
        </w:tc>
        <w:tc>
          <w:tcPr>
            <w:tcW w:w="136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Uso adatto</w:t>
            </w:r>
          </w:p>
        </w:tc>
      </w:tr>
      <w:tr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logo_officina23.svg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SVG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vettoriale (nessun pixel fisso)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3,62 KB / 4 KB</w:t>
            </w:r>
          </w:p>
        </w:tc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sì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nitido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grafica, striscione, sito</w:t>
            </w:r>
          </w:p>
        </w:tc>
      </w:tr>
      <w:tr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logo_officina23_trasparente.png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PNG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1200 × 1200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218 KB / 224 KB</w:t>
            </w:r>
          </w:p>
        </w:tc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sì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nitido fino a un certo punto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logo su sfondo colorato, documenti</w:t>
            </w:r>
          </w:p>
        </w:tc>
      </w:tr>
      <w:tr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logo_officina23_sfondo_bianco.jpg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JPG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1200 × 1200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137 KB / 141 KB</w:t>
            </w:r>
          </w:p>
        </w:tc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nitido fino a un certo punto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solo su sfondo bianco</w:t>
            </w:r>
          </w:p>
        </w:tc>
      </w:tr>
      <w:tr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logo_officina23_piccolo.png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PNG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100 × 100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14,8 KB / 15 KB</w:t>
            </w:r>
          </w:p>
        </w:tc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sì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sgranato/sfocato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icone piccole (non ingrandire)</w:t>
            </w:r>
          </w:p>
        </w:tc>
      </w:tr>
      <w:tr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foto_vetrina_originale.jpg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JPG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4000 × 3000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4,85 MB / 5,1 MB</w:t>
            </w:r>
          </w:p>
        </w:tc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nitido fino a un certo punto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stampa</w:t>
            </w:r>
          </w:p>
        </w:tc>
      </w:tr>
      <w:tr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foto_vetrina_web.jpg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JPG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1280 × 960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239 KB / 246 KB</w:t>
            </w:r>
          </w:p>
        </w:tc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nitido fino a un certo punto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email, sito</w:t>
            </w:r>
          </w:p>
        </w:tc>
      </w:tr>
      <w:tr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foto_vetrina_troppo_compressa.jpg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JPG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1280 × 960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13,6 KB / 14 KB</w:t>
            </w:r>
          </w:p>
        </w:tc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sgranato/sfocato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nessuno (artefatti)</w:t>
            </w:r>
          </w:p>
        </w:tc>
      </w:tr>
      <w:tr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foto_vetrina.png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PNG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1280 × 960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1,46 MB / 1,5 MB</w:t>
            </w:r>
          </w:p>
        </w:tc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nitido fino a un certo punto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meglio JPG: stesso contenuto, molto più pesante</w:t>
            </w:r>
          </w:p>
        </w:tc>
      </w:tr>
    </w:tbl>
    <w:p>
      <w:pPr>
        <w:spacing w:after="40"/>
      </w:pPr>
    </w:p>
    <w:p>
      <w:r>
        <w:rPr>
          <w:sz w:val="20"/>
        </w:rPr>
        <w:t xml:space="preserve">Nota sulla colonna Trasparenza: il formato JPG </w:t>
      </w:r>
      <w:r>
        <w:rPr>
          <w:b/>
          <w:sz w:val="20"/>
        </w:rPr>
        <w:t>non</w:t>
      </w:r>
      <w:r>
        <w:rPr>
          <w:sz w:val="20"/>
        </w:rPr>
        <w:t xml:space="preserve"> supporta la trasparenza. L'SVG è trasparente dove non ci sono forme, ma in Chrome appare su fondo bianco: per l'SVG accettate 'sì' oppure 'non si vede'.</w:t>
      </w:r>
    </w:p>
    <w:p>
      <w:r>
        <w:rPr>
          <w:b/>
        </w:rPr>
        <w:t>Scelte attese</w:t>
      </w:r>
      <w:r>
        <w:rPr/>
        <w:t>: stampa → foto_vetrina_originale.jpg (più pixel = più qualità); email/sito → foto_vetrina_web.jpg (buona a schermo, leggera); logo su sfondo colorato → logo_officina23_trasparente.png (o SVG per il grafico); striscione → logo_officina23.svg (vettoriale, non si sgrana); da non usare mai → foto_vetrina_troppo_compressa.jpg (quadretti/artefatti) e, per una foto, la versione PNG (pesa circa 6 volte la JPG web, con gli stessi pixel e senza vantaggi visibili).</w:t>
      </w:r>
    </w:p>
    <w:p>
      <w:pPr>
        <w:pStyle w:val="Heading2"/>
      </w:pPr>
      <w:r>
        <w:t>Parte 2 – Test trasparenza</w:t>
      </w:r>
    </w:p>
    <w:p>
      <w:r>
        <w:rPr/>
        <w:t xml:space="preserve">Risultato atteso: sulla pagina colorata il PNG trasparente mostra solo il cerchio del logo; il JPG mostra un </w:t>
      </w:r>
      <w:r>
        <w:rPr>
          <w:b/>
        </w:rPr>
        <w:t>quadrato bianco</w:t>
      </w:r>
      <w:r>
        <w:rPr/>
        <w:t xml:space="preserve"> attorno al logo. Scelta: PNG. Lo screenshot deve mostrare l'SVG nitido e il PNG piccolo sgranato/sfocato. Se Google Documenti rifiuta l'SVG (comportamento normale), lo studente lo osserva solo in Chrome.</w:t>
      </w:r>
    </w:p>
    <w:p>
      <w:pPr>
        <w:pStyle w:val="Heading2"/>
      </w:pPr>
      <w:r>
        <w:t>Parte 3 – Licenze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2494"/>
        <w:gridCol w:w="2268"/>
        <w:gridCol w:w="2041"/>
        <w:gridCol w:w="2494"/>
      </w:tblGrid>
      <w:tr>
        <w:trPr>
          <w:tblHeader w:val="true"/>
        </w:trPr>
        <w:tc>
          <w:tcPr>
            <w:tcW w:w="56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Img</w:t>
            </w:r>
          </w:p>
        </w:tc>
        <w:tc>
          <w:tcPr>
            <w:tcW w:w="249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Fonte</w:t>
            </w:r>
          </w:p>
        </w:tc>
        <w:tc>
          <w:tcPr>
            <w:tcW w:w="226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Autore / proprietario</w:t>
            </w:r>
          </w:p>
        </w:tc>
        <w:tc>
          <w:tcPr>
            <w:tcW w:w="204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Licenza</w:t>
            </w:r>
          </w:p>
        </w:tc>
        <w:tc>
          <w:tcPr>
            <w:tcW w:w="249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Decisione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studiofotorapida.example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Studio Foto Rapida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© tutti i diritti riservati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NO (servirebbe permesso/licenza a pagamento)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B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archiviolibero.example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Elena Riva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CC BY 4.0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SÌ CON ATTRIBUZIONE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iconelibere.example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(dominio pubblico)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CC0 1.0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SÌ (attribuzione facoltativa)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drive.officina23.example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Officina 23 (foto di Luca)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proprietà di Officina 23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SÌ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E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social.example (post di ciclone_99)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sconosciuto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nessuna indicazione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NO (autore sconosciuto non vuol dire libera)</w:t>
            </w:r>
          </w:p>
        </w:tc>
      </w:tr>
    </w:tbl>
    <w:p>
      <w:pPr>
        <w:spacing w:after="40"/>
      </w:pPr>
    </w:p>
    <w:p>
      <w:r>
        <w:rPr>
          <w:b/>
        </w:rPr>
        <w:t>Attribuzione attesa per B:</w:t>
      </w:r>
      <w:r>
        <w:rPr/>
        <w:t xml:space="preserve"> </w:t>
      </w:r>
      <w:r>
        <w:rPr>
          <w:i/>
        </w:rPr>
        <w:t>"Pista ciclabile sul fiume" di Elena Riva, da archiviolibero.example, licenza CC BY 4.0</w:t>
      </w:r>
      <w:r>
        <w:rPr/>
        <w:t xml:space="preserve"> (i 4 elementi: titolo, autrice, fonte, licenza; meglio se con link alla licenza).</w:t>
      </w:r>
    </w:p>
    <w:p>
      <w:r>
        <w:rPr/>
        <w:t>Prova dal vivo: accettare qualunque immagine con attribuzione completa e URL della pagina di origine (spesso Wikimedia Commons). Errore tipico: scrivere 'Fonte: Google Immagini' → 7.5 NON ANCORA.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Lezione 3 · SOLUZIONI (riservato al docente)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L3_SOLUZIONI_DOCENTE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