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9766" w14:textId="6B52D243" w:rsidR="002F4F59" w:rsidRPr="00E10F8E" w:rsidRDefault="000E33F0" w:rsidP="00E10F8E">
      <w:pPr>
        <w:pStyle w:val="Titel"/>
        <w:spacing w:line="360" w:lineRule="auto"/>
        <w:rPr>
          <w:rFonts w:ascii="Garamond" w:hAnsi="Garamond"/>
          <w:b/>
          <w:bCs/>
          <w:lang w:val="en-GB"/>
        </w:rPr>
      </w:pPr>
      <w:r w:rsidRPr="00E10F8E">
        <w:rPr>
          <w:rFonts w:ascii="Garamond" w:hAnsi="Garamond"/>
          <w:b/>
          <w:bCs/>
          <w:lang w:val="en-GB"/>
        </w:rPr>
        <w:t>DAM assignment week 17</w:t>
      </w:r>
      <w:r w:rsidR="007967CD" w:rsidRPr="00E10F8E">
        <w:rPr>
          <w:rFonts w:ascii="Garamond" w:hAnsi="Garamond"/>
          <w:b/>
          <w:bCs/>
          <w:lang w:val="en-GB"/>
        </w:rPr>
        <w:t xml:space="preserve"> </w:t>
      </w:r>
    </w:p>
    <w:p w14:paraId="733B0FD6" w14:textId="77777777" w:rsidR="00E10F8E" w:rsidRPr="00E10F8E" w:rsidRDefault="00E10F8E" w:rsidP="00E10F8E">
      <w:pPr>
        <w:pStyle w:val="Overskrift1"/>
        <w:numPr>
          <w:ilvl w:val="0"/>
          <w:numId w:val="3"/>
        </w:numPr>
        <w:tabs>
          <w:tab w:val="num" w:pos="360"/>
        </w:tabs>
        <w:spacing w:line="360" w:lineRule="auto"/>
        <w:ind w:left="0" w:firstLine="0"/>
        <w:rPr>
          <w:rFonts w:ascii="Garamond" w:hAnsi="Garamond"/>
          <w:bCs/>
          <w:color w:val="156082" w:themeColor="accent1"/>
          <w:sz w:val="32"/>
          <w:szCs w:val="3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0F8E">
        <w:rPr>
          <w:rFonts w:ascii="Garamond" w:hAnsi="Garamond"/>
          <w:color w:val="156082" w:themeColor="accent1"/>
          <w:sz w:val="32"/>
          <w:szCs w:val="3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Digital archives reflection assignment W17</w:t>
      </w:r>
    </w:p>
    <w:p w14:paraId="3BDB8877" w14:textId="77777777" w:rsidR="00E10F8E" w:rsidRPr="00E10F8E" w:rsidRDefault="00E10F8E" w:rsidP="00E10F8E">
      <w:pPr>
        <w:pStyle w:val="Overskrift4"/>
        <w:spacing w:line="360" w:lineRule="auto"/>
        <w:rPr>
          <w:rStyle w:val="Kraftighenvisning"/>
          <w:rFonts w:ascii="Garamond" w:hAnsi="Garamond"/>
          <w:lang w:val="en-GB"/>
        </w:rPr>
      </w:pPr>
      <w:r w:rsidRPr="00E10F8E">
        <w:rPr>
          <w:rStyle w:val="Kraftighenvisning"/>
          <w:rFonts w:ascii="Garamond" w:hAnsi="Garamond"/>
          <w:lang w:val="en-GB"/>
        </w:rPr>
        <w:t>Part 1</w:t>
      </w:r>
    </w:p>
    <w:p w14:paraId="700F2381"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Jensen’s concept of “digital archival literacy” rests on a central claim: the shift from analogue to digital archives is not merely a change in format but a </w:t>
      </w:r>
      <w:r w:rsidRPr="00E10F8E">
        <w:rPr>
          <w:rFonts w:ascii="Garamond" w:hAnsi="Garamond"/>
          <w:i/>
          <w:iCs/>
          <w:lang w:val="en-GB"/>
        </w:rPr>
        <w:t>shift in medium</w:t>
      </w:r>
      <w:r w:rsidRPr="00E10F8E">
        <w:rPr>
          <w:rFonts w:ascii="Garamond" w:hAnsi="Garamond"/>
          <w:lang w:val="en-GB"/>
        </w:rPr>
        <w:t>, which carries entirely new logics of production, distribution, and access.</w:t>
      </w:r>
      <w:r w:rsidRPr="00E10F8E">
        <w:rPr>
          <w:rStyle w:val="Fodnotehenvisning"/>
          <w:rFonts w:ascii="Garamond" w:hAnsi="Garamond"/>
          <w:lang w:val="en-GB"/>
        </w:rPr>
        <w:footnoteReference w:id="1"/>
      </w:r>
      <w:r w:rsidRPr="00E10F8E">
        <w:rPr>
          <w:rFonts w:ascii="Garamond" w:hAnsi="Garamond"/>
          <w:lang w:val="en-GB"/>
        </w:rPr>
        <w:t xml:space="preserve"> Two of Jensen’s points are especially significant for historical practice: the political economy of digitization and the role of systems design as a co-producer of knowledge.</w:t>
      </w:r>
    </w:p>
    <w:p w14:paraId="0FD209BF"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The political economy of digitization concerns what gets made available online and on whose terms. Jensen argues that because digitization projects require substantial external funding, they are disproportionately shaped by the interests of their funders—whether private companies seeking commercially viable genealogy records, foundations with specific research agendas, or institutions trying to maximize user numbers.</w:t>
      </w:r>
      <w:r w:rsidRPr="00E10F8E">
        <w:rPr>
          <w:rStyle w:val="Fodnotehenvisning"/>
          <w:rFonts w:ascii="Garamond" w:hAnsi="Garamond"/>
          <w:lang w:val="en-GB"/>
        </w:rPr>
        <w:footnoteReference w:id="2"/>
      </w:r>
      <w:r w:rsidRPr="00E10F8E">
        <w:rPr>
          <w:rFonts w:ascii="Garamond" w:hAnsi="Garamond"/>
          <w:lang w:val="en-GB"/>
        </w:rPr>
        <w:t xml:space="preserve"> The practical consequence is that certain strands of historical research—gender history, postcolonial studies, indigenous history—are systematically underrepresented in the digital landscape, not because of any deliberate exclusion, but because the logic of the market does not reward them. For historians who rely primarily on digital sources without asking </w:t>
      </w:r>
      <w:r w:rsidRPr="00E10F8E">
        <w:rPr>
          <w:rFonts w:ascii="Garamond" w:hAnsi="Garamond"/>
          <w:i/>
          <w:iCs/>
          <w:lang w:val="en-GB"/>
        </w:rPr>
        <w:t>why</w:t>
      </w:r>
      <w:r w:rsidRPr="00E10F8E">
        <w:rPr>
          <w:rFonts w:ascii="Garamond" w:hAnsi="Garamond"/>
          <w:lang w:val="en-GB"/>
        </w:rPr>
        <w:t xml:space="preserve"> certain materials are available and others are not, this structural bias remains invisible. Jensen’s point is therefore a methodological one: awareness of the funding and selection logic behind a digital archive is not an optional extra but a basic requirement for source criticism.</w:t>
      </w:r>
      <w:r w:rsidRPr="00E10F8E">
        <w:rPr>
          <w:rStyle w:val="Fodnotehenvisning"/>
          <w:rFonts w:ascii="Garamond" w:hAnsi="Garamond"/>
          <w:lang w:val="en-GB"/>
        </w:rPr>
        <w:footnoteReference w:id="3"/>
      </w:r>
    </w:p>
    <w:p w14:paraId="07CC9DDC"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Systems design operates at the level of how sources are made searchable once they are online. Search fields, predefined subject categories, and metadata schemas all “encode” specific interpretations of the material, and the historian who searches without understanding these choices risks inheriting the </w:t>
      </w:r>
      <w:r w:rsidRPr="00E10F8E">
        <w:rPr>
          <w:rFonts w:ascii="Garamond" w:hAnsi="Garamond"/>
          <w:lang w:val="en-GB"/>
        </w:rPr>
        <w:lastRenderedPageBreak/>
        <w:t>conceptual framework of the system designer rather than their own.</w:t>
      </w:r>
      <w:r w:rsidRPr="00E10F8E">
        <w:rPr>
          <w:rStyle w:val="Fodnotehenvisning"/>
          <w:rFonts w:ascii="Garamond" w:hAnsi="Garamond"/>
          <w:lang w:val="en-GB"/>
        </w:rPr>
        <w:footnoteReference w:id="4"/>
      </w:r>
      <w:r w:rsidRPr="00E10F8E">
        <w:rPr>
          <w:rFonts w:ascii="Garamond" w:hAnsi="Garamond"/>
          <w:lang w:val="en-GB"/>
        </w:rPr>
        <w:t xml:space="preserve"> Jensen’s clearest example is the problem of metadata categories that reflect Western, binary, or presentist assumptions—categories that may be wholly inadequate for historical material dealing with gender, ethnicity, or periodization. Asking an archivist about how metadata is applied, or deliberately searching with multiple synonymous terms, is not pedantry; it is a form of the methodological rigour that historians have always exercised with analogue finding aids, now applied to a digital context. Taken together, these two points reveal that digital archives are not passive containers of the past but active co-producers of what historians can find and think.</w:t>
      </w:r>
    </w:p>
    <w:p w14:paraId="4FD0C09C" w14:textId="77777777" w:rsidR="00E10F8E" w:rsidRPr="00E10F8E" w:rsidRDefault="00E10F8E" w:rsidP="00E10F8E">
      <w:pPr>
        <w:pStyle w:val="Overskrift2"/>
        <w:spacing w:before="300" w:after="200" w:line="360" w:lineRule="auto"/>
        <w:rPr>
          <w:rStyle w:val="Kraftighenvisning"/>
          <w:rFonts w:ascii="Garamond" w:hAnsi="Garamond"/>
          <w:b w:val="0"/>
          <w:bCs w:val="0"/>
          <w:lang w:val="en-GB"/>
        </w:rPr>
      </w:pPr>
      <w:r w:rsidRPr="00E10F8E">
        <w:rPr>
          <w:rStyle w:val="Kraftighenvisning"/>
          <w:rFonts w:ascii="Garamond" w:hAnsi="Garamond"/>
          <w:lang w:val="en-GB"/>
        </w:rPr>
        <w:t>Part 2</w:t>
      </w:r>
    </w:p>
    <w:p w14:paraId="167A09A6" w14:textId="77777777" w:rsidR="00E10F8E" w:rsidRPr="00E10F8E" w:rsidRDefault="00E10F8E" w:rsidP="00E10F8E">
      <w:pPr>
        <w:spacing w:after="160" w:line="360" w:lineRule="auto"/>
        <w:rPr>
          <w:rFonts w:ascii="Garamond" w:hAnsi="Garamond"/>
          <w:lang w:val="en-GB"/>
        </w:rPr>
      </w:pPr>
      <w:r w:rsidRPr="00E10F8E">
        <w:rPr>
          <w:rFonts w:ascii="Garamond" w:hAnsi="Garamond"/>
          <w:b/>
          <w:bCs/>
          <w:lang w:val="en-GB"/>
        </w:rPr>
        <w:t>I – Metadata and its effects on source interpretation</w:t>
      </w:r>
    </w:p>
    <w:p w14:paraId="62D0EB23"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Anna Braun was born in 1906 in Ukraine’s </w:t>
      </w:r>
      <w:proofErr w:type="spellStart"/>
      <w:r w:rsidRPr="00E10F8E">
        <w:rPr>
          <w:rFonts w:ascii="Garamond" w:hAnsi="Garamond"/>
          <w:lang w:val="en-GB"/>
        </w:rPr>
        <w:t>Zaporozhye</w:t>
      </w:r>
      <w:proofErr w:type="spellEnd"/>
      <w:r w:rsidRPr="00E10F8E">
        <w:rPr>
          <w:rFonts w:ascii="Garamond" w:hAnsi="Garamond"/>
          <w:lang w:val="en-GB"/>
        </w:rPr>
        <w:t xml:space="preserve"> district, a Mennonite draftswoman whose family was decimated by Soviet repression; her father, husband, and brother were killed or disappeared under Stalinism. During World War II she lived under Nazi occupation before being deported for forced labour in Germany in 1943 and was liberated by American forces in 1945. At the time of her interview in September 1946, she was a widow living in the </w:t>
      </w:r>
      <w:proofErr w:type="spellStart"/>
      <w:r w:rsidRPr="00E10F8E">
        <w:rPr>
          <w:rFonts w:ascii="Garamond" w:hAnsi="Garamond"/>
          <w:lang w:val="en-GB"/>
        </w:rPr>
        <w:t>Funkkaserne</w:t>
      </w:r>
      <w:proofErr w:type="spellEnd"/>
      <w:r w:rsidRPr="00E10F8E">
        <w:rPr>
          <w:rFonts w:ascii="Garamond" w:hAnsi="Garamond"/>
          <w:lang w:val="en-GB"/>
        </w:rPr>
        <w:t xml:space="preserve"> displaced persons camp in Munich, seeking emigration to Canada. </w:t>
      </w:r>
    </w:p>
    <w:p w14:paraId="03D982A6"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The metadata surrounding the interview significantly shapes how the source is perceived before a single word of testimony is heard. The archive’s record identifies the medium as a wire recording, the language as German, and the date as 20 September 1946. These technical details are not trivial: they situate the interview within Boder’s specific psychological fieldwork methodology and remind the researcher that the recording was made on fragile, degradable material before being transferred through multiple media formats over the following decades.</w:t>
      </w:r>
      <w:r w:rsidRPr="00E10F8E">
        <w:rPr>
          <w:rStyle w:val="Fodnotehenvisning"/>
          <w:rFonts w:ascii="Garamond" w:hAnsi="Garamond"/>
          <w:lang w:val="en-GB"/>
        </w:rPr>
        <w:footnoteReference w:id="5"/>
      </w:r>
      <w:r w:rsidRPr="00E10F8E">
        <w:rPr>
          <w:rFonts w:ascii="Garamond" w:hAnsi="Garamond"/>
          <w:lang w:val="en-GB"/>
        </w:rPr>
        <w:t xml:space="preserve"> Knowing the medium therefore requires the historian to ask what has been lost or altered in each transfer—a question that the archive’s metadata makes possible to pose but does not itself answer.</w:t>
      </w:r>
    </w:p>
    <w:p w14:paraId="4A75C11E"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More interpretively consequential is the archive’s written commentary, which frames Braun’s testimony as a departure from traditional Holocaust narratives by foregrounding her Mennonite identity and the </w:t>
      </w:r>
      <w:r w:rsidRPr="00E10F8E">
        <w:rPr>
          <w:rFonts w:ascii="Garamond" w:hAnsi="Garamond"/>
          <w:lang w:val="en-GB"/>
        </w:rPr>
        <w:lastRenderedPageBreak/>
        <w:t>Stalinist persecution her family suffered before the Nazi occupation. This framing is a form of encoding in Jensen’s sense: the metadata predisposes the listener to hear the recording as evidence of double victimization under two totalitarian systems. While that reading is well supported by the content of the interview, it also risks narrowing interpretation before the source has been encountered on its own terms. The metadata does not merely describe the source; it actively directs the historian’s attention toward certain aspects of the testimony—Soviet repression, religious resilience, female-led family survival—and away from others. Being aware of this mediation is itself a form of digital archival literacy.</w:t>
      </w:r>
      <w:r w:rsidRPr="00E10F8E">
        <w:rPr>
          <w:rStyle w:val="Fodnotehenvisning"/>
          <w:rFonts w:ascii="Garamond" w:hAnsi="Garamond"/>
          <w:lang w:val="en-GB"/>
        </w:rPr>
        <w:footnoteReference w:id="6"/>
      </w:r>
    </w:p>
    <w:p w14:paraId="227E7930" w14:textId="77777777" w:rsidR="00E10F8E" w:rsidRPr="00E10F8E" w:rsidRDefault="00E10F8E" w:rsidP="00E10F8E">
      <w:pPr>
        <w:spacing w:before="200" w:after="160" w:line="360" w:lineRule="auto"/>
        <w:rPr>
          <w:rFonts w:ascii="Garamond" w:hAnsi="Garamond"/>
          <w:lang w:val="en-GB"/>
        </w:rPr>
      </w:pPr>
      <w:r w:rsidRPr="00E10F8E">
        <w:rPr>
          <w:rFonts w:ascii="Garamond" w:hAnsi="Garamond"/>
          <w:b/>
          <w:bCs/>
          <w:lang w:val="en-GB"/>
        </w:rPr>
        <w:t>II – The recording as multimodal testimony</w:t>
      </w:r>
    </w:p>
    <w:p w14:paraId="68FBDF61"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Listening to the digitized recording rather than reading a transcript reveals a dimension of the testimony that the written text cannot convey. Boder’s interview manner is calm but insistent, and Braun responds with a studied composure that gradually gives way as the questions move toward the details of her family’s fate. Her voice does not break, but it becomes audibly strained—a quality that a transcript would register at most as a stage direction but cannot replicate. This is precisely what </w:t>
      </w:r>
      <w:proofErr w:type="spellStart"/>
      <w:r w:rsidRPr="00E10F8E">
        <w:rPr>
          <w:rFonts w:ascii="Garamond" w:hAnsi="Garamond"/>
          <w:lang w:val="en-GB"/>
        </w:rPr>
        <w:t>Presner</w:t>
      </w:r>
      <w:proofErr w:type="spellEnd"/>
      <w:r w:rsidRPr="00E10F8E">
        <w:rPr>
          <w:rFonts w:ascii="Garamond" w:hAnsi="Garamond"/>
          <w:lang w:val="en-GB"/>
        </w:rPr>
        <w:t xml:space="preserve"> identifies when he notes that a transcript omits the “creakiness” of a voice, laboured breathing, and significant pauses, reducing the affective and epistemic content of testimony to its propositional surface.</w:t>
      </w:r>
      <w:r w:rsidRPr="00E10F8E">
        <w:rPr>
          <w:rStyle w:val="Fodnotehenvisning"/>
          <w:rFonts w:ascii="Garamond" w:hAnsi="Garamond"/>
          <w:lang w:val="en-GB"/>
        </w:rPr>
        <w:footnoteReference w:id="7"/>
      </w:r>
    </w:p>
    <w:p w14:paraId="21B58E3E"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The multimodal character of the recording also creates what </w:t>
      </w:r>
      <w:proofErr w:type="spellStart"/>
      <w:r w:rsidRPr="00E10F8E">
        <w:rPr>
          <w:rFonts w:ascii="Garamond" w:hAnsi="Garamond"/>
          <w:lang w:val="en-GB"/>
        </w:rPr>
        <w:t>Presner</w:t>
      </w:r>
      <w:proofErr w:type="spellEnd"/>
      <w:r w:rsidRPr="00E10F8E">
        <w:rPr>
          <w:rFonts w:ascii="Garamond" w:hAnsi="Garamond"/>
          <w:lang w:val="en-GB"/>
        </w:rPr>
        <w:t xml:space="preserve"> calls a condition of “distant witnessing”: the historian’s interaction with Braun is mediated by the technology of capture, the layers of media migration, and the interface of the digital archive.</w:t>
      </w:r>
      <w:r w:rsidRPr="00E10F8E">
        <w:rPr>
          <w:rStyle w:val="Fodnotehenvisning"/>
          <w:rFonts w:ascii="Garamond" w:hAnsi="Garamond"/>
          <w:lang w:val="en-GB"/>
        </w:rPr>
        <w:footnoteReference w:id="8"/>
      </w:r>
      <w:r w:rsidRPr="00E10F8E">
        <w:rPr>
          <w:rFonts w:ascii="Garamond" w:hAnsi="Garamond"/>
          <w:lang w:val="en-GB"/>
        </w:rPr>
        <w:t xml:space="preserve"> The recording is bound to the “time-kernel” of 1946; it cannot answer questions about context it was not asked, and it does not know who is listening or when. Working with it therefore requires an “art of listening” that takes the materiality of the medium seriously: attending not only to what Braun says but to how she says it, and remaining alert to what the interface does and does not make accessible. The digitized wire recording is a richer source than its transcript, but it is also a more demanding one.</w:t>
      </w:r>
      <w:r w:rsidRPr="00E10F8E">
        <w:rPr>
          <w:rStyle w:val="Fodnotehenvisning"/>
          <w:rFonts w:ascii="Garamond" w:hAnsi="Garamond"/>
          <w:lang w:val="en-GB"/>
        </w:rPr>
        <w:footnoteReference w:id="9"/>
      </w:r>
    </w:p>
    <w:p w14:paraId="4D1E999E" w14:textId="77777777" w:rsidR="00E10F8E" w:rsidRPr="00E10F8E" w:rsidRDefault="00E10F8E" w:rsidP="00E10F8E">
      <w:pPr>
        <w:pStyle w:val="Overskrift2"/>
        <w:spacing w:before="300" w:after="200" w:line="360" w:lineRule="auto"/>
        <w:rPr>
          <w:rStyle w:val="Kraftighenvisning"/>
          <w:rFonts w:ascii="Garamond" w:hAnsi="Garamond"/>
          <w:b w:val="0"/>
          <w:bCs w:val="0"/>
          <w:lang w:val="en-GB"/>
        </w:rPr>
      </w:pPr>
      <w:r w:rsidRPr="00E10F8E">
        <w:rPr>
          <w:rStyle w:val="Kraftighenvisning"/>
          <w:rFonts w:ascii="Garamond" w:hAnsi="Garamond"/>
          <w:lang w:val="en-GB"/>
        </w:rPr>
        <w:lastRenderedPageBreak/>
        <w:t>Part 3</w:t>
      </w:r>
    </w:p>
    <w:p w14:paraId="29F82BF9"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Digitized historical sources and reborn digital sources in the archived web are both mediated by technology, but they require different critical approaches because they are encoded by different processes. Understanding those differences is central to the digital archival literacy Jensen advocates.</w:t>
      </w:r>
      <w:r w:rsidRPr="00E10F8E">
        <w:rPr>
          <w:rStyle w:val="Fodnotehenvisning"/>
          <w:rFonts w:ascii="Garamond" w:hAnsi="Garamond"/>
          <w:lang w:val="en-GB"/>
        </w:rPr>
        <w:footnoteReference w:id="10"/>
      </w:r>
    </w:p>
    <w:p w14:paraId="30BBC6AD"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Digitized sources, such as those in the </w:t>
      </w:r>
      <w:r w:rsidRPr="00E10F8E">
        <w:rPr>
          <w:rFonts w:ascii="Garamond" w:hAnsi="Garamond"/>
          <w:i/>
          <w:iCs/>
          <w:lang w:val="en-GB"/>
        </w:rPr>
        <w:t>Voyages</w:t>
      </w:r>
      <w:r w:rsidRPr="00E10F8E">
        <w:rPr>
          <w:rFonts w:ascii="Garamond" w:hAnsi="Garamond"/>
          <w:lang w:val="en-GB"/>
        </w:rPr>
        <w:t xml:space="preserve"> database, originate as analogue records that have been converted into digital formats. As Kelley’s overview of the database’s reception demonstrates, this conversion has been enormously productive: </w:t>
      </w:r>
      <w:r w:rsidRPr="00E10F8E">
        <w:rPr>
          <w:rFonts w:ascii="Garamond" w:hAnsi="Garamond"/>
          <w:i/>
          <w:iCs/>
          <w:lang w:val="en-GB"/>
        </w:rPr>
        <w:t>Voyages</w:t>
      </w:r>
      <w:r w:rsidRPr="00E10F8E">
        <w:rPr>
          <w:rFonts w:ascii="Garamond" w:hAnsi="Garamond"/>
          <w:lang w:val="en-GB"/>
        </w:rPr>
        <w:t xml:space="preserve"> allowed historians to map regional connections between Africa and the Americas in ways that transformed debates about African American culture and the formation of diasporic identities.</w:t>
      </w:r>
      <w:r w:rsidRPr="00E10F8E">
        <w:rPr>
          <w:rStyle w:val="Fodnotehenvisning"/>
          <w:rFonts w:ascii="Garamond" w:hAnsi="Garamond"/>
          <w:lang w:val="en-GB"/>
        </w:rPr>
        <w:footnoteReference w:id="11"/>
      </w:r>
      <w:r w:rsidRPr="00E10F8E">
        <w:rPr>
          <w:rFonts w:ascii="Garamond" w:hAnsi="Garamond"/>
          <w:lang w:val="en-GB"/>
        </w:rPr>
        <w:t xml:space="preserve"> Yet digitization is never neutral, and the political economy Jensen describes is clearly at work in a project of this scale. Decisions about which variables to record, how to categorize captives, and which metadata schema to adopt all encode interpretations. Johnson’s analysis of the database makes this point with particular force: when 18th-century racial nomenclature is transferred into modern metadata fields, and when the bodies of enslaved people are reduced to searchable integers, the archive reproduces something of the dehumanizing logic it aims to document.</w:t>
      </w:r>
      <w:r w:rsidRPr="00E10F8E">
        <w:rPr>
          <w:rStyle w:val="Fodnotehenvisning"/>
          <w:rFonts w:ascii="Garamond" w:hAnsi="Garamond"/>
          <w:lang w:val="en-GB"/>
        </w:rPr>
        <w:footnoteReference w:id="12"/>
      </w:r>
      <w:r w:rsidRPr="00E10F8E">
        <w:rPr>
          <w:rFonts w:ascii="Garamond" w:hAnsi="Garamond"/>
          <w:lang w:val="en-GB"/>
        </w:rPr>
        <w:t xml:space="preserve"> The historian working with </w:t>
      </w:r>
      <w:r w:rsidRPr="00E10F8E">
        <w:rPr>
          <w:rFonts w:ascii="Garamond" w:hAnsi="Garamond"/>
          <w:i/>
          <w:iCs/>
          <w:lang w:val="en-GB"/>
        </w:rPr>
        <w:t>Voyages</w:t>
      </w:r>
      <w:r w:rsidRPr="00E10F8E">
        <w:rPr>
          <w:rFonts w:ascii="Garamond" w:hAnsi="Garamond"/>
          <w:lang w:val="en-GB"/>
        </w:rPr>
        <w:t xml:space="preserve"> must therefore interrogate the system design—asking how categories were constructed and whose conceptual framework they reflect—rather than treating query results as direct windows onto the past.</w:t>
      </w:r>
      <w:r w:rsidRPr="00E10F8E">
        <w:rPr>
          <w:rStyle w:val="Fodnotehenvisning"/>
          <w:rFonts w:ascii="Garamond" w:hAnsi="Garamond"/>
          <w:lang w:val="en-GB"/>
        </w:rPr>
        <w:footnoteReference w:id="13"/>
      </w:r>
    </w:p>
    <w:p w14:paraId="2EC19ECF"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Reborn digital sources in the archived web present a structurally different problem. As </w:t>
      </w:r>
      <w:proofErr w:type="spellStart"/>
      <w:r w:rsidRPr="00E10F8E">
        <w:rPr>
          <w:rFonts w:ascii="Garamond" w:hAnsi="Garamond"/>
          <w:lang w:val="en-GB"/>
        </w:rPr>
        <w:t>Brügger</w:t>
      </w:r>
      <w:proofErr w:type="spellEnd"/>
      <w:r w:rsidRPr="00E10F8E">
        <w:rPr>
          <w:rFonts w:ascii="Garamond" w:hAnsi="Garamond"/>
          <w:lang w:val="en-GB"/>
        </w:rPr>
        <w:t xml:space="preserve"> argues, the archived web is not a copy of the past web but a </w:t>
      </w:r>
      <w:r w:rsidRPr="00E10F8E">
        <w:rPr>
          <w:rFonts w:ascii="Garamond" w:hAnsi="Garamond"/>
          <w:i/>
          <w:iCs/>
          <w:lang w:val="en-GB"/>
        </w:rPr>
        <w:t>version</w:t>
      </w:r>
      <w:r w:rsidRPr="00E10F8E">
        <w:rPr>
          <w:rFonts w:ascii="Garamond" w:hAnsi="Garamond"/>
          <w:lang w:val="en-GB"/>
        </w:rPr>
        <w:t>—a mediated reconstruction that is incomplete, temporally inconsistent, and shaped by the choices made by web crawlers at the moment of capture.</w:t>
      </w:r>
      <w:r w:rsidRPr="00E10F8E">
        <w:rPr>
          <w:rStyle w:val="Fodnotehenvisning"/>
          <w:rFonts w:ascii="Garamond" w:hAnsi="Garamond"/>
          <w:lang w:val="en-GB"/>
        </w:rPr>
        <w:footnoteReference w:id="14"/>
      </w:r>
      <w:r w:rsidRPr="00E10F8E">
        <w:rPr>
          <w:rFonts w:ascii="Garamond" w:hAnsi="Garamond"/>
          <w:lang w:val="en-GB"/>
        </w:rPr>
        <w:t xml:space="preserve"> Where the digitized database presents a relatively stable interface built by modern archivists, the archived web exposes the historian directly to the fragmentation and impermanence that characterized the original medium. A digitized newspaper page is a clean image of something that once </w:t>
      </w:r>
      <w:r w:rsidRPr="00E10F8E">
        <w:rPr>
          <w:rFonts w:ascii="Garamond" w:hAnsi="Garamond"/>
          <w:lang w:val="en-GB"/>
        </w:rPr>
        <w:lastRenderedPageBreak/>
        <w:t>existed on paper; an archived web page is a patchwork assembled from fragments retrieved at different times, with missing images, broken links, and HTML that may reflect what the server held rather than what any user ever saw.</w:t>
      </w:r>
    </w:p>
    <w:p w14:paraId="54F63B5F"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The practical implication is that the two source types demand different forms of source criticism. For digitized databases, the critical question concerns the encoding decisions of modern archivists and programmers: what categories were applied, what was excluded, and whose framework is reflected in the search interface. For the archived web, the critical question is more fundamental: what was captured, at what moment, and how much of the original has been lost or altered in archiving? In both cases, the historian’s task is not simply to use digital tools efficiently, but to understand how those tools co-produce the sources they appear merely to preserve. Acting as a “morally responsible user,” in Jensen’s phrase, means making that understanding explicit in how sources are cited and how methodological choices are explained.</w:t>
      </w:r>
      <w:r w:rsidRPr="00E10F8E">
        <w:rPr>
          <w:rStyle w:val="Fodnotehenvisning"/>
          <w:rFonts w:ascii="Garamond" w:hAnsi="Garamond"/>
          <w:lang w:val="en-GB"/>
        </w:rPr>
        <w:footnoteReference w:id="15"/>
      </w:r>
      <w:r w:rsidRPr="00E10F8E">
        <w:rPr>
          <w:rStyle w:val="Fodnotehenvisning"/>
          <w:rFonts w:ascii="Garamond" w:hAnsi="Garamond"/>
          <w:lang w:val="en-GB"/>
        </w:rPr>
        <w:footnoteReference w:id="16"/>
      </w:r>
      <w:r w:rsidRPr="00E10F8E">
        <w:rPr>
          <w:rStyle w:val="Fodnotehenvisning"/>
          <w:rFonts w:ascii="Garamond" w:hAnsi="Garamond"/>
          <w:lang w:val="en-GB"/>
        </w:rPr>
        <w:footnoteReference w:id="17"/>
      </w:r>
    </w:p>
    <w:p w14:paraId="055092FE" w14:textId="77777777" w:rsidR="00E10F8E" w:rsidRPr="00E10F8E" w:rsidRDefault="00E10F8E" w:rsidP="00E10F8E">
      <w:pPr>
        <w:pStyle w:val="Overskrift2"/>
        <w:spacing w:before="400" w:after="200" w:line="360" w:lineRule="auto"/>
        <w:rPr>
          <w:rFonts w:ascii="Garamond" w:hAnsi="Garamond"/>
          <w:b/>
          <w:bCs/>
          <w:lang w:val="en-GB"/>
        </w:rPr>
      </w:pPr>
      <w:r w:rsidRPr="00E10F8E">
        <w:rPr>
          <w:rFonts w:ascii="Garamond" w:hAnsi="Garamond"/>
          <w:lang w:val="en-GB"/>
        </w:rPr>
        <w:t>Bibliography</w:t>
      </w:r>
    </w:p>
    <w:p w14:paraId="7F23C7D4" w14:textId="77777777" w:rsidR="00E10F8E" w:rsidRPr="00E10F8E" w:rsidRDefault="00E10F8E" w:rsidP="00E10F8E">
      <w:pPr>
        <w:spacing w:after="200" w:line="360" w:lineRule="auto"/>
        <w:rPr>
          <w:rFonts w:ascii="Garamond" w:hAnsi="Garamond"/>
          <w:lang w:val="en-GB"/>
        </w:rPr>
      </w:pPr>
      <w:proofErr w:type="spellStart"/>
      <w:r w:rsidRPr="00E10F8E">
        <w:rPr>
          <w:rFonts w:ascii="Garamond" w:hAnsi="Garamond"/>
          <w:lang w:val="en-GB"/>
        </w:rPr>
        <w:t>Brügger</w:t>
      </w:r>
      <w:proofErr w:type="spellEnd"/>
      <w:r w:rsidRPr="00E10F8E">
        <w:rPr>
          <w:rFonts w:ascii="Garamond" w:hAnsi="Garamond"/>
          <w:lang w:val="en-GB"/>
        </w:rPr>
        <w:t xml:space="preserve">, Niels. “Understanding the Archived Web as a Historical Source.” In </w:t>
      </w:r>
      <w:r w:rsidRPr="00E10F8E">
        <w:rPr>
          <w:rFonts w:ascii="Garamond" w:hAnsi="Garamond"/>
          <w:i/>
          <w:iCs/>
          <w:lang w:val="en-GB"/>
        </w:rPr>
        <w:t>The SAGE Handbook of Web History</w:t>
      </w:r>
      <w:r w:rsidRPr="00E10F8E">
        <w:rPr>
          <w:rFonts w:ascii="Garamond" w:hAnsi="Garamond"/>
          <w:lang w:val="en-GB"/>
        </w:rPr>
        <w:t>, edited by Niels Brügger and Ian Milligan. SAGE Publications, 2018.</w:t>
      </w:r>
    </w:p>
    <w:p w14:paraId="1AB5FAA4"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“David Boder: From Wire Recordings to Website · Ranke.2”. Accessed 22 April 2026. https://ranke2.uni.lu/u/boder/.</w:t>
      </w:r>
    </w:p>
    <w:p w14:paraId="525D2B56"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Jensen, Helle Strandgaard. “Digital Archival Literacy for (All) Historians.” </w:t>
      </w:r>
      <w:r w:rsidRPr="00E10F8E">
        <w:rPr>
          <w:rFonts w:ascii="Garamond" w:hAnsi="Garamond"/>
          <w:i/>
          <w:iCs/>
          <w:lang w:val="en-GB"/>
        </w:rPr>
        <w:t>Media History</w:t>
      </w:r>
      <w:r w:rsidRPr="00E10F8E">
        <w:rPr>
          <w:rFonts w:ascii="Garamond" w:hAnsi="Garamond"/>
          <w:lang w:val="en-GB"/>
        </w:rPr>
        <w:t xml:space="preserve"> 27, no. 2 (2021): 251–65. https://doi.org/10.1080/13688804.2020.1779047.</w:t>
      </w:r>
    </w:p>
    <w:p w14:paraId="5B546033"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Johnson, Jessica Marie. “Markup Bodies.” </w:t>
      </w:r>
      <w:r w:rsidRPr="00E10F8E">
        <w:rPr>
          <w:rFonts w:ascii="Garamond" w:hAnsi="Garamond"/>
          <w:i/>
          <w:iCs/>
          <w:lang w:val="en-GB"/>
        </w:rPr>
        <w:t>Social Text</w:t>
      </w:r>
      <w:r w:rsidRPr="00E10F8E">
        <w:rPr>
          <w:rFonts w:ascii="Garamond" w:hAnsi="Garamond"/>
          <w:lang w:val="en-GB"/>
        </w:rPr>
        <w:t xml:space="preserve"> 36, no. 4 (2018): 57–79. https://doi.org/10.1215/01642472-7145658.</w:t>
      </w:r>
    </w:p>
    <w:p w14:paraId="4EFB7C30" w14:textId="77777777" w:rsidR="00E10F8E" w:rsidRPr="00E10F8E" w:rsidRDefault="00E10F8E" w:rsidP="00E10F8E">
      <w:pPr>
        <w:spacing w:after="200" w:line="360" w:lineRule="auto"/>
        <w:rPr>
          <w:rFonts w:ascii="Garamond" w:hAnsi="Garamond"/>
          <w:lang w:val="en-GB"/>
        </w:rPr>
      </w:pPr>
      <w:r w:rsidRPr="00E10F8E">
        <w:rPr>
          <w:rFonts w:ascii="Garamond" w:hAnsi="Garamond"/>
          <w:lang w:val="en-GB"/>
        </w:rPr>
        <w:t xml:space="preserve">Kelley, Sean M. “DB or Not DB: Writing the History of the Slave Trade to North America in the Era of the Database.” </w:t>
      </w:r>
      <w:r w:rsidRPr="00E10F8E">
        <w:rPr>
          <w:rFonts w:ascii="Garamond" w:hAnsi="Garamond"/>
          <w:i/>
          <w:iCs/>
          <w:lang w:val="en-GB"/>
        </w:rPr>
        <w:t>History Compass</w:t>
      </w:r>
      <w:r w:rsidRPr="00E10F8E">
        <w:rPr>
          <w:rFonts w:ascii="Garamond" w:hAnsi="Garamond"/>
          <w:lang w:val="en-GB"/>
        </w:rPr>
        <w:t xml:space="preserve"> 17, no. 5 (2019): e12530. https://doi.org/10.1111/hic3.12530.</w:t>
      </w:r>
    </w:p>
    <w:p w14:paraId="20D81A5A" w14:textId="77777777" w:rsidR="00E10F8E" w:rsidRPr="00E10F8E" w:rsidRDefault="00E10F8E" w:rsidP="00E10F8E">
      <w:pPr>
        <w:spacing w:after="200" w:line="360" w:lineRule="auto"/>
        <w:rPr>
          <w:rFonts w:ascii="Garamond" w:hAnsi="Garamond"/>
          <w:lang w:val="en-GB"/>
        </w:rPr>
      </w:pPr>
      <w:proofErr w:type="spellStart"/>
      <w:r w:rsidRPr="00E10F8E">
        <w:rPr>
          <w:rFonts w:ascii="Garamond" w:hAnsi="Garamond"/>
          <w:lang w:val="en-GB"/>
        </w:rPr>
        <w:lastRenderedPageBreak/>
        <w:t>Presner</w:t>
      </w:r>
      <w:proofErr w:type="spellEnd"/>
      <w:r w:rsidRPr="00E10F8E">
        <w:rPr>
          <w:rFonts w:ascii="Garamond" w:hAnsi="Garamond"/>
          <w:lang w:val="en-GB"/>
        </w:rPr>
        <w:t xml:space="preserve">, Todd. </w:t>
      </w:r>
      <w:r w:rsidRPr="00E10F8E">
        <w:rPr>
          <w:rFonts w:ascii="Garamond" w:hAnsi="Garamond"/>
          <w:i/>
          <w:iCs/>
          <w:lang w:val="en-GB"/>
        </w:rPr>
        <w:t>Ethics of the Algorithm: Digital Humanities and Holocaust Memory</w:t>
      </w:r>
      <w:r w:rsidRPr="00E10F8E">
        <w:rPr>
          <w:rFonts w:ascii="Garamond" w:hAnsi="Garamond"/>
          <w:lang w:val="en-GB"/>
        </w:rPr>
        <w:t>. Princeton University Press, 2024.</w:t>
      </w:r>
    </w:p>
    <w:p w14:paraId="78C27A00" w14:textId="2C667FA1" w:rsidR="000827AB" w:rsidRPr="00E10F8E" w:rsidRDefault="000827AB" w:rsidP="00E10F8E">
      <w:pPr>
        <w:spacing w:line="360" w:lineRule="auto"/>
        <w:rPr>
          <w:rFonts w:ascii="Garamond" w:hAnsi="Garamond"/>
          <w:lang w:val="en-GB"/>
        </w:rPr>
      </w:pPr>
    </w:p>
    <w:sectPr w:rsidR="000827AB" w:rsidRPr="00E10F8E">
      <w:headerReference w:type="default" r:id="rId8"/>
      <w:footerReference w:type="even" r:id="rId9"/>
      <w:foot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73D4D" w14:textId="77777777" w:rsidR="00431FAA" w:rsidRDefault="00431FAA" w:rsidP="002F4F59">
      <w:r>
        <w:separator/>
      </w:r>
    </w:p>
  </w:endnote>
  <w:endnote w:type="continuationSeparator" w:id="0">
    <w:p w14:paraId="380B20BC" w14:textId="77777777" w:rsidR="00431FAA" w:rsidRDefault="00431FAA" w:rsidP="002F4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809391452"/>
      <w:docPartObj>
        <w:docPartGallery w:val="Page Numbers (Bottom of Page)"/>
        <w:docPartUnique/>
      </w:docPartObj>
    </w:sdtPr>
    <w:sdtContent>
      <w:p w14:paraId="5FA790B5" w14:textId="28B2B00E" w:rsidR="00E1772D" w:rsidRDefault="00E1772D" w:rsidP="00CD35BD">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50C9DFC1" w14:textId="77777777" w:rsidR="00E1772D" w:rsidRDefault="00E1772D" w:rsidP="00E1772D">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Fonts w:ascii="Garamond" w:hAnsi="Garamond"/>
      </w:rPr>
      <w:id w:val="394870831"/>
      <w:docPartObj>
        <w:docPartGallery w:val="Page Numbers (Bottom of Page)"/>
        <w:docPartUnique/>
      </w:docPartObj>
    </w:sdtPr>
    <w:sdtContent>
      <w:p w14:paraId="35C6E0A6" w14:textId="46D0FFCF" w:rsidR="00E1772D" w:rsidRPr="00E1772D" w:rsidRDefault="00E1772D" w:rsidP="00CD35BD">
        <w:pPr>
          <w:pStyle w:val="Sidefod"/>
          <w:framePr w:wrap="none" w:vAnchor="text" w:hAnchor="margin" w:xAlign="right" w:y="1"/>
          <w:rPr>
            <w:rStyle w:val="Sidetal"/>
            <w:rFonts w:ascii="Garamond" w:hAnsi="Garamond"/>
          </w:rPr>
        </w:pPr>
        <w:r w:rsidRPr="00E1772D">
          <w:rPr>
            <w:rStyle w:val="Sidetal"/>
            <w:rFonts w:ascii="Garamond" w:hAnsi="Garamond"/>
          </w:rPr>
          <w:fldChar w:fldCharType="begin"/>
        </w:r>
        <w:r w:rsidRPr="00E1772D">
          <w:rPr>
            <w:rStyle w:val="Sidetal"/>
            <w:rFonts w:ascii="Garamond" w:hAnsi="Garamond"/>
          </w:rPr>
          <w:instrText xml:space="preserve"> PAGE </w:instrText>
        </w:r>
        <w:r w:rsidRPr="00E1772D">
          <w:rPr>
            <w:rStyle w:val="Sidetal"/>
            <w:rFonts w:ascii="Garamond" w:hAnsi="Garamond"/>
          </w:rPr>
          <w:fldChar w:fldCharType="separate"/>
        </w:r>
        <w:r w:rsidRPr="00E1772D">
          <w:rPr>
            <w:rStyle w:val="Sidetal"/>
            <w:rFonts w:ascii="Garamond" w:hAnsi="Garamond"/>
            <w:noProof/>
          </w:rPr>
          <w:t>1</w:t>
        </w:r>
        <w:r w:rsidRPr="00E1772D">
          <w:rPr>
            <w:rStyle w:val="Sidetal"/>
            <w:rFonts w:ascii="Garamond" w:hAnsi="Garamond"/>
          </w:rPr>
          <w:fldChar w:fldCharType="end"/>
        </w:r>
      </w:p>
    </w:sdtContent>
  </w:sdt>
  <w:p w14:paraId="072C19E4" w14:textId="77777777" w:rsidR="00E1772D" w:rsidRDefault="00E1772D" w:rsidP="00E1772D">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CB81D" w14:textId="77777777" w:rsidR="00431FAA" w:rsidRDefault="00431FAA" w:rsidP="002F4F59">
      <w:r>
        <w:separator/>
      </w:r>
    </w:p>
  </w:footnote>
  <w:footnote w:type="continuationSeparator" w:id="0">
    <w:p w14:paraId="42A47952" w14:textId="77777777" w:rsidR="00431FAA" w:rsidRDefault="00431FAA" w:rsidP="002F4F59">
      <w:r>
        <w:continuationSeparator/>
      </w:r>
    </w:p>
  </w:footnote>
  <w:footnote w:id="1">
    <w:p w14:paraId="1D77AB2A"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 xml:space="preserve">Helle Strandgaard Jensen, “Digital Archival Literacy for (All) Historians”, </w:t>
      </w:r>
      <w:r w:rsidRPr="007A7120">
        <w:rPr>
          <w:i/>
          <w:iCs/>
          <w:sz w:val="20"/>
          <w:szCs w:val="20"/>
          <w:lang w:val="en-GB"/>
        </w:rPr>
        <w:t>Media History</w:t>
      </w:r>
      <w:r w:rsidRPr="007A7120">
        <w:rPr>
          <w:sz w:val="20"/>
          <w:szCs w:val="20"/>
          <w:lang w:val="en-GB"/>
        </w:rPr>
        <w:t xml:space="preserve"> 27, no. 2 (2021): 251–65, p. 1.</w:t>
      </w:r>
    </w:p>
  </w:footnote>
  <w:footnote w:id="2">
    <w:p w14:paraId="12EE3424"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pp. 4–5.</w:t>
      </w:r>
    </w:p>
  </w:footnote>
  <w:footnote w:id="3">
    <w:p w14:paraId="5753004D"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pp. 5–6.</w:t>
      </w:r>
    </w:p>
  </w:footnote>
  <w:footnote w:id="4">
    <w:p w14:paraId="263F5ECB"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pp. 7–8.</w:t>
      </w:r>
    </w:p>
  </w:footnote>
  <w:footnote w:id="5">
    <w:p w14:paraId="68245CE6"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“David Boder: From Wire Recordings to Website · Ranke.2”, accessed 22 April 2026, https://ranke2.uni.lu/u/boder/.</w:t>
      </w:r>
    </w:p>
  </w:footnote>
  <w:footnote w:id="6">
    <w:p w14:paraId="560CC483"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 xml:space="preserve">Todd Presner, </w:t>
      </w:r>
      <w:r w:rsidRPr="007A7120">
        <w:rPr>
          <w:i/>
          <w:iCs/>
          <w:sz w:val="20"/>
          <w:szCs w:val="20"/>
          <w:lang w:val="en-GB"/>
        </w:rPr>
        <w:t>Ethics of the Algorithm: Digital Humanities and Holocaust Memory</w:t>
      </w:r>
      <w:r w:rsidRPr="007A7120">
        <w:rPr>
          <w:sz w:val="20"/>
          <w:szCs w:val="20"/>
          <w:lang w:val="en-GB"/>
        </w:rPr>
        <w:t xml:space="preserve"> (Princeton University Press, 2024), pp. 1–2.</w:t>
      </w:r>
    </w:p>
  </w:footnote>
  <w:footnote w:id="7">
    <w:p w14:paraId="42DBB114" w14:textId="77777777" w:rsidR="00E10F8E" w:rsidRPr="007A7120" w:rsidRDefault="00E10F8E" w:rsidP="00E10F8E">
      <w:pPr>
        <w:spacing w:after="200"/>
        <w:rPr>
          <w:lang w:val="en-GB"/>
        </w:rPr>
      </w:pPr>
      <w:r w:rsidRPr="007A7120">
        <w:rPr>
          <w:rStyle w:val="Fodnotehenvisning"/>
          <w:lang w:val="en-GB"/>
        </w:rPr>
        <w:footnoteRef/>
      </w:r>
      <w:proofErr w:type="spellStart"/>
      <w:r w:rsidRPr="007A7120">
        <w:rPr>
          <w:sz w:val="20"/>
          <w:szCs w:val="20"/>
          <w:lang w:val="en-GB"/>
        </w:rPr>
        <w:t>Presner</w:t>
      </w:r>
      <w:proofErr w:type="spellEnd"/>
      <w:r w:rsidRPr="007A7120">
        <w:rPr>
          <w:sz w:val="20"/>
          <w:szCs w:val="20"/>
          <w:lang w:val="en-GB"/>
        </w:rPr>
        <w:t xml:space="preserve">, </w:t>
      </w:r>
      <w:r w:rsidRPr="007A7120">
        <w:rPr>
          <w:i/>
          <w:iCs/>
          <w:sz w:val="20"/>
          <w:szCs w:val="20"/>
          <w:lang w:val="en-GB"/>
        </w:rPr>
        <w:t>Ethics of the Algorithm</w:t>
      </w:r>
      <w:r w:rsidRPr="007A7120">
        <w:rPr>
          <w:sz w:val="20"/>
          <w:szCs w:val="20"/>
          <w:lang w:val="en-GB"/>
        </w:rPr>
        <w:t>, pp. 2–3.</w:t>
      </w:r>
    </w:p>
  </w:footnote>
  <w:footnote w:id="8">
    <w:p w14:paraId="01251DCB" w14:textId="77777777" w:rsidR="00E10F8E" w:rsidRPr="007A7120" w:rsidRDefault="00E10F8E" w:rsidP="00E10F8E">
      <w:pPr>
        <w:spacing w:after="200"/>
        <w:rPr>
          <w:lang w:val="en-GB"/>
        </w:rPr>
      </w:pPr>
      <w:r w:rsidRPr="007A7120">
        <w:rPr>
          <w:rStyle w:val="Fodnotehenvisning"/>
          <w:lang w:val="en-GB"/>
        </w:rPr>
        <w:footnoteRef/>
      </w:r>
      <w:proofErr w:type="spellStart"/>
      <w:r w:rsidRPr="007A7120">
        <w:rPr>
          <w:sz w:val="20"/>
          <w:szCs w:val="20"/>
          <w:lang w:val="en-GB"/>
        </w:rPr>
        <w:t>Presner</w:t>
      </w:r>
      <w:proofErr w:type="spellEnd"/>
      <w:r w:rsidRPr="007A7120">
        <w:rPr>
          <w:sz w:val="20"/>
          <w:szCs w:val="20"/>
          <w:lang w:val="en-GB"/>
        </w:rPr>
        <w:t xml:space="preserve">, </w:t>
      </w:r>
      <w:r w:rsidRPr="007A7120">
        <w:rPr>
          <w:i/>
          <w:iCs/>
          <w:sz w:val="20"/>
          <w:szCs w:val="20"/>
          <w:lang w:val="en-GB"/>
        </w:rPr>
        <w:t>Ethics of the Algorithm</w:t>
      </w:r>
      <w:r w:rsidRPr="007A7120">
        <w:rPr>
          <w:sz w:val="20"/>
          <w:szCs w:val="20"/>
          <w:lang w:val="en-GB"/>
        </w:rPr>
        <w:t>, pp. 5, 10.</w:t>
      </w:r>
    </w:p>
  </w:footnote>
  <w:footnote w:id="9">
    <w:p w14:paraId="07F499D7"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pp. 4–5.</w:t>
      </w:r>
    </w:p>
  </w:footnote>
  <w:footnote w:id="10">
    <w:p w14:paraId="4DBE7D36"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 5.</w:t>
      </w:r>
    </w:p>
  </w:footnote>
  <w:footnote w:id="11">
    <w:p w14:paraId="1FD65720"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pp. 7–8.</w:t>
      </w:r>
    </w:p>
  </w:footnote>
  <w:footnote w:id="12">
    <w:p w14:paraId="7CD921F7"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Jensen, “Digital Archival Literacy,” p. 8.</w:t>
      </w:r>
    </w:p>
  </w:footnote>
  <w:footnote w:id="13">
    <w:p w14:paraId="30F8FB8A"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 xml:space="preserve">Jessica Marie Johnson, “Markup Bodies,” </w:t>
      </w:r>
      <w:r w:rsidRPr="007A7120">
        <w:rPr>
          <w:i/>
          <w:iCs/>
          <w:sz w:val="20"/>
          <w:szCs w:val="20"/>
          <w:lang w:val="en-GB"/>
        </w:rPr>
        <w:t>Social Text</w:t>
      </w:r>
      <w:r w:rsidRPr="007A7120">
        <w:rPr>
          <w:sz w:val="20"/>
          <w:szCs w:val="20"/>
          <w:lang w:val="en-GB"/>
        </w:rPr>
        <w:t xml:space="preserve"> 36, no. 4 (2018): 57–79, p. 59.</w:t>
      </w:r>
    </w:p>
  </w:footnote>
  <w:footnote w:id="14">
    <w:p w14:paraId="5AD6ABE2"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 xml:space="preserve">Sean M. Kelley, “DB or Not DB: Writing the History of the Slave Trade to North America in the Era of the Database,” </w:t>
      </w:r>
      <w:r w:rsidRPr="007A7120">
        <w:rPr>
          <w:i/>
          <w:iCs/>
          <w:sz w:val="20"/>
          <w:szCs w:val="20"/>
          <w:lang w:val="en-GB"/>
        </w:rPr>
        <w:t>History Compass</w:t>
      </w:r>
      <w:r w:rsidRPr="007A7120">
        <w:rPr>
          <w:sz w:val="20"/>
          <w:szCs w:val="20"/>
          <w:lang w:val="en-GB"/>
        </w:rPr>
        <w:t xml:space="preserve"> 17, no. 5 (2019): e12530, pp. 1–2.</w:t>
      </w:r>
    </w:p>
  </w:footnote>
  <w:footnote w:id="15">
    <w:p w14:paraId="788CD344"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Johnson, “Markup Bodies,” p. 59.</w:t>
      </w:r>
    </w:p>
  </w:footnote>
  <w:footnote w:id="16">
    <w:p w14:paraId="4D91D38F" w14:textId="77777777" w:rsidR="00E10F8E" w:rsidRPr="007A7120" w:rsidRDefault="00E10F8E" w:rsidP="00E10F8E">
      <w:pPr>
        <w:spacing w:after="200"/>
        <w:rPr>
          <w:lang w:val="en-GB"/>
        </w:rPr>
      </w:pPr>
      <w:r w:rsidRPr="007A7120">
        <w:rPr>
          <w:rStyle w:val="Fodnotehenvisning"/>
          <w:lang w:val="en-GB"/>
        </w:rPr>
        <w:footnoteRef/>
      </w:r>
      <w:r w:rsidRPr="007A7120">
        <w:rPr>
          <w:sz w:val="20"/>
          <w:szCs w:val="20"/>
          <w:lang w:val="en-GB"/>
        </w:rPr>
        <w:t>Johnson, “Markup Bodies,” p. 65.</w:t>
      </w:r>
    </w:p>
  </w:footnote>
  <w:footnote w:id="17">
    <w:p w14:paraId="6E6DF887" w14:textId="77777777" w:rsidR="00E10F8E" w:rsidRDefault="00E10F8E" w:rsidP="00E10F8E">
      <w:pPr>
        <w:spacing w:after="200"/>
      </w:pPr>
      <w:r w:rsidRPr="007A7120">
        <w:rPr>
          <w:rStyle w:val="Fodnotehenvisning"/>
          <w:lang w:val="en-GB"/>
        </w:rPr>
        <w:footnoteRef/>
      </w:r>
      <w:r w:rsidRPr="007A7120">
        <w:rPr>
          <w:sz w:val="20"/>
          <w:szCs w:val="20"/>
          <w:lang w:val="en-GB"/>
        </w:rPr>
        <w:t xml:space="preserve">Niels Brügger, “Understanding the Archived Web as a Historical Source,” in </w:t>
      </w:r>
      <w:r w:rsidRPr="007A7120">
        <w:rPr>
          <w:i/>
          <w:iCs/>
          <w:sz w:val="20"/>
          <w:szCs w:val="20"/>
          <w:lang w:val="en-GB"/>
        </w:rPr>
        <w:t>The SAGE Handbook of Web History</w:t>
      </w:r>
      <w:r w:rsidRPr="007A7120">
        <w:rPr>
          <w:sz w:val="20"/>
          <w:szCs w:val="20"/>
          <w:lang w:val="en-GB"/>
        </w:rPr>
        <w:t>, ed. Niels Brügger and Ian Milligan (SAGE, 2018), p. 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FF4F" w14:textId="3A5CCEE7" w:rsidR="002F4F59" w:rsidRPr="003D1F73" w:rsidRDefault="002F4F59" w:rsidP="002F4F59">
    <w:pPr>
      <w:pStyle w:val="Sidehoved"/>
      <w:tabs>
        <w:tab w:val="clear" w:pos="4819"/>
        <w:tab w:val="clear" w:pos="9638"/>
        <w:tab w:val="left" w:pos="3904"/>
        <w:tab w:val="left" w:pos="8176"/>
      </w:tabs>
      <w:rPr>
        <w:rFonts w:ascii="Garamond" w:hAnsi="Garamond"/>
        <w:lang w:val="en-GB"/>
      </w:rPr>
    </w:pPr>
    <w:r w:rsidRPr="003D1F73">
      <w:rPr>
        <w:rFonts w:ascii="Garamond" w:hAnsi="Garamond"/>
        <w:lang w:val="en-GB"/>
      </w:rPr>
      <w:t>Rasmus C. Storkho</w:t>
    </w:r>
    <w:r w:rsidR="000D1E52" w:rsidRPr="003D1F73">
      <w:rPr>
        <w:rFonts w:ascii="Garamond" w:hAnsi="Garamond"/>
        <w:lang w:val="en-GB"/>
      </w:rPr>
      <w:t xml:space="preserve">lm                     </w:t>
    </w:r>
    <w:r w:rsidR="006B7E23" w:rsidRPr="003D1F73">
      <w:rPr>
        <w:rFonts w:ascii="Garamond" w:hAnsi="Garamond"/>
        <w:lang w:val="en-GB"/>
      </w:rPr>
      <w:t xml:space="preserve">Digital archives reflection </w:t>
    </w:r>
    <w:r w:rsidR="000E33F0" w:rsidRPr="003D1F73">
      <w:rPr>
        <w:rFonts w:ascii="Garamond" w:hAnsi="Garamond"/>
        <w:lang w:val="en-GB"/>
      </w:rPr>
      <w:t>Assig</w:t>
    </w:r>
    <w:r w:rsidR="00B016C6" w:rsidRPr="003D1F73">
      <w:rPr>
        <w:rFonts w:ascii="Garamond" w:hAnsi="Garamond"/>
        <w:lang w:val="en-GB"/>
      </w:rPr>
      <w:t>n</w:t>
    </w:r>
    <w:r w:rsidR="000E33F0" w:rsidRPr="003D1F73">
      <w:rPr>
        <w:rFonts w:ascii="Garamond" w:hAnsi="Garamond"/>
        <w:lang w:val="en-GB"/>
      </w:rPr>
      <w:t>men</w:t>
    </w:r>
    <w:r w:rsidR="006B7E23" w:rsidRPr="003D1F73">
      <w:rPr>
        <w:rFonts w:ascii="Garamond" w:hAnsi="Garamond"/>
        <w:lang w:val="en-GB"/>
      </w:rPr>
      <w:t>t</w:t>
    </w:r>
    <w:r w:rsidRPr="003D1F73">
      <w:rPr>
        <w:rFonts w:ascii="Garamond" w:hAnsi="Garamond"/>
        <w:lang w:val="en-GB"/>
      </w:rPr>
      <w:tab/>
    </w:r>
  </w:p>
  <w:p w14:paraId="04FBE35C" w14:textId="2976AD2E" w:rsidR="002F4F59" w:rsidRPr="003D1F73" w:rsidRDefault="002F4F59">
    <w:pPr>
      <w:pStyle w:val="Sidehoved"/>
      <w:rPr>
        <w:rFonts w:ascii="Garamond" w:hAnsi="Garamond"/>
        <w:lang w:val="en-GB"/>
      </w:rPr>
    </w:pPr>
    <w:hyperlink r:id="rId1" w:history="1">
      <w:r w:rsidRPr="003D1F73">
        <w:rPr>
          <w:rStyle w:val="Hyperlink"/>
          <w:rFonts w:ascii="Garamond" w:hAnsi="Garamond"/>
          <w:lang w:val="en-GB"/>
        </w:rPr>
        <w:t>Au802180@au.uni.dk</w:t>
      </w:r>
    </w:hyperlink>
  </w:p>
  <w:p w14:paraId="7643FE34" w14:textId="77777777" w:rsidR="002F4F59" w:rsidRPr="003D1F73" w:rsidRDefault="002F4F59">
    <w:pPr>
      <w:pStyle w:val="Sidehoved"/>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F0DF1"/>
    <w:multiLevelType w:val="multilevel"/>
    <w:tmpl w:val="F38CF7E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5D7D4641"/>
    <w:multiLevelType w:val="multilevel"/>
    <w:tmpl w:val="F35A734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2" w15:restartNumberingAfterBreak="0">
    <w:nsid w:val="7F180212"/>
    <w:multiLevelType w:val="multilevel"/>
    <w:tmpl w:val="1B68EB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917477035">
    <w:abstractNumId w:val="0"/>
  </w:num>
  <w:num w:numId="2" w16cid:durableId="399714317">
    <w:abstractNumId w:val="2"/>
  </w:num>
  <w:num w:numId="3" w16cid:durableId="1264067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59"/>
    <w:rsid w:val="000263D4"/>
    <w:rsid w:val="00036283"/>
    <w:rsid w:val="0006252B"/>
    <w:rsid w:val="00074BA2"/>
    <w:rsid w:val="000827AB"/>
    <w:rsid w:val="0008376F"/>
    <w:rsid w:val="000D1E52"/>
    <w:rsid w:val="000E33F0"/>
    <w:rsid w:val="001033E8"/>
    <w:rsid w:val="00110F50"/>
    <w:rsid w:val="001277C9"/>
    <w:rsid w:val="00135B09"/>
    <w:rsid w:val="00136439"/>
    <w:rsid w:val="00150579"/>
    <w:rsid w:val="0018162C"/>
    <w:rsid w:val="001B1DC0"/>
    <w:rsid w:val="001B72BA"/>
    <w:rsid w:val="001D51DD"/>
    <w:rsid w:val="001D677C"/>
    <w:rsid w:val="002151C1"/>
    <w:rsid w:val="00220AC9"/>
    <w:rsid w:val="002341FC"/>
    <w:rsid w:val="00240062"/>
    <w:rsid w:val="002515CB"/>
    <w:rsid w:val="0025779D"/>
    <w:rsid w:val="00274948"/>
    <w:rsid w:val="002D162B"/>
    <w:rsid w:val="002E078B"/>
    <w:rsid w:val="002E38C6"/>
    <w:rsid w:val="002F4F59"/>
    <w:rsid w:val="0031651C"/>
    <w:rsid w:val="00380D43"/>
    <w:rsid w:val="00386569"/>
    <w:rsid w:val="00390EFA"/>
    <w:rsid w:val="003B53D3"/>
    <w:rsid w:val="003C6F8E"/>
    <w:rsid w:val="003D1F73"/>
    <w:rsid w:val="003D2142"/>
    <w:rsid w:val="003D437C"/>
    <w:rsid w:val="004049ED"/>
    <w:rsid w:val="00411618"/>
    <w:rsid w:val="004145C2"/>
    <w:rsid w:val="00431FAA"/>
    <w:rsid w:val="00434504"/>
    <w:rsid w:val="00492ABE"/>
    <w:rsid w:val="004E33C6"/>
    <w:rsid w:val="004F7D28"/>
    <w:rsid w:val="00531F0D"/>
    <w:rsid w:val="005705D1"/>
    <w:rsid w:val="005838A0"/>
    <w:rsid w:val="006172A6"/>
    <w:rsid w:val="00626104"/>
    <w:rsid w:val="00636628"/>
    <w:rsid w:val="006552E7"/>
    <w:rsid w:val="00660A0B"/>
    <w:rsid w:val="006909B7"/>
    <w:rsid w:val="00691C71"/>
    <w:rsid w:val="006B7E23"/>
    <w:rsid w:val="006D5466"/>
    <w:rsid w:val="007572D5"/>
    <w:rsid w:val="00781EBF"/>
    <w:rsid w:val="007967CD"/>
    <w:rsid w:val="007A0130"/>
    <w:rsid w:val="007C28F8"/>
    <w:rsid w:val="007D54F9"/>
    <w:rsid w:val="00803927"/>
    <w:rsid w:val="00817916"/>
    <w:rsid w:val="00826028"/>
    <w:rsid w:val="00863213"/>
    <w:rsid w:val="009D086C"/>
    <w:rsid w:val="009D1898"/>
    <w:rsid w:val="009D36A0"/>
    <w:rsid w:val="009F4678"/>
    <w:rsid w:val="00A22370"/>
    <w:rsid w:val="00A84CF2"/>
    <w:rsid w:val="00AD2306"/>
    <w:rsid w:val="00B016C6"/>
    <w:rsid w:val="00B45984"/>
    <w:rsid w:val="00B520E6"/>
    <w:rsid w:val="00BC1395"/>
    <w:rsid w:val="00BE10AA"/>
    <w:rsid w:val="00BE6EE7"/>
    <w:rsid w:val="00C15FC4"/>
    <w:rsid w:val="00C21951"/>
    <w:rsid w:val="00CA43AF"/>
    <w:rsid w:val="00CA5DB2"/>
    <w:rsid w:val="00CB5E93"/>
    <w:rsid w:val="00D86EC1"/>
    <w:rsid w:val="00D939F3"/>
    <w:rsid w:val="00DA14A8"/>
    <w:rsid w:val="00DB6ED5"/>
    <w:rsid w:val="00DC17D0"/>
    <w:rsid w:val="00DF2774"/>
    <w:rsid w:val="00E10F8E"/>
    <w:rsid w:val="00E1772D"/>
    <w:rsid w:val="00E379D9"/>
    <w:rsid w:val="00E55582"/>
    <w:rsid w:val="00EC08C8"/>
    <w:rsid w:val="00F012BE"/>
    <w:rsid w:val="00F100AC"/>
    <w:rsid w:val="00F200C7"/>
    <w:rsid w:val="00F32139"/>
    <w:rsid w:val="00F72E2C"/>
    <w:rsid w:val="00F858B5"/>
    <w:rsid w:val="00FC2BFC"/>
    <w:rsid w:val="00FF57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E3F10"/>
  <w15:chartTrackingRefBased/>
  <w15:docId w15:val="{3496B4D4-662A-FE4C-B6DE-0E41BDA0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F4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2F4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2F4F5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2F4F5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F4F5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F4F59"/>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F4F59"/>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F4F59"/>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F4F59"/>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F4F5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2F4F5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2F4F5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2F4F5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F4F5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F4F5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F4F5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F4F5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F4F59"/>
    <w:rPr>
      <w:rFonts w:eastAsiaTheme="majorEastAsia" w:cstheme="majorBidi"/>
      <w:color w:val="272727" w:themeColor="text1" w:themeTint="D8"/>
    </w:rPr>
  </w:style>
  <w:style w:type="paragraph" w:styleId="Titel">
    <w:name w:val="Title"/>
    <w:basedOn w:val="Normal"/>
    <w:next w:val="Normal"/>
    <w:link w:val="TitelTegn"/>
    <w:uiPriority w:val="10"/>
    <w:qFormat/>
    <w:rsid w:val="002F4F59"/>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F4F5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F4F59"/>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F4F59"/>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F4F59"/>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2F4F59"/>
    <w:rPr>
      <w:i/>
      <w:iCs/>
      <w:color w:val="404040" w:themeColor="text1" w:themeTint="BF"/>
    </w:rPr>
  </w:style>
  <w:style w:type="paragraph" w:styleId="Listeafsnit">
    <w:name w:val="List Paragraph"/>
    <w:basedOn w:val="Normal"/>
    <w:uiPriority w:val="34"/>
    <w:qFormat/>
    <w:rsid w:val="002F4F59"/>
    <w:pPr>
      <w:ind w:left="720"/>
      <w:contextualSpacing/>
    </w:pPr>
  </w:style>
  <w:style w:type="character" w:styleId="Kraftigfremhvning">
    <w:name w:val="Intense Emphasis"/>
    <w:basedOn w:val="Standardskrifttypeiafsnit"/>
    <w:uiPriority w:val="21"/>
    <w:qFormat/>
    <w:rsid w:val="002F4F59"/>
    <w:rPr>
      <w:i/>
      <w:iCs/>
      <w:color w:val="0F4761" w:themeColor="accent1" w:themeShade="BF"/>
    </w:rPr>
  </w:style>
  <w:style w:type="paragraph" w:styleId="Strktcitat">
    <w:name w:val="Intense Quote"/>
    <w:basedOn w:val="Normal"/>
    <w:next w:val="Normal"/>
    <w:link w:val="StrktcitatTegn"/>
    <w:uiPriority w:val="30"/>
    <w:qFormat/>
    <w:rsid w:val="002F4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F4F59"/>
    <w:rPr>
      <w:i/>
      <w:iCs/>
      <w:color w:val="0F4761" w:themeColor="accent1" w:themeShade="BF"/>
    </w:rPr>
  </w:style>
  <w:style w:type="character" w:styleId="Kraftighenvisning">
    <w:name w:val="Intense Reference"/>
    <w:basedOn w:val="Standardskrifttypeiafsnit"/>
    <w:uiPriority w:val="32"/>
    <w:qFormat/>
    <w:rsid w:val="002F4F59"/>
    <w:rPr>
      <w:b/>
      <w:bCs/>
      <w:smallCaps/>
      <w:color w:val="0F4761" w:themeColor="accent1" w:themeShade="BF"/>
      <w:spacing w:val="5"/>
    </w:rPr>
  </w:style>
  <w:style w:type="paragraph" w:styleId="Sidehoved">
    <w:name w:val="header"/>
    <w:basedOn w:val="Normal"/>
    <w:link w:val="SidehovedTegn"/>
    <w:uiPriority w:val="99"/>
    <w:unhideWhenUsed/>
    <w:rsid w:val="002F4F59"/>
    <w:pPr>
      <w:tabs>
        <w:tab w:val="center" w:pos="4819"/>
        <w:tab w:val="right" w:pos="9638"/>
      </w:tabs>
    </w:pPr>
  </w:style>
  <w:style w:type="character" w:customStyle="1" w:styleId="SidehovedTegn">
    <w:name w:val="Sidehoved Tegn"/>
    <w:basedOn w:val="Standardskrifttypeiafsnit"/>
    <w:link w:val="Sidehoved"/>
    <w:uiPriority w:val="99"/>
    <w:rsid w:val="002F4F59"/>
  </w:style>
  <w:style w:type="paragraph" w:styleId="Sidefod">
    <w:name w:val="footer"/>
    <w:basedOn w:val="Normal"/>
    <w:link w:val="SidefodTegn"/>
    <w:uiPriority w:val="99"/>
    <w:unhideWhenUsed/>
    <w:rsid w:val="002F4F59"/>
    <w:pPr>
      <w:tabs>
        <w:tab w:val="center" w:pos="4819"/>
        <w:tab w:val="right" w:pos="9638"/>
      </w:tabs>
    </w:pPr>
  </w:style>
  <w:style w:type="character" w:customStyle="1" w:styleId="SidefodTegn">
    <w:name w:val="Sidefod Tegn"/>
    <w:basedOn w:val="Standardskrifttypeiafsnit"/>
    <w:link w:val="Sidefod"/>
    <w:uiPriority w:val="99"/>
    <w:rsid w:val="002F4F59"/>
  </w:style>
  <w:style w:type="character" w:styleId="Hyperlink">
    <w:name w:val="Hyperlink"/>
    <w:basedOn w:val="Standardskrifttypeiafsnit"/>
    <w:uiPriority w:val="99"/>
    <w:unhideWhenUsed/>
    <w:rsid w:val="002F4F59"/>
    <w:rPr>
      <w:color w:val="467886" w:themeColor="hyperlink"/>
      <w:u w:val="single"/>
    </w:rPr>
  </w:style>
  <w:style w:type="character" w:styleId="Ulstomtale">
    <w:name w:val="Unresolved Mention"/>
    <w:basedOn w:val="Standardskrifttypeiafsnit"/>
    <w:uiPriority w:val="99"/>
    <w:semiHidden/>
    <w:unhideWhenUsed/>
    <w:rsid w:val="002F4F59"/>
    <w:rPr>
      <w:color w:val="605E5C"/>
      <w:shd w:val="clear" w:color="auto" w:fill="E1DFDD"/>
    </w:rPr>
  </w:style>
  <w:style w:type="paragraph" w:styleId="Fodnotetekst">
    <w:name w:val="footnote text"/>
    <w:basedOn w:val="Normal"/>
    <w:link w:val="FodnotetekstTegn"/>
    <w:uiPriority w:val="99"/>
    <w:semiHidden/>
    <w:unhideWhenUsed/>
    <w:rsid w:val="00411618"/>
    <w:rPr>
      <w:sz w:val="20"/>
      <w:szCs w:val="20"/>
    </w:rPr>
  </w:style>
  <w:style w:type="character" w:customStyle="1" w:styleId="FodnotetekstTegn">
    <w:name w:val="Fodnotetekst Tegn"/>
    <w:basedOn w:val="Standardskrifttypeiafsnit"/>
    <w:link w:val="Fodnotetekst"/>
    <w:uiPriority w:val="99"/>
    <w:semiHidden/>
    <w:rsid w:val="00411618"/>
    <w:rPr>
      <w:sz w:val="20"/>
      <w:szCs w:val="20"/>
    </w:rPr>
  </w:style>
  <w:style w:type="character" w:styleId="Fodnotehenvisning">
    <w:name w:val="footnote reference"/>
    <w:basedOn w:val="Standardskrifttypeiafsnit"/>
    <w:uiPriority w:val="99"/>
    <w:semiHidden/>
    <w:unhideWhenUsed/>
    <w:rsid w:val="00411618"/>
    <w:rPr>
      <w:vertAlign w:val="superscript"/>
    </w:rPr>
  </w:style>
  <w:style w:type="paragraph" w:styleId="NormalWeb">
    <w:name w:val="Normal (Web)"/>
    <w:basedOn w:val="Normal"/>
    <w:uiPriority w:val="99"/>
    <w:semiHidden/>
    <w:unhideWhenUsed/>
    <w:rsid w:val="005838A0"/>
    <w:pPr>
      <w:spacing w:before="100" w:beforeAutospacing="1" w:after="100" w:afterAutospacing="1"/>
    </w:pPr>
    <w:rPr>
      <w:rFonts w:ascii="Times New Roman" w:eastAsia="Times New Roman" w:hAnsi="Times New Roman" w:cs="Times New Roman"/>
      <w:kern w:val="0"/>
      <w:lang w:eastAsia="da-DK"/>
      <w14:ligatures w14:val="none"/>
    </w:rPr>
  </w:style>
  <w:style w:type="character" w:styleId="Sidetal">
    <w:name w:val="page number"/>
    <w:basedOn w:val="Standardskrifttypeiafsnit"/>
    <w:uiPriority w:val="99"/>
    <w:semiHidden/>
    <w:unhideWhenUsed/>
    <w:rsid w:val="00E1772D"/>
  </w:style>
  <w:style w:type="character" w:customStyle="1" w:styleId="ng-star-inserted">
    <w:name w:val="ng-star-inserted"/>
    <w:basedOn w:val="Standardskrifttypeiafsnit"/>
    <w:rsid w:val="00531F0D"/>
  </w:style>
  <w:style w:type="paragraph" w:styleId="Bibliografi">
    <w:name w:val="Bibliography"/>
    <w:basedOn w:val="Normal"/>
    <w:next w:val="Normal"/>
    <w:uiPriority w:val="37"/>
    <w:unhideWhenUsed/>
    <w:rsid w:val="00F200C7"/>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Au802180@au.uni.dk"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16092-4C21-FC4D-8EB9-D096BB7A7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Pages>
  <Words>1601</Words>
  <Characters>8922</Characters>
  <Application>Microsoft Office Word</Application>
  <DocSecurity>0</DocSecurity>
  <Lines>202</Lines>
  <Paragraphs>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Christian Storkholm</dc:creator>
  <cp:keywords/>
  <dc:description/>
  <cp:lastModifiedBy>Rasmus Christian Storkholm</cp:lastModifiedBy>
  <cp:revision>96</cp:revision>
  <dcterms:created xsi:type="dcterms:W3CDTF">2026-01-30T12:18:00Z</dcterms:created>
  <dcterms:modified xsi:type="dcterms:W3CDTF">2026-05-23T17:55:00Z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id="CmrggKXL"/&gt;&lt;style id="http://www.zotero.org/styles/chicago-notes-bibliography" locale="da-DK" hasBibliography="1" bibliographyStyleHasBeenSet="1"/&gt;&lt;prefs&gt;&lt;pref name="fieldType" value="Field"/&gt;&lt;pr</vt:lpwstr>
  </property>
  <property fmtid="{D5CDD505-2E9C-101B-9397-08002B2CF9AE}" pid="3" name="ZOTERO_PREF_2">
    <vt:lpwstr>ef name="automaticJournalAbbreviations" value="true"/&gt;&lt;pref name="noteType" value="1"/&gt;&lt;/prefs&gt;&lt;/data&gt;</vt:lpwstr>
  </property>
</Properties>
</file>