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A060" w14:textId="0E0A4CFB" w:rsidR="00B45F42" w:rsidRPr="0002264E" w:rsidRDefault="00B45F42">
      <w:pPr>
        <w:rPr>
          <w:rFonts w:ascii="Lato" w:eastAsia="Times New Roman" w:hAnsi="Lato"/>
        </w:rPr>
      </w:pPr>
      <w:r w:rsidRPr="000C5047">
        <w:rPr>
          <w:rFonts w:ascii="Lato" w:eastAsia="Times New Roman" w:hAnsi="Lato"/>
          <w:b/>
          <w:bCs/>
        </w:rPr>
        <w:t>Name</w:t>
      </w:r>
      <w:r w:rsidR="002734AB" w:rsidRPr="000C5047">
        <w:rPr>
          <w:rFonts w:ascii="Lato" w:eastAsia="Times New Roman" w:hAnsi="Lato"/>
          <w:b/>
          <w:bCs/>
        </w:rPr>
        <w:t>s</w:t>
      </w:r>
      <w:r w:rsidRPr="0002264E">
        <w:rPr>
          <w:rFonts w:ascii="Lato" w:eastAsia="Times New Roman" w:hAnsi="Lato"/>
        </w:rPr>
        <w:t>:</w:t>
      </w:r>
      <w:r w:rsidR="002734AB">
        <w:rPr>
          <w:rFonts w:ascii="Lato" w:eastAsia="Times New Roman" w:hAnsi="Lato"/>
        </w:rPr>
        <w:t xml:space="preserve"> Johannes Ohrt Christensen and</w:t>
      </w:r>
      <w:r w:rsidR="00163E97" w:rsidRPr="0002264E">
        <w:rPr>
          <w:rFonts w:ascii="Lato" w:eastAsia="Times New Roman" w:hAnsi="Lato"/>
        </w:rPr>
        <w:t xml:space="preserve"> Christian Andersen</w:t>
      </w:r>
    </w:p>
    <w:p w14:paraId="601270CB" w14:textId="77777777" w:rsidR="00B45F42" w:rsidRPr="0002264E" w:rsidRDefault="00B45F42">
      <w:pPr>
        <w:pStyle w:val="NormalWeb"/>
        <w:divId w:val="189417091"/>
        <w:rPr>
          <w:rFonts w:ascii="Lato" w:hAnsi="Lato"/>
        </w:rPr>
      </w:pPr>
      <w:r w:rsidRPr="0002264E">
        <w:rPr>
          <w:rStyle w:val="Strong"/>
          <w:rFonts w:ascii="Lato" w:hAnsi="Lato"/>
          <w:u w:val="single"/>
        </w:rPr>
        <w:t>Digital Archives Reflection Assignment (2026) </w:t>
      </w:r>
    </w:p>
    <w:p w14:paraId="6FF76367" w14:textId="7BAF69A8" w:rsidR="00B45F42" w:rsidRPr="0002264E" w:rsidRDefault="00B45F42">
      <w:pPr>
        <w:pStyle w:val="NormalWeb"/>
        <w:divId w:val="1834566802"/>
        <w:rPr>
          <w:rFonts w:ascii="Lato" w:hAnsi="Lato"/>
        </w:rPr>
      </w:pPr>
      <w:r w:rsidRPr="0002264E">
        <w:rPr>
          <w:rStyle w:val="Strong"/>
          <w:rFonts w:ascii="Lato" w:hAnsi="Lato"/>
          <w:i/>
          <w:iCs/>
        </w:rPr>
        <w:t xml:space="preserve">Part </w:t>
      </w:r>
      <w:r w:rsidR="00B10944">
        <w:rPr>
          <w:rStyle w:val="Strong"/>
          <w:rFonts w:ascii="Lato" w:hAnsi="Lato"/>
          <w:i/>
          <w:iCs/>
        </w:rPr>
        <w:t>1 (Johannes Ohrt Christensen)</w:t>
      </w:r>
    </w:p>
    <w:p w14:paraId="00AD6833" w14:textId="77777777" w:rsidR="00B45F42" w:rsidRPr="0002264E" w:rsidRDefault="00B45F42">
      <w:pPr>
        <w:pStyle w:val="NormalWeb"/>
        <w:divId w:val="818039271"/>
        <w:rPr>
          <w:rFonts w:ascii="Lato" w:hAnsi="Lato"/>
        </w:rPr>
      </w:pPr>
      <w:r w:rsidRPr="0002264E">
        <w:rPr>
          <w:rFonts w:ascii="Lato" w:hAnsi="Lato"/>
        </w:rPr>
        <w:t>Explain how Jensen's (2021) category of "digital archival literacy" adresses the distinct challenges digital archives represent for historical research. How has digitization changed historians' interactions with their sources? In your response, focus on two points that you found most thought-provoking. You may also choose to cite Jensen and Schriver (2022) in your response. (250 words)</w:t>
      </w:r>
    </w:p>
    <w:p w14:paraId="752EA728" w14:textId="5728D701" w:rsidR="00EC35C3" w:rsidRPr="00EC35C3" w:rsidRDefault="00EC35C3" w:rsidP="00EC35C3">
      <w:pPr>
        <w:pStyle w:val="NormalWeb"/>
        <w:divId w:val="818039271"/>
        <w:rPr>
          <w:rFonts w:ascii="Lato" w:hAnsi="Lato"/>
        </w:rPr>
      </w:pPr>
      <w:r w:rsidRPr="00EC35C3">
        <w:rPr>
          <w:rFonts w:ascii="Lato" w:hAnsi="Lato"/>
        </w:rPr>
        <w:t>Helle Strandgaard Jensen’s (2021) category of digital archival literacy addresses the challenge that digital archives are not neutral repositories, but all digital archives have their own logics of production, distribution, and use.</w:t>
      </w:r>
      <w:r w:rsidR="008577AB">
        <w:rPr>
          <w:rStyle w:val="FootnoteReference"/>
          <w:rFonts w:ascii="Lato" w:hAnsi="Lato"/>
        </w:rPr>
        <w:footnoteReference w:id="1"/>
      </w:r>
      <w:r w:rsidRPr="00EC35C3">
        <w:rPr>
          <w:rFonts w:ascii="Lato" w:hAnsi="Lato"/>
        </w:rPr>
        <w:t xml:space="preserve"> Jensen encourages historians to stop viewing these platforms as transparent tools and instead reflect on how the infrastructure of digital archives shapes historical knowledge.</w:t>
      </w:r>
      <w:r w:rsidR="008577AB">
        <w:rPr>
          <w:rStyle w:val="FootnoteReference"/>
          <w:rFonts w:ascii="Lato" w:hAnsi="Lato"/>
        </w:rPr>
        <w:footnoteReference w:id="2"/>
      </w:r>
    </w:p>
    <w:p w14:paraId="19CF943B" w14:textId="77777777" w:rsidR="00EC35C3" w:rsidRPr="00EC35C3" w:rsidRDefault="00EC35C3" w:rsidP="00EC35C3">
      <w:pPr>
        <w:pStyle w:val="NormalWeb"/>
        <w:divId w:val="818039271"/>
        <w:rPr>
          <w:rFonts w:ascii="Lato" w:hAnsi="Lato"/>
        </w:rPr>
      </w:pPr>
      <w:r w:rsidRPr="00EC35C3">
        <w:rPr>
          <w:rFonts w:ascii="Lato" w:hAnsi="Lato"/>
        </w:rPr>
        <w:t>Two points from the sources that I find particularly thought-provoking regarding how digitization has changed research:</w:t>
      </w:r>
    </w:p>
    <w:p w14:paraId="4B766816" w14:textId="46F5F46B" w:rsidR="00EC35C3" w:rsidRPr="00EC35C3" w:rsidRDefault="00EC35C3" w:rsidP="00EC35C3">
      <w:pPr>
        <w:pStyle w:val="NormalWeb"/>
        <w:divId w:val="818039271"/>
        <w:rPr>
          <w:rFonts w:ascii="Lato" w:hAnsi="Lato"/>
        </w:rPr>
      </w:pPr>
      <w:r w:rsidRPr="00EC35C3">
        <w:rPr>
          <w:rFonts w:ascii="Lato" w:hAnsi="Lato"/>
        </w:rPr>
        <w:t>First, the "political economy" of digital archives dictates availability of different sources based on popularity, prestige, or especially profit. Because digitization is expensive, institutions often prioritize collections with broad appeal (for the general population, not just historians), such as genealogy or royal history, while subfields like gender or decolonial history don’t get as much digitalization.</w:t>
      </w:r>
      <w:r w:rsidR="008577AB">
        <w:rPr>
          <w:rStyle w:val="FootnoteReference"/>
          <w:rFonts w:ascii="Lato" w:hAnsi="Lato"/>
        </w:rPr>
        <w:footnoteReference w:id="3"/>
      </w:r>
      <w:r w:rsidR="008577AB">
        <w:rPr>
          <w:rFonts w:ascii="Lato" w:hAnsi="Lato"/>
        </w:rPr>
        <w:t xml:space="preserve"> </w:t>
      </w:r>
      <w:r w:rsidRPr="00EC35C3">
        <w:rPr>
          <w:rFonts w:ascii="Lato" w:hAnsi="Lato"/>
        </w:rPr>
        <w:t>This creates a</w:t>
      </w:r>
      <w:r w:rsidR="00B86E7A">
        <w:rPr>
          <w:rFonts w:ascii="Lato" w:hAnsi="Lato"/>
        </w:rPr>
        <w:t>n</w:t>
      </w:r>
      <w:r w:rsidRPr="00EC35C3">
        <w:rPr>
          <w:rFonts w:ascii="Lato" w:hAnsi="Lato"/>
        </w:rPr>
        <w:t xml:space="preserve"> effect where the most clickable history becomes the most researched, potentially leading to the forgetting of materials that isn’t digitized.</w:t>
      </w:r>
    </w:p>
    <w:p w14:paraId="3086F044" w14:textId="5A634E30" w:rsidR="00F83B40" w:rsidRDefault="00EC35C3" w:rsidP="00163E97">
      <w:pPr>
        <w:pStyle w:val="NormalWeb"/>
        <w:divId w:val="818039271"/>
        <w:rPr>
          <w:rFonts w:ascii="Lato" w:hAnsi="Lato"/>
        </w:rPr>
      </w:pPr>
      <w:r w:rsidRPr="00EC35C3">
        <w:rPr>
          <w:rFonts w:ascii="Lato" w:hAnsi="Lato"/>
        </w:rPr>
        <w:t xml:space="preserve">Second, the system design and interface act as co-producers of knowledge. Jensen and Schriver (2022) illustrate this through the “Danmark set </w:t>
      </w:r>
      <w:proofErr w:type="spellStart"/>
      <w:r w:rsidRPr="00EC35C3">
        <w:rPr>
          <w:rFonts w:ascii="Lato" w:hAnsi="Lato"/>
        </w:rPr>
        <w:t>fra</w:t>
      </w:r>
      <w:proofErr w:type="spellEnd"/>
      <w:r w:rsidRPr="00EC35C3">
        <w:rPr>
          <w:rFonts w:ascii="Lato" w:hAnsi="Lato"/>
        </w:rPr>
        <w:t xml:space="preserve"> </w:t>
      </w:r>
      <w:proofErr w:type="spellStart"/>
      <w:r w:rsidRPr="00EC35C3">
        <w:rPr>
          <w:rFonts w:ascii="Lato" w:hAnsi="Lato"/>
        </w:rPr>
        <w:t>luften</w:t>
      </w:r>
      <w:proofErr w:type="spellEnd"/>
      <w:r w:rsidRPr="00EC35C3">
        <w:rPr>
          <w:rFonts w:ascii="Lato" w:hAnsi="Lato"/>
        </w:rPr>
        <w:t>” project: to save costs, the archive switched to a Danish state map service that did not cover Greenland or the Faroe Islands, effectively rendering those digitized sources invisible and creating new archival silences.</w:t>
      </w:r>
      <w:r w:rsidR="00C066E1">
        <w:rPr>
          <w:rStyle w:val="FootnoteReference"/>
          <w:rFonts w:ascii="Lato" w:hAnsi="Lato"/>
        </w:rPr>
        <w:footnoteReference w:id="4"/>
      </w:r>
      <w:r w:rsidRPr="00EC35C3">
        <w:rPr>
          <w:rFonts w:ascii="Lato" w:hAnsi="Lato"/>
        </w:rPr>
        <w:t xml:space="preserve"> Furthermore, some search algorithms prioritize simplicity that is similar to google, over archival provenance, causing a loss of context as individual items are isolated from their original sequences and folders.</w:t>
      </w:r>
      <w:r w:rsidR="00C066E1">
        <w:rPr>
          <w:rStyle w:val="FootnoteReference"/>
          <w:rFonts w:ascii="Lato" w:hAnsi="Lato"/>
        </w:rPr>
        <w:footnoteReference w:id="5"/>
      </w:r>
      <w:r w:rsidRPr="00EC35C3">
        <w:rPr>
          <w:rFonts w:ascii="Lato" w:hAnsi="Lato"/>
        </w:rPr>
        <w:t xml:space="preserve"> In the end, digitization has increased accessibility but demands a higher level of methodological awareness, or literacy as Jensen calls it, to navigate these invisible biases.</w:t>
      </w:r>
    </w:p>
    <w:p w14:paraId="30C398B3" w14:textId="77777777" w:rsidR="00BB4053" w:rsidRPr="0002264E" w:rsidRDefault="00BB4053" w:rsidP="00163E97">
      <w:pPr>
        <w:pStyle w:val="NormalWeb"/>
        <w:divId w:val="818039271"/>
        <w:rPr>
          <w:rFonts w:ascii="Lato" w:hAnsi="Lato"/>
        </w:rPr>
      </w:pPr>
    </w:p>
    <w:p w14:paraId="178310B8" w14:textId="3E87DC41" w:rsidR="00B45F42" w:rsidRPr="0002264E" w:rsidRDefault="00B45F42" w:rsidP="00163E97">
      <w:pPr>
        <w:pStyle w:val="NormalWeb"/>
        <w:divId w:val="818039271"/>
        <w:rPr>
          <w:rFonts w:ascii="Lato" w:hAnsi="Lato"/>
        </w:rPr>
      </w:pPr>
      <w:r w:rsidRPr="0002264E">
        <w:rPr>
          <w:rStyle w:val="Strong"/>
          <w:rFonts w:ascii="Lato" w:hAnsi="Lato"/>
          <w:i/>
          <w:iCs/>
        </w:rPr>
        <w:lastRenderedPageBreak/>
        <w:t>Part 2</w:t>
      </w:r>
      <w:r w:rsidR="00B10944">
        <w:rPr>
          <w:rStyle w:val="Strong"/>
          <w:rFonts w:ascii="Lato" w:hAnsi="Lato"/>
          <w:i/>
          <w:iCs/>
        </w:rPr>
        <w:t xml:space="preserve"> (Christian Andersen)</w:t>
      </w:r>
    </w:p>
    <w:p w14:paraId="1A25326C" w14:textId="77777777" w:rsidR="00B45F42" w:rsidRPr="0002264E" w:rsidRDefault="00B45F42">
      <w:pPr>
        <w:pStyle w:val="NormalWeb"/>
        <w:divId w:val="1528908490"/>
        <w:rPr>
          <w:rFonts w:ascii="Lato" w:hAnsi="Lato"/>
        </w:rPr>
      </w:pPr>
      <w:r w:rsidRPr="0002264E">
        <w:rPr>
          <w:rFonts w:ascii="Lato" w:hAnsi="Lato"/>
        </w:rPr>
        <w:t xml:space="preserve">Navigate to the following page entitled “David Boder: from wire recordings to website.” </w:t>
      </w:r>
      <w:hyperlink r:id="rId7" w:anchor="c-clip.en" w:tgtFrame="_blank" w:history="1">
        <w:r w:rsidRPr="0002264E">
          <w:rPr>
            <w:rStyle w:val="Hyperlink"/>
            <w:rFonts w:ascii="Lato" w:hAnsi="Lato"/>
          </w:rPr>
          <w:t>https://ranke2.uni.lu/u/boder/#c-clip.en</w:t>
        </w:r>
      </w:hyperlink>
      <w:r w:rsidRPr="0002264E">
        <w:rPr>
          <w:rFonts w:ascii="Lato" w:hAnsi="Lato"/>
        </w:rPr>
        <w:t>. Familiarize yourself with the page and watch the animation “David Boder's interview collection: from analogue to digital” to learn about Boder’s work and recent efforts to digitize his interviews.  </w:t>
      </w:r>
    </w:p>
    <w:p w14:paraId="617C9871" w14:textId="2B33FA5B" w:rsidR="00692897" w:rsidRPr="00BB4053" w:rsidRDefault="00B45F42" w:rsidP="00692897">
      <w:pPr>
        <w:pStyle w:val="NormalWeb"/>
        <w:numPr>
          <w:ilvl w:val="0"/>
          <w:numId w:val="1"/>
        </w:numPr>
        <w:divId w:val="1256934651"/>
        <w:rPr>
          <w:rFonts w:ascii="Lato" w:hAnsi="Lato"/>
        </w:rPr>
      </w:pPr>
      <w:r w:rsidRPr="0002264E">
        <w:rPr>
          <w:rFonts w:ascii="Lato" w:hAnsi="Lato"/>
        </w:rPr>
        <w:t>Navigate to </w:t>
      </w:r>
      <w:hyperlink r:id="rId8" w:tgtFrame="_blank" w:history="1">
        <w:r w:rsidRPr="0002264E">
          <w:rPr>
            <w:rStyle w:val="Hyperlink"/>
            <w:rFonts w:ascii="Lato" w:hAnsi="Lato"/>
          </w:rPr>
          <w:t>https://iit.aviaryplatform.com/collections/231</w:t>
        </w:r>
      </w:hyperlink>
      <w:r w:rsidRPr="0002264E">
        <w:rPr>
          <w:rFonts w:ascii="Lato" w:hAnsi="Lato"/>
        </w:rPr>
        <w:t xml:space="preserve"> and select one of David Boder’s interviews to analyze. Briefly provide the biographical details of the interviewee.  After reading the “description” panel, discuss the provenance of the source. </w:t>
      </w:r>
      <w:r w:rsidRPr="000C5047">
        <w:rPr>
          <w:rFonts w:ascii="Lato" w:hAnsi="Lato"/>
        </w:rPr>
        <w:t>For example, what metadata is provided by the archive, and which historical details did the archive choose to emphasize in their written summary of the recording?</w:t>
      </w:r>
      <w:r w:rsidRPr="0002264E">
        <w:rPr>
          <w:rFonts w:ascii="Lato" w:hAnsi="Lato"/>
        </w:rPr>
        <w:t xml:space="preserve"> (250 words) </w:t>
      </w:r>
    </w:p>
    <w:p w14:paraId="5176EF96" w14:textId="6C891AD2" w:rsidR="00BB2455" w:rsidRPr="0002264E" w:rsidRDefault="00310C66" w:rsidP="00B90EFC">
      <w:pPr>
        <w:pStyle w:val="NormalWeb"/>
        <w:ind w:left="720"/>
        <w:divId w:val="1256934651"/>
        <w:rPr>
          <w:rFonts w:ascii="Lato" w:hAnsi="Lato"/>
        </w:rPr>
      </w:pPr>
      <w:r w:rsidRPr="0002264E">
        <w:rPr>
          <w:rFonts w:ascii="Lato" w:hAnsi="Lato"/>
        </w:rPr>
        <w:t xml:space="preserve">I chose the interview with Anna Braun, recorded on September 20, </w:t>
      </w:r>
      <w:proofErr w:type="gramStart"/>
      <w:r w:rsidRPr="0002264E">
        <w:rPr>
          <w:rFonts w:ascii="Lato" w:hAnsi="Lato"/>
        </w:rPr>
        <w:t>1946</w:t>
      </w:r>
      <w:proofErr w:type="gramEnd"/>
      <w:r w:rsidRPr="0002264E">
        <w:rPr>
          <w:rFonts w:ascii="Lato" w:hAnsi="Lato"/>
        </w:rPr>
        <w:t xml:space="preserve"> in Munich, Germany. In the </w:t>
      </w:r>
      <w:r w:rsidR="005B280F" w:rsidRPr="0002264E">
        <w:rPr>
          <w:rFonts w:ascii="Lato" w:hAnsi="Lato"/>
        </w:rPr>
        <w:t xml:space="preserve">summary of the recording, the interview with Braun is characterized as a “departure” </w:t>
      </w:r>
      <w:r w:rsidR="00A20703" w:rsidRPr="0002264E">
        <w:rPr>
          <w:rFonts w:ascii="Lato" w:hAnsi="Lato"/>
        </w:rPr>
        <w:t xml:space="preserve">from the testimonies of other survivors. The religious background and minority status of Braun is emphasized and is highlighted as a source </w:t>
      </w:r>
      <w:r w:rsidR="00E60708" w:rsidRPr="0002264E">
        <w:rPr>
          <w:rFonts w:ascii="Lato" w:hAnsi="Lato"/>
        </w:rPr>
        <w:t xml:space="preserve">of repression and prosecution </w:t>
      </w:r>
      <w:r w:rsidR="00AE55BF" w:rsidRPr="0002264E">
        <w:rPr>
          <w:rFonts w:ascii="Lato" w:hAnsi="Lato"/>
        </w:rPr>
        <w:t xml:space="preserve">first </w:t>
      </w:r>
      <w:r w:rsidR="00E60708" w:rsidRPr="0002264E">
        <w:rPr>
          <w:rFonts w:ascii="Lato" w:hAnsi="Lato"/>
        </w:rPr>
        <w:t xml:space="preserve">by the Soviet authorities and then subsequently by the Germans. </w:t>
      </w:r>
      <w:r w:rsidR="00AE55BF" w:rsidRPr="0002264E">
        <w:rPr>
          <w:rFonts w:ascii="Lato" w:hAnsi="Lato"/>
        </w:rPr>
        <w:t xml:space="preserve">The background and origin of the Mennonite community in Ukraine is furthermore emphasized </w:t>
      </w:r>
      <w:r w:rsidR="00B95543" w:rsidRPr="0002264E">
        <w:rPr>
          <w:rFonts w:ascii="Lato" w:hAnsi="Lato"/>
        </w:rPr>
        <w:t>and the pre-war prosecution and repression of the religious minority community</w:t>
      </w:r>
      <w:r w:rsidR="00DB516D" w:rsidRPr="0002264E">
        <w:rPr>
          <w:rFonts w:ascii="Lato" w:hAnsi="Lato"/>
        </w:rPr>
        <w:t xml:space="preserve"> by the Soviet, communist regime</w:t>
      </w:r>
      <w:r w:rsidR="00B95543" w:rsidRPr="0002264E">
        <w:rPr>
          <w:rFonts w:ascii="Lato" w:hAnsi="Lato"/>
        </w:rPr>
        <w:t xml:space="preserve"> is juxtaposed by</w:t>
      </w:r>
      <w:r w:rsidR="003B5F38" w:rsidRPr="0002264E">
        <w:rPr>
          <w:rFonts w:ascii="Lato" w:hAnsi="Lato"/>
        </w:rPr>
        <w:t xml:space="preserve"> the</w:t>
      </w:r>
      <w:r w:rsidR="00B95543" w:rsidRPr="0002264E">
        <w:rPr>
          <w:rFonts w:ascii="Lato" w:hAnsi="Lato"/>
        </w:rPr>
        <w:t xml:space="preserve"> </w:t>
      </w:r>
      <w:r w:rsidR="00916C2F" w:rsidRPr="0002264E">
        <w:rPr>
          <w:rFonts w:ascii="Lato" w:hAnsi="Lato"/>
        </w:rPr>
        <w:t xml:space="preserve">forced relocation of Braun to several forced labor camps </w:t>
      </w:r>
      <w:r w:rsidR="003B5F38" w:rsidRPr="0002264E">
        <w:rPr>
          <w:rFonts w:ascii="Lato" w:hAnsi="Lato"/>
        </w:rPr>
        <w:t xml:space="preserve">located </w:t>
      </w:r>
      <w:r w:rsidR="00916C2F" w:rsidRPr="0002264E">
        <w:rPr>
          <w:rFonts w:ascii="Lato" w:hAnsi="Lato"/>
        </w:rPr>
        <w:t xml:space="preserve">throughout </w:t>
      </w:r>
      <w:r w:rsidR="003B5F38" w:rsidRPr="0002264E">
        <w:rPr>
          <w:rFonts w:ascii="Lato" w:hAnsi="Lato"/>
        </w:rPr>
        <w:t xml:space="preserve">Ukraine, Poland and finally Germany. </w:t>
      </w:r>
      <w:r w:rsidR="00B90EFC" w:rsidRPr="0002264E">
        <w:rPr>
          <w:rFonts w:ascii="Lato" w:hAnsi="Lato"/>
        </w:rPr>
        <w:t xml:space="preserve">Finally, the commentary by Elliot Lefkovitz seeks to narrate the testimony of Braun as a story of “strength and resilience displayed by Mennonite women” (which is presumably </w:t>
      </w:r>
      <w:r w:rsidR="00462667" w:rsidRPr="0002264E">
        <w:rPr>
          <w:rFonts w:ascii="Lato" w:hAnsi="Lato"/>
        </w:rPr>
        <w:t xml:space="preserve">underappreciated?) </w:t>
      </w:r>
      <w:r w:rsidR="00B90EFC" w:rsidRPr="0002264E">
        <w:rPr>
          <w:rFonts w:ascii="Lato" w:hAnsi="Lato"/>
        </w:rPr>
        <w:t xml:space="preserve">and is furthermore intended to remind people of the equally dehumanizing treatment of religious and Jewish minorities by </w:t>
      </w:r>
      <w:r w:rsidR="007873D1" w:rsidRPr="0002264E">
        <w:rPr>
          <w:rFonts w:ascii="Lato" w:hAnsi="Lato"/>
        </w:rPr>
        <w:t xml:space="preserve">the </w:t>
      </w:r>
      <w:r w:rsidR="00B90EFC" w:rsidRPr="0002264E">
        <w:rPr>
          <w:rFonts w:ascii="Lato" w:hAnsi="Lato"/>
        </w:rPr>
        <w:t xml:space="preserve">Soviet Union. </w:t>
      </w:r>
      <w:r w:rsidR="001E7A48" w:rsidRPr="0002264E">
        <w:rPr>
          <w:rFonts w:ascii="Lato" w:hAnsi="Lato"/>
        </w:rPr>
        <w:t xml:space="preserve">Commenting on the fate of Braun by the end of the war, </w:t>
      </w:r>
      <w:r w:rsidR="00B90EFC" w:rsidRPr="0002264E">
        <w:rPr>
          <w:rFonts w:ascii="Lato" w:hAnsi="Lato"/>
        </w:rPr>
        <w:t xml:space="preserve">Lefkovitz </w:t>
      </w:r>
      <w:r w:rsidR="004353E6" w:rsidRPr="0002264E">
        <w:rPr>
          <w:rFonts w:ascii="Lato" w:hAnsi="Lato"/>
        </w:rPr>
        <w:t xml:space="preserve">testifies to the comparatively fortunate </w:t>
      </w:r>
      <w:r w:rsidR="009F2DDE" w:rsidRPr="0002264E">
        <w:rPr>
          <w:rFonts w:ascii="Lato" w:hAnsi="Lato"/>
        </w:rPr>
        <w:t xml:space="preserve">fate of </w:t>
      </w:r>
      <w:r w:rsidR="00B635DB" w:rsidRPr="0002264E">
        <w:rPr>
          <w:rFonts w:ascii="Lato" w:hAnsi="Lato"/>
        </w:rPr>
        <w:t>Braun</w:t>
      </w:r>
      <w:r w:rsidR="009F2DDE" w:rsidRPr="0002264E">
        <w:rPr>
          <w:rFonts w:ascii="Lato" w:hAnsi="Lato"/>
        </w:rPr>
        <w:t xml:space="preserve"> because she managed</w:t>
      </w:r>
      <w:r w:rsidR="00B635DB" w:rsidRPr="0002264E">
        <w:rPr>
          <w:rFonts w:ascii="Lato" w:hAnsi="Lato"/>
        </w:rPr>
        <w:t xml:space="preserve"> to immigrate to </w:t>
      </w:r>
      <w:r w:rsidR="00B62F23" w:rsidRPr="0002264E">
        <w:rPr>
          <w:rFonts w:ascii="Lato" w:hAnsi="Lato"/>
        </w:rPr>
        <w:t xml:space="preserve">Canda while thousands of Mennonites were forcibly repatriated to the Soviet Union, </w:t>
      </w:r>
      <w:r w:rsidR="00B9673B" w:rsidRPr="0002264E">
        <w:rPr>
          <w:rFonts w:ascii="Lato" w:hAnsi="Lato"/>
        </w:rPr>
        <w:t>alluding to the fate that awaited many religious minorities upon repatriation.</w:t>
      </w:r>
      <w:r w:rsidR="00626211" w:rsidRPr="0002264E">
        <w:rPr>
          <w:rStyle w:val="FootnoteReference"/>
          <w:rFonts w:ascii="Lato" w:hAnsi="Lato"/>
        </w:rPr>
        <w:footnoteReference w:id="6"/>
      </w:r>
      <w:r w:rsidR="00B9673B" w:rsidRPr="0002264E">
        <w:rPr>
          <w:rFonts w:ascii="Lato" w:hAnsi="Lato"/>
        </w:rPr>
        <w:t xml:space="preserve"> </w:t>
      </w:r>
      <w:r w:rsidR="00830207" w:rsidRPr="00830207">
        <w:rPr>
          <w:rFonts w:ascii="Lato" w:hAnsi="Lato"/>
        </w:rPr>
        <w:t>Elliot Lefkovitz</w:t>
      </w:r>
      <w:r w:rsidR="00830207">
        <w:rPr>
          <w:rFonts w:ascii="Lato" w:hAnsi="Lato"/>
        </w:rPr>
        <w:t xml:space="preserve"> </w:t>
      </w:r>
      <w:r w:rsidR="00C67CD2">
        <w:rPr>
          <w:rFonts w:ascii="Lato" w:hAnsi="Lato"/>
        </w:rPr>
        <w:t xml:space="preserve">is </w:t>
      </w:r>
      <w:r w:rsidR="002D0ABE">
        <w:rPr>
          <w:rFonts w:ascii="Lato" w:hAnsi="Lato"/>
        </w:rPr>
        <w:t xml:space="preserve">situating </w:t>
      </w:r>
      <w:r w:rsidR="00C67CD2">
        <w:rPr>
          <w:rFonts w:ascii="Lato" w:hAnsi="Lato"/>
        </w:rPr>
        <w:t>th</w:t>
      </w:r>
      <w:r w:rsidR="00F22D00">
        <w:rPr>
          <w:rFonts w:ascii="Lato" w:hAnsi="Lato"/>
        </w:rPr>
        <w:t xml:space="preserve">is example </w:t>
      </w:r>
      <w:r w:rsidR="002D0ABE">
        <w:rPr>
          <w:rFonts w:ascii="Lato" w:hAnsi="Lato"/>
        </w:rPr>
        <w:t>(</w:t>
      </w:r>
      <w:r w:rsidR="00F22D00">
        <w:rPr>
          <w:rFonts w:ascii="Lato" w:hAnsi="Lato"/>
        </w:rPr>
        <w:t>of a victim of the</w:t>
      </w:r>
      <w:r w:rsidR="00C67CD2">
        <w:rPr>
          <w:rFonts w:ascii="Lato" w:hAnsi="Lato"/>
        </w:rPr>
        <w:t xml:space="preserve"> </w:t>
      </w:r>
      <w:r w:rsidR="00352BE4">
        <w:rPr>
          <w:rFonts w:ascii="Lato" w:hAnsi="Lato"/>
        </w:rPr>
        <w:t>Holocaust</w:t>
      </w:r>
      <w:r w:rsidR="002D0ABE">
        <w:rPr>
          <w:rFonts w:ascii="Lato" w:hAnsi="Lato"/>
        </w:rPr>
        <w:t>)</w:t>
      </w:r>
      <w:r w:rsidR="00352BE4">
        <w:rPr>
          <w:rFonts w:ascii="Lato" w:hAnsi="Lato"/>
        </w:rPr>
        <w:t xml:space="preserve"> within a broader framework of </w:t>
      </w:r>
      <w:r w:rsidR="002409EF">
        <w:rPr>
          <w:rFonts w:ascii="Lato" w:hAnsi="Lato"/>
        </w:rPr>
        <w:t xml:space="preserve">prosecution and </w:t>
      </w:r>
      <w:r w:rsidR="00385F6B">
        <w:rPr>
          <w:rFonts w:ascii="Lato" w:hAnsi="Lato"/>
        </w:rPr>
        <w:t xml:space="preserve">repression </w:t>
      </w:r>
      <w:r w:rsidR="008B6B86">
        <w:rPr>
          <w:rFonts w:ascii="Lato" w:hAnsi="Lato"/>
        </w:rPr>
        <w:t xml:space="preserve">by implicating the Soviet Union </w:t>
      </w:r>
      <w:r w:rsidR="005374C6">
        <w:rPr>
          <w:rFonts w:ascii="Lato" w:hAnsi="Lato"/>
        </w:rPr>
        <w:t xml:space="preserve">and by focusing </w:t>
      </w:r>
      <w:r w:rsidR="00067915">
        <w:rPr>
          <w:rFonts w:ascii="Lato" w:hAnsi="Lato"/>
        </w:rPr>
        <w:t xml:space="preserve">holistically </w:t>
      </w:r>
      <w:r w:rsidR="00C024B6">
        <w:rPr>
          <w:rFonts w:ascii="Lato" w:hAnsi="Lato"/>
        </w:rPr>
        <w:t xml:space="preserve">on </w:t>
      </w:r>
      <w:r w:rsidR="00262ECB">
        <w:rPr>
          <w:rFonts w:ascii="Lato" w:hAnsi="Lato"/>
        </w:rPr>
        <w:t xml:space="preserve">the hardships endured </w:t>
      </w:r>
      <w:r w:rsidR="005374C6">
        <w:rPr>
          <w:rFonts w:ascii="Lato" w:hAnsi="Lato"/>
        </w:rPr>
        <w:t>of Anna Braun</w:t>
      </w:r>
      <w:r w:rsidR="00C67CD2">
        <w:rPr>
          <w:rFonts w:ascii="Lato" w:hAnsi="Lato"/>
        </w:rPr>
        <w:t>.</w:t>
      </w:r>
      <w:r w:rsidR="00262ECB">
        <w:rPr>
          <w:rFonts w:ascii="Lato" w:hAnsi="Lato"/>
        </w:rPr>
        <w:t xml:space="preserve"> The emphasis is squarely on the Mennonite experience as a minority, religious community</w:t>
      </w:r>
      <w:r w:rsidR="00A0719D">
        <w:rPr>
          <w:rFonts w:ascii="Lato" w:hAnsi="Lato"/>
        </w:rPr>
        <w:t xml:space="preserve"> and the treatment that they received by the Soviet Union and Nazi Germany</w:t>
      </w:r>
      <w:r w:rsidR="00BF20CE">
        <w:rPr>
          <w:rFonts w:ascii="Lato" w:hAnsi="Lato"/>
        </w:rPr>
        <w:t xml:space="preserve"> (underscoring the totalitarian nature of both the Soviet Union and Nazi Germany)</w:t>
      </w:r>
      <w:r w:rsidR="00A0719D">
        <w:rPr>
          <w:rFonts w:ascii="Lato" w:hAnsi="Lato"/>
        </w:rPr>
        <w:t xml:space="preserve">. </w:t>
      </w:r>
      <w:r w:rsidR="00B360A0">
        <w:rPr>
          <w:rFonts w:ascii="Lato" w:hAnsi="Lato"/>
        </w:rPr>
        <w:t xml:space="preserve">Braun is characterized as distinctly </w:t>
      </w:r>
      <w:r w:rsidR="004A3AEB">
        <w:rPr>
          <w:rFonts w:ascii="Lato" w:hAnsi="Lato"/>
        </w:rPr>
        <w:t>religious,</w:t>
      </w:r>
      <w:r w:rsidR="00542E8A">
        <w:rPr>
          <w:rFonts w:ascii="Lato" w:hAnsi="Lato"/>
        </w:rPr>
        <w:t xml:space="preserve"> and the reader is reminded of the </w:t>
      </w:r>
      <w:r w:rsidR="00971CBE">
        <w:rPr>
          <w:rFonts w:ascii="Lato" w:hAnsi="Lato"/>
        </w:rPr>
        <w:t xml:space="preserve">equally </w:t>
      </w:r>
      <w:r w:rsidR="00971CBE" w:rsidRPr="00971CBE">
        <w:rPr>
          <w:rFonts w:ascii="Lato" w:hAnsi="Lato"/>
        </w:rPr>
        <w:t>dehumanizing treatment of minorities by the Soviet Union and the tragic realities of post-war forced repatriation</w:t>
      </w:r>
      <w:r w:rsidR="00971CBE">
        <w:rPr>
          <w:rFonts w:ascii="Lato" w:hAnsi="Lato"/>
        </w:rPr>
        <w:t xml:space="preserve"> (</w:t>
      </w:r>
      <w:r w:rsidR="000D169E">
        <w:rPr>
          <w:rFonts w:ascii="Lato" w:hAnsi="Lato"/>
        </w:rPr>
        <w:t>which, I assume, have frequently been forgotten in the historical record and memory).</w:t>
      </w:r>
    </w:p>
    <w:p w14:paraId="666BFA08" w14:textId="2C3316F5" w:rsidR="00F22217" w:rsidRPr="0002264E" w:rsidRDefault="00F22217" w:rsidP="00B90EFC">
      <w:pPr>
        <w:pStyle w:val="NormalWeb"/>
        <w:ind w:left="720"/>
        <w:divId w:val="1256934651"/>
        <w:rPr>
          <w:rFonts w:ascii="Lato" w:hAnsi="Lato"/>
        </w:rPr>
      </w:pPr>
      <w:r w:rsidRPr="0002264E">
        <w:rPr>
          <w:rFonts w:ascii="Lato" w:hAnsi="Lato"/>
        </w:rPr>
        <w:lastRenderedPageBreak/>
        <w:t>On the issue of metadata</w:t>
      </w:r>
      <w:r w:rsidR="003714B4">
        <w:rPr>
          <w:rFonts w:ascii="Lato" w:hAnsi="Lato"/>
        </w:rPr>
        <w:t xml:space="preserve"> (aside from the</w:t>
      </w:r>
      <w:r w:rsidR="00EF466D">
        <w:rPr>
          <w:rFonts w:ascii="Lato" w:hAnsi="Lato"/>
        </w:rPr>
        <w:t xml:space="preserve"> interpretative commentary </w:t>
      </w:r>
      <w:r w:rsidR="003714B4">
        <w:rPr>
          <w:rFonts w:ascii="Lato" w:hAnsi="Lato"/>
        </w:rPr>
        <w:t xml:space="preserve">by </w:t>
      </w:r>
      <w:r w:rsidR="00C77AAA" w:rsidRPr="00C77AAA">
        <w:rPr>
          <w:rFonts w:ascii="Lato" w:hAnsi="Lato"/>
        </w:rPr>
        <w:t>Elliot Lefkovitz</w:t>
      </w:r>
      <w:r w:rsidR="00F22D00">
        <w:rPr>
          <w:rFonts w:ascii="Lato" w:hAnsi="Lato"/>
        </w:rPr>
        <w:t>)</w:t>
      </w:r>
      <w:r w:rsidRPr="0002264E">
        <w:rPr>
          <w:rFonts w:ascii="Lato" w:hAnsi="Lato"/>
        </w:rPr>
        <w:t xml:space="preserve">, the recording </w:t>
      </w:r>
      <w:r w:rsidR="009159B3" w:rsidRPr="0002264E">
        <w:rPr>
          <w:rFonts w:ascii="Lato" w:hAnsi="Lato"/>
        </w:rPr>
        <w:t>is categorized and catalogued by topic and geography. It should be possible to locate this testimony within the broad conceptual framework of “refugees” and “personal narratives”, but this testimony also falls into the pre-defined category of “Mennonites-Nazi persecution”</w:t>
      </w:r>
      <w:r w:rsidR="00184075" w:rsidRPr="0002264E">
        <w:rPr>
          <w:rFonts w:ascii="Lato" w:hAnsi="Lato"/>
        </w:rPr>
        <w:t xml:space="preserve"> (as attested to in the testimony description). </w:t>
      </w:r>
      <w:r w:rsidR="000C6B04">
        <w:rPr>
          <w:rFonts w:ascii="Lato" w:hAnsi="Lato"/>
        </w:rPr>
        <w:t xml:space="preserve">Braun is framed </w:t>
      </w:r>
      <w:r w:rsidR="0070475F">
        <w:rPr>
          <w:rFonts w:ascii="Lato" w:hAnsi="Lato"/>
        </w:rPr>
        <w:t xml:space="preserve">as part of a specific religious minority. This choice </w:t>
      </w:r>
      <w:r w:rsidR="006674B3">
        <w:rPr>
          <w:rFonts w:ascii="Lato" w:hAnsi="Lato"/>
        </w:rPr>
        <w:t xml:space="preserve">informs </w:t>
      </w:r>
      <w:r w:rsidR="00E84B74">
        <w:rPr>
          <w:rFonts w:ascii="Lato" w:hAnsi="Lato"/>
        </w:rPr>
        <w:t xml:space="preserve">the way researchers interact with </w:t>
      </w:r>
      <w:r w:rsidR="0063471D">
        <w:rPr>
          <w:rFonts w:ascii="Lato" w:hAnsi="Lato"/>
        </w:rPr>
        <w:t>narratives of the Holocaust, foreground</w:t>
      </w:r>
      <w:r w:rsidR="006E0BA7">
        <w:rPr>
          <w:rFonts w:ascii="Lato" w:hAnsi="Lato"/>
        </w:rPr>
        <w:t xml:space="preserve">ing </w:t>
      </w:r>
      <w:r w:rsidR="0063471D">
        <w:rPr>
          <w:rFonts w:ascii="Lato" w:hAnsi="Lato"/>
        </w:rPr>
        <w:t xml:space="preserve">the experience of a religious community located in Ukraine. </w:t>
      </w:r>
    </w:p>
    <w:p w14:paraId="0A79F668" w14:textId="77777777" w:rsidR="00B45F42" w:rsidRPr="0002264E" w:rsidRDefault="00B45F42">
      <w:pPr>
        <w:pStyle w:val="NormalWeb"/>
        <w:numPr>
          <w:ilvl w:val="0"/>
          <w:numId w:val="2"/>
        </w:numPr>
        <w:divId w:val="616183918"/>
        <w:rPr>
          <w:rFonts w:ascii="Lato" w:hAnsi="Lato"/>
        </w:rPr>
      </w:pPr>
      <w:r w:rsidRPr="0002264E">
        <w:rPr>
          <w:rFonts w:ascii="Lato" w:hAnsi="Lato"/>
        </w:rPr>
        <w:t xml:space="preserve">Listen to a few minutes of your chosen interview. Focus on the intonations and emotions expressed by Boder and the interviewee (it’s okay if you do not understand German or Russian). Based on a close listening of the speakers, contemplate how such digitized interviews might provide information absent from text-based interview transcriptions. What are the implications of using interview recordings as a historical source? You may choose to draw on </w:t>
      </w:r>
      <w:proofErr w:type="spellStart"/>
      <w:r w:rsidRPr="0002264E">
        <w:rPr>
          <w:rFonts w:ascii="Lato" w:hAnsi="Lato"/>
        </w:rPr>
        <w:t>Presner</w:t>
      </w:r>
      <w:proofErr w:type="spellEnd"/>
      <w:r w:rsidRPr="0002264E">
        <w:rPr>
          <w:rFonts w:ascii="Lato" w:hAnsi="Lato"/>
        </w:rPr>
        <w:t xml:space="preserve"> (2024) or information from the Ranke.2 website in your response. (250 words)   </w:t>
      </w:r>
    </w:p>
    <w:p w14:paraId="38B23B9C" w14:textId="55B7FEE9" w:rsidR="0002264E" w:rsidRPr="0002264E" w:rsidRDefault="007B1882" w:rsidP="00B10944">
      <w:pPr>
        <w:pStyle w:val="NormalWeb"/>
        <w:ind w:left="720"/>
        <w:divId w:val="616183918"/>
        <w:rPr>
          <w:rFonts w:ascii="Lato" w:hAnsi="Lato"/>
        </w:rPr>
      </w:pPr>
      <w:r w:rsidRPr="0002264E">
        <w:rPr>
          <w:rFonts w:ascii="Lato" w:hAnsi="Lato"/>
        </w:rPr>
        <w:t>One of the core</w:t>
      </w:r>
      <w:r w:rsidR="001E6621" w:rsidRPr="0002264E">
        <w:rPr>
          <w:rFonts w:ascii="Lato" w:hAnsi="Lato"/>
        </w:rPr>
        <w:t xml:space="preserve"> epistemological</w:t>
      </w:r>
      <w:r w:rsidRPr="0002264E">
        <w:rPr>
          <w:rFonts w:ascii="Lato" w:hAnsi="Lato"/>
        </w:rPr>
        <w:t xml:space="preserve"> implications of </w:t>
      </w:r>
      <w:r w:rsidR="00A47BAE" w:rsidRPr="0002264E">
        <w:rPr>
          <w:rFonts w:ascii="Lato" w:hAnsi="Lato"/>
        </w:rPr>
        <w:t xml:space="preserve">admitting testimonies </w:t>
      </w:r>
      <w:r w:rsidR="007E62EE" w:rsidRPr="0002264E">
        <w:rPr>
          <w:rFonts w:ascii="Lato" w:hAnsi="Lato"/>
        </w:rPr>
        <w:t>into</w:t>
      </w:r>
      <w:r w:rsidR="00A47BAE" w:rsidRPr="0002264E">
        <w:rPr>
          <w:rFonts w:ascii="Lato" w:hAnsi="Lato"/>
        </w:rPr>
        <w:t xml:space="preserve"> the historical record is the question of factuality.</w:t>
      </w:r>
      <w:r w:rsidR="00D56CDA" w:rsidRPr="0002264E">
        <w:rPr>
          <w:rStyle w:val="FootnoteReference"/>
          <w:rFonts w:ascii="Lato" w:hAnsi="Lato"/>
        </w:rPr>
        <w:footnoteReference w:id="7"/>
      </w:r>
      <w:r w:rsidR="00A47BAE" w:rsidRPr="0002264E">
        <w:rPr>
          <w:rFonts w:ascii="Lato" w:hAnsi="Lato"/>
        </w:rPr>
        <w:t xml:space="preserve"> </w:t>
      </w:r>
      <w:proofErr w:type="spellStart"/>
      <w:r w:rsidR="005E2911" w:rsidRPr="0002264E">
        <w:rPr>
          <w:rFonts w:ascii="Lato" w:hAnsi="Lato"/>
        </w:rPr>
        <w:t>Presner</w:t>
      </w:r>
      <w:proofErr w:type="spellEnd"/>
      <w:r w:rsidR="005E2911" w:rsidRPr="0002264E">
        <w:rPr>
          <w:rFonts w:ascii="Lato" w:hAnsi="Lato"/>
        </w:rPr>
        <w:t xml:space="preserve"> argues</w:t>
      </w:r>
      <w:r w:rsidR="001E6621" w:rsidRPr="0002264E">
        <w:rPr>
          <w:rFonts w:ascii="Lato" w:hAnsi="Lato"/>
        </w:rPr>
        <w:t xml:space="preserve">, </w:t>
      </w:r>
      <w:r w:rsidR="005E2911" w:rsidRPr="0002264E">
        <w:rPr>
          <w:rFonts w:ascii="Lato" w:hAnsi="Lato"/>
        </w:rPr>
        <w:t>however</w:t>
      </w:r>
      <w:r w:rsidR="001E6621" w:rsidRPr="0002264E">
        <w:rPr>
          <w:rFonts w:ascii="Lato" w:hAnsi="Lato"/>
        </w:rPr>
        <w:t xml:space="preserve">, </w:t>
      </w:r>
      <w:r w:rsidR="005E2911" w:rsidRPr="0002264E">
        <w:rPr>
          <w:rFonts w:ascii="Lato" w:hAnsi="Lato"/>
        </w:rPr>
        <w:t xml:space="preserve">that a testimony is a narrative performance </w:t>
      </w:r>
      <w:r w:rsidR="007E62EE" w:rsidRPr="0002264E">
        <w:rPr>
          <w:rFonts w:ascii="Lato" w:hAnsi="Lato"/>
        </w:rPr>
        <w:t>and that the interviewee (or survivor) makes subjective choices about</w:t>
      </w:r>
      <w:r w:rsidR="00960BD9" w:rsidRPr="0002264E">
        <w:rPr>
          <w:rFonts w:ascii="Lato" w:hAnsi="Lato"/>
        </w:rPr>
        <w:t xml:space="preserve"> voicing </w:t>
      </w:r>
      <w:r w:rsidR="00272BAC" w:rsidRPr="0002264E">
        <w:rPr>
          <w:rFonts w:ascii="Lato" w:hAnsi="Lato"/>
        </w:rPr>
        <w:t>personal experiences of trauma.</w:t>
      </w:r>
      <w:r w:rsidR="00C562C5" w:rsidRPr="0002264E">
        <w:rPr>
          <w:rStyle w:val="FootnoteReference"/>
          <w:rFonts w:ascii="Lato" w:hAnsi="Lato"/>
        </w:rPr>
        <w:footnoteReference w:id="8"/>
      </w:r>
      <w:r w:rsidR="00272BAC" w:rsidRPr="0002264E">
        <w:rPr>
          <w:rFonts w:ascii="Lato" w:hAnsi="Lato"/>
        </w:rPr>
        <w:t xml:space="preserve"> </w:t>
      </w:r>
      <w:r w:rsidR="009C5A49" w:rsidRPr="0002264E">
        <w:rPr>
          <w:rFonts w:ascii="Lato" w:hAnsi="Lato"/>
        </w:rPr>
        <w:t>The interview is a dialogue of telling and listening and listening (and asking)</w:t>
      </w:r>
      <w:r w:rsidR="004877D7" w:rsidRPr="0002264E">
        <w:rPr>
          <w:rFonts w:ascii="Lato" w:hAnsi="Lato"/>
        </w:rPr>
        <w:t xml:space="preserve">, </w:t>
      </w:r>
      <w:r w:rsidR="009C5A49" w:rsidRPr="0002264E">
        <w:rPr>
          <w:rFonts w:ascii="Lato" w:hAnsi="Lato"/>
        </w:rPr>
        <w:t>I would argue</w:t>
      </w:r>
      <w:r w:rsidR="004877D7" w:rsidRPr="0002264E">
        <w:rPr>
          <w:rFonts w:ascii="Lato" w:hAnsi="Lato"/>
        </w:rPr>
        <w:t>,</w:t>
      </w:r>
      <w:r w:rsidR="009C5A49" w:rsidRPr="0002264E">
        <w:rPr>
          <w:rFonts w:ascii="Lato" w:hAnsi="Lato"/>
        </w:rPr>
        <w:t xml:space="preserve"> </w:t>
      </w:r>
      <w:r w:rsidR="004877D7" w:rsidRPr="0002264E">
        <w:rPr>
          <w:rFonts w:ascii="Lato" w:hAnsi="Lato"/>
        </w:rPr>
        <w:t xml:space="preserve">is </w:t>
      </w:r>
      <w:r w:rsidR="009C5A49" w:rsidRPr="0002264E">
        <w:rPr>
          <w:rFonts w:ascii="Lato" w:hAnsi="Lato"/>
        </w:rPr>
        <w:t xml:space="preserve">just as important as telling because the interviewer </w:t>
      </w:r>
      <w:r w:rsidR="009B419F" w:rsidRPr="0002264E">
        <w:rPr>
          <w:rFonts w:ascii="Lato" w:hAnsi="Lato"/>
        </w:rPr>
        <w:t>is partly controlling and framing the dialogue</w:t>
      </w:r>
      <w:r w:rsidR="00A4398A" w:rsidRPr="0002264E">
        <w:rPr>
          <w:rFonts w:ascii="Lato" w:hAnsi="Lato"/>
        </w:rPr>
        <w:t xml:space="preserve"> through the questions posed to the interviewee. </w:t>
      </w:r>
      <w:r w:rsidR="006E7233" w:rsidRPr="0002264E">
        <w:rPr>
          <w:rFonts w:ascii="Lato" w:hAnsi="Lato"/>
        </w:rPr>
        <w:t>Testimonies are, moreover, documents of emotional realities and subjective ways of knowing, experiencing and narrating trauma.</w:t>
      </w:r>
      <w:r w:rsidR="002049DB" w:rsidRPr="0002264E">
        <w:rPr>
          <w:rStyle w:val="FootnoteReference"/>
          <w:rFonts w:ascii="Lato" w:hAnsi="Lato"/>
        </w:rPr>
        <w:footnoteReference w:id="9"/>
      </w:r>
      <w:r w:rsidR="006E7233" w:rsidRPr="0002264E">
        <w:rPr>
          <w:rFonts w:ascii="Lato" w:hAnsi="Lato"/>
        </w:rPr>
        <w:t xml:space="preserve"> </w:t>
      </w:r>
      <w:r w:rsidR="004240FA" w:rsidRPr="0002264E">
        <w:rPr>
          <w:rFonts w:ascii="Lato" w:hAnsi="Lato"/>
        </w:rPr>
        <w:t>In that sense i</w:t>
      </w:r>
      <w:r w:rsidR="00316999" w:rsidRPr="0002264E">
        <w:rPr>
          <w:rFonts w:ascii="Lato" w:hAnsi="Lato"/>
        </w:rPr>
        <w:t xml:space="preserve">t is kind of pointless to speak of the objectivity or factuality of the testimony, </w:t>
      </w:r>
      <w:r w:rsidR="006B2067" w:rsidRPr="0002264E">
        <w:rPr>
          <w:rFonts w:ascii="Lato" w:hAnsi="Lato"/>
        </w:rPr>
        <w:t>as testimonies are squarely subjective (</w:t>
      </w:r>
      <w:r w:rsidR="00883E4A" w:rsidRPr="0002264E">
        <w:rPr>
          <w:rFonts w:ascii="Lato" w:hAnsi="Lato"/>
        </w:rPr>
        <w:t xml:space="preserve">not to discount the truthfulness of the testimony however) and performative. </w:t>
      </w:r>
      <w:r w:rsidR="00373331" w:rsidRPr="0002264E">
        <w:rPr>
          <w:rFonts w:ascii="Lato" w:hAnsi="Lato"/>
        </w:rPr>
        <w:t xml:space="preserve">In </w:t>
      </w:r>
      <w:r w:rsidR="00F50CF2" w:rsidRPr="0002264E">
        <w:rPr>
          <w:rFonts w:ascii="Lato" w:hAnsi="Lato"/>
        </w:rPr>
        <w:t>addition</w:t>
      </w:r>
      <w:r w:rsidR="00373331" w:rsidRPr="0002264E">
        <w:rPr>
          <w:rFonts w:ascii="Lato" w:hAnsi="Lato"/>
        </w:rPr>
        <w:t>, a recording is</w:t>
      </w:r>
      <w:r w:rsidR="00F50CF2" w:rsidRPr="0002264E">
        <w:rPr>
          <w:rFonts w:ascii="Lato" w:hAnsi="Lato"/>
        </w:rPr>
        <w:t xml:space="preserve"> more capable of conveying </w:t>
      </w:r>
      <w:r w:rsidR="00F862B4" w:rsidRPr="0002264E">
        <w:rPr>
          <w:rFonts w:ascii="Lato" w:hAnsi="Lato"/>
        </w:rPr>
        <w:t xml:space="preserve">emotion and the subjective reality of the interviewee than a transcript of the recording is. </w:t>
      </w:r>
      <w:r w:rsidR="00C52BA6" w:rsidRPr="0002264E">
        <w:rPr>
          <w:rFonts w:ascii="Lato" w:hAnsi="Lato"/>
        </w:rPr>
        <w:t xml:space="preserve">While I found the example transcript to be </w:t>
      </w:r>
      <w:proofErr w:type="gramStart"/>
      <w:r w:rsidR="00C52BA6" w:rsidRPr="0002264E">
        <w:rPr>
          <w:rFonts w:ascii="Lato" w:hAnsi="Lato"/>
        </w:rPr>
        <w:t>pretty thorough</w:t>
      </w:r>
      <w:proofErr w:type="gramEnd"/>
      <w:r w:rsidR="00C52BA6" w:rsidRPr="0002264E">
        <w:rPr>
          <w:rFonts w:ascii="Lato" w:hAnsi="Lato"/>
        </w:rPr>
        <w:t xml:space="preserve"> in conveying hesitation and confusion (in hard brackets), I </w:t>
      </w:r>
      <w:r w:rsidR="00AF2EF5" w:rsidRPr="0002264E">
        <w:rPr>
          <w:rFonts w:ascii="Lato" w:hAnsi="Lato"/>
        </w:rPr>
        <w:t xml:space="preserve">did not </w:t>
      </w:r>
      <w:r w:rsidR="00C52BA6" w:rsidRPr="0002264E">
        <w:rPr>
          <w:rFonts w:ascii="Lato" w:hAnsi="Lato"/>
        </w:rPr>
        <w:t>find transcripts to be as</w:t>
      </w:r>
      <w:r w:rsidR="00247896" w:rsidRPr="0002264E">
        <w:rPr>
          <w:rFonts w:ascii="Lato" w:hAnsi="Lato"/>
        </w:rPr>
        <w:t xml:space="preserve"> truthful and</w:t>
      </w:r>
      <w:r w:rsidR="00C52BA6" w:rsidRPr="0002264E">
        <w:rPr>
          <w:rFonts w:ascii="Lato" w:hAnsi="Lato"/>
        </w:rPr>
        <w:t xml:space="preserve"> “persuasive” as </w:t>
      </w:r>
      <w:r w:rsidR="00AF2EF5" w:rsidRPr="0002264E">
        <w:rPr>
          <w:rFonts w:ascii="Lato" w:hAnsi="Lato"/>
        </w:rPr>
        <w:t xml:space="preserve">I found a </w:t>
      </w:r>
      <w:r w:rsidR="00C52BA6" w:rsidRPr="0002264E">
        <w:rPr>
          <w:rFonts w:ascii="Lato" w:hAnsi="Lato"/>
        </w:rPr>
        <w:t>recording of the interview</w:t>
      </w:r>
      <w:r w:rsidR="00AF2EF5" w:rsidRPr="0002264E">
        <w:rPr>
          <w:rFonts w:ascii="Lato" w:hAnsi="Lato"/>
        </w:rPr>
        <w:t xml:space="preserve"> to be</w:t>
      </w:r>
      <w:r w:rsidR="00C52BA6" w:rsidRPr="0002264E">
        <w:rPr>
          <w:rFonts w:ascii="Lato" w:hAnsi="Lato"/>
        </w:rPr>
        <w:t xml:space="preserve">. The recording </w:t>
      </w:r>
      <w:proofErr w:type="gramStart"/>
      <w:r w:rsidR="00C52BA6" w:rsidRPr="0002264E">
        <w:rPr>
          <w:rFonts w:ascii="Lato" w:hAnsi="Lato"/>
        </w:rPr>
        <w:t>is able to</w:t>
      </w:r>
      <w:proofErr w:type="gramEnd"/>
      <w:r w:rsidR="00C52BA6" w:rsidRPr="0002264E">
        <w:rPr>
          <w:rFonts w:ascii="Lato" w:hAnsi="Lato"/>
        </w:rPr>
        <w:t xml:space="preserve"> capture </w:t>
      </w:r>
      <w:r w:rsidR="00311E44" w:rsidRPr="0002264E">
        <w:rPr>
          <w:rFonts w:ascii="Lato" w:hAnsi="Lato"/>
        </w:rPr>
        <w:t>the (</w:t>
      </w:r>
      <w:r w:rsidR="00247896" w:rsidRPr="0002264E">
        <w:rPr>
          <w:rFonts w:ascii="Lato" w:hAnsi="Lato"/>
        </w:rPr>
        <w:t xml:space="preserve">often </w:t>
      </w:r>
      <w:r w:rsidR="00311E44" w:rsidRPr="0002264E">
        <w:rPr>
          <w:rFonts w:ascii="Lato" w:hAnsi="Lato"/>
        </w:rPr>
        <w:t>unspoken) subtleties of</w:t>
      </w:r>
      <w:r w:rsidR="00C52BA6" w:rsidRPr="0002264E">
        <w:rPr>
          <w:rFonts w:ascii="Lato" w:hAnsi="Lato"/>
        </w:rPr>
        <w:t xml:space="preserve"> </w:t>
      </w:r>
      <w:r w:rsidR="00C643AB" w:rsidRPr="0002264E">
        <w:rPr>
          <w:rFonts w:ascii="Lato" w:hAnsi="Lato"/>
        </w:rPr>
        <w:t xml:space="preserve">the subjective and emotional reality of the interviewee </w:t>
      </w:r>
      <w:r w:rsidR="00C52BA6" w:rsidRPr="0002264E">
        <w:rPr>
          <w:rFonts w:ascii="Lato" w:hAnsi="Lato"/>
        </w:rPr>
        <w:t xml:space="preserve">that the interviewee is </w:t>
      </w:r>
      <w:r w:rsidR="00201D2F" w:rsidRPr="0002264E">
        <w:rPr>
          <w:rFonts w:ascii="Lato" w:hAnsi="Lato"/>
        </w:rPr>
        <w:t xml:space="preserve">actively recalling and trying to </w:t>
      </w:r>
      <w:r w:rsidR="00C52BA6" w:rsidRPr="0002264E">
        <w:rPr>
          <w:rFonts w:ascii="Lato" w:hAnsi="Lato"/>
        </w:rPr>
        <w:t>communicate.</w:t>
      </w:r>
      <w:r w:rsidR="00201D2F" w:rsidRPr="0002264E">
        <w:rPr>
          <w:rFonts w:ascii="Lato" w:hAnsi="Lato"/>
        </w:rPr>
        <w:t xml:space="preserve"> </w:t>
      </w:r>
    </w:p>
    <w:p w14:paraId="03EEB576" w14:textId="7F1AFEF8" w:rsidR="00B45F42" w:rsidRPr="0002264E" w:rsidRDefault="00B45F42">
      <w:pPr>
        <w:pStyle w:val="NormalWeb"/>
        <w:divId w:val="1905947239"/>
        <w:rPr>
          <w:rFonts w:ascii="Lato" w:hAnsi="Lato"/>
        </w:rPr>
      </w:pPr>
      <w:r w:rsidRPr="0002264E">
        <w:rPr>
          <w:rStyle w:val="Strong"/>
          <w:rFonts w:ascii="Lato" w:hAnsi="Lato"/>
          <w:i/>
          <w:iCs/>
        </w:rPr>
        <w:t>Part 3 </w:t>
      </w:r>
      <w:r w:rsidR="00B10944">
        <w:rPr>
          <w:rStyle w:val="Strong"/>
          <w:rFonts w:ascii="Lato" w:hAnsi="Lato"/>
          <w:i/>
          <w:iCs/>
        </w:rPr>
        <w:t>(Christian Andersen)</w:t>
      </w:r>
    </w:p>
    <w:p w14:paraId="71C8E38B" w14:textId="77777777" w:rsidR="00A01CFC" w:rsidRPr="0002264E" w:rsidRDefault="00B45F42">
      <w:pPr>
        <w:pStyle w:val="NormalWeb"/>
        <w:divId w:val="260338212"/>
        <w:rPr>
          <w:rFonts w:ascii="Lato" w:hAnsi="Lato"/>
        </w:rPr>
      </w:pPr>
      <w:r w:rsidRPr="0002264E">
        <w:rPr>
          <w:rFonts w:ascii="Lato" w:hAnsi="Lato"/>
        </w:rPr>
        <w:t xml:space="preserve">Compare and contrast the use of digitized historical sources in web-based databases with reborn digital sources in the archived Web. Should these sources be </w:t>
      </w:r>
      <w:r w:rsidRPr="0002264E">
        <w:rPr>
          <w:rFonts w:ascii="Lato" w:hAnsi="Lato"/>
        </w:rPr>
        <w:lastRenderedPageBreak/>
        <w:t>treated differently when conducting historical research? To complete this task, draw on your knowledge of at least two database collections discussed in class and/or your readings. In your response, please support your position using relevant literature from our course, such as Kelley (2019), Johnson (2018), </w:t>
      </w:r>
      <w:proofErr w:type="spellStart"/>
      <w:r w:rsidRPr="0002264E">
        <w:rPr>
          <w:rFonts w:ascii="Lato" w:hAnsi="Lato"/>
        </w:rPr>
        <w:t>Brügger</w:t>
      </w:r>
      <w:proofErr w:type="spellEnd"/>
      <w:r w:rsidRPr="0002264E">
        <w:rPr>
          <w:rFonts w:ascii="Lato" w:hAnsi="Lato"/>
        </w:rPr>
        <w:t> (2019), and the articles mentioned in part one of this assignment. (500 words)</w:t>
      </w:r>
      <w:r w:rsidR="00CE0856" w:rsidRPr="0002264E">
        <w:rPr>
          <w:rFonts w:ascii="Lato" w:hAnsi="Lato"/>
        </w:rPr>
        <w:t>.</w:t>
      </w:r>
    </w:p>
    <w:p w14:paraId="503B0D94" w14:textId="7A825825" w:rsidR="00EF59E0" w:rsidRPr="0002264E" w:rsidRDefault="00545D05">
      <w:pPr>
        <w:pStyle w:val="NormalWeb"/>
        <w:divId w:val="260338212"/>
        <w:rPr>
          <w:rFonts w:ascii="Lato" w:hAnsi="Lato"/>
        </w:rPr>
      </w:pPr>
      <w:r w:rsidRPr="0002264E">
        <w:rPr>
          <w:rFonts w:ascii="Lato" w:hAnsi="Lato"/>
        </w:rPr>
        <w:t xml:space="preserve">Digitized historical sources such as the Boder collection </w:t>
      </w:r>
      <w:r w:rsidR="009A470F" w:rsidRPr="0002264E">
        <w:rPr>
          <w:rFonts w:ascii="Lato" w:hAnsi="Lato"/>
        </w:rPr>
        <w:t>are</w:t>
      </w:r>
      <w:r w:rsidR="00963B6A" w:rsidRPr="0002264E">
        <w:rPr>
          <w:rFonts w:ascii="Lato" w:hAnsi="Lato"/>
        </w:rPr>
        <w:t xml:space="preserve"> more transparent than </w:t>
      </w:r>
      <w:r w:rsidR="00E706F3" w:rsidRPr="0002264E">
        <w:rPr>
          <w:rFonts w:ascii="Lato" w:hAnsi="Lato"/>
        </w:rPr>
        <w:t>reborn digital sources</w:t>
      </w:r>
      <w:r w:rsidR="001C7D11" w:rsidRPr="0002264E">
        <w:rPr>
          <w:rFonts w:ascii="Lato" w:hAnsi="Lato"/>
        </w:rPr>
        <w:t>,</w:t>
      </w:r>
      <w:r w:rsidR="00E75A37" w:rsidRPr="0002264E">
        <w:rPr>
          <w:rFonts w:ascii="Lato" w:hAnsi="Lato"/>
        </w:rPr>
        <w:t xml:space="preserve"> and more importantly</w:t>
      </w:r>
      <w:r w:rsidR="001C7D11" w:rsidRPr="0002264E">
        <w:rPr>
          <w:rFonts w:ascii="Lato" w:hAnsi="Lato"/>
        </w:rPr>
        <w:t>,</w:t>
      </w:r>
      <w:r w:rsidR="00E75A37" w:rsidRPr="0002264E">
        <w:rPr>
          <w:rFonts w:ascii="Lato" w:hAnsi="Lato"/>
        </w:rPr>
        <w:t xml:space="preserve"> </w:t>
      </w:r>
      <w:r w:rsidR="000A07A7" w:rsidRPr="0002264E">
        <w:rPr>
          <w:rFonts w:ascii="Lato" w:hAnsi="Lato"/>
        </w:rPr>
        <w:t>the “degree</w:t>
      </w:r>
      <w:r w:rsidR="006C1CD8" w:rsidRPr="0002264E">
        <w:rPr>
          <w:rFonts w:ascii="Lato" w:hAnsi="Lato"/>
        </w:rPr>
        <w:t xml:space="preserve">” of completeness of the source </w:t>
      </w:r>
      <w:r w:rsidR="000A07A7" w:rsidRPr="0002264E">
        <w:rPr>
          <w:rFonts w:ascii="Lato" w:hAnsi="Lato"/>
        </w:rPr>
        <w:t xml:space="preserve">can be assessed more systematically than </w:t>
      </w:r>
      <w:r w:rsidR="0027609E" w:rsidRPr="0002264E">
        <w:rPr>
          <w:rFonts w:ascii="Lato" w:hAnsi="Lato"/>
        </w:rPr>
        <w:t xml:space="preserve">the completeness of a </w:t>
      </w:r>
      <w:r w:rsidR="00E83BD5" w:rsidRPr="0002264E">
        <w:rPr>
          <w:rFonts w:ascii="Lato" w:hAnsi="Lato"/>
        </w:rPr>
        <w:t>reborn digital source can.</w:t>
      </w:r>
      <w:r w:rsidR="008F4DF9" w:rsidRPr="0002264E">
        <w:rPr>
          <w:rStyle w:val="FootnoteReference"/>
          <w:rFonts w:ascii="Lato" w:hAnsi="Lato"/>
        </w:rPr>
        <w:footnoteReference w:id="10"/>
      </w:r>
      <w:r w:rsidR="00E83BD5" w:rsidRPr="0002264E">
        <w:rPr>
          <w:rFonts w:ascii="Lato" w:hAnsi="Lato"/>
        </w:rPr>
        <w:t xml:space="preserve"> A reborn digital source is typically a patchwork </w:t>
      </w:r>
      <w:r w:rsidR="00365D9E" w:rsidRPr="0002264E">
        <w:rPr>
          <w:rFonts w:ascii="Lato" w:hAnsi="Lato"/>
        </w:rPr>
        <w:t>of</w:t>
      </w:r>
      <w:r w:rsidR="003B43BD" w:rsidRPr="0002264E">
        <w:rPr>
          <w:rFonts w:ascii="Lato" w:hAnsi="Lato"/>
        </w:rPr>
        <w:t xml:space="preserve"> fragments </w:t>
      </w:r>
      <w:r w:rsidR="00A122A4" w:rsidRPr="0002264E">
        <w:rPr>
          <w:rFonts w:ascii="Lato" w:hAnsi="Lato"/>
        </w:rPr>
        <w:t xml:space="preserve">from different times </w:t>
      </w:r>
      <w:r w:rsidR="006208A2" w:rsidRPr="0002264E">
        <w:rPr>
          <w:rFonts w:ascii="Lato" w:hAnsi="Lato"/>
        </w:rPr>
        <w:t>(temporal drift).</w:t>
      </w:r>
      <w:r w:rsidR="00A86621" w:rsidRPr="0002264E">
        <w:rPr>
          <w:rFonts w:ascii="Lato" w:hAnsi="Lato"/>
        </w:rPr>
        <w:t xml:space="preserve"> It can change appearance and is</w:t>
      </w:r>
      <w:r w:rsidR="00B3051C" w:rsidRPr="0002264E">
        <w:rPr>
          <w:rFonts w:ascii="Lato" w:hAnsi="Lato"/>
        </w:rPr>
        <w:t>,</w:t>
      </w:r>
      <w:r w:rsidR="00A86621" w:rsidRPr="0002264E">
        <w:rPr>
          <w:rFonts w:ascii="Lato" w:hAnsi="Lato"/>
        </w:rPr>
        <w:t xml:space="preserve"> in that sense</w:t>
      </w:r>
      <w:r w:rsidR="00B3051C" w:rsidRPr="0002264E">
        <w:rPr>
          <w:rFonts w:ascii="Lato" w:hAnsi="Lato"/>
        </w:rPr>
        <w:t xml:space="preserve">, more </w:t>
      </w:r>
      <w:r w:rsidR="00A86621" w:rsidRPr="0002264E">
        <w:rPr>
          <w:rFonts w:ascii="Lato" w:hAnsi="Lato"/>
        </w:rPr>
        <w:t>incoherent and inconsistent</w:t>
      </w:r>
      <w:r w:rsidR="00B3051C" w:rsidRPr="0002264E">
        <w:rPr>
          <w:rFonts w:ascii="Lato" w:hAnsi="Lato"/>
        </w:rPr>
        <w:t xml:space="preserve"> than a digitized historical source. </w:t>
      </w:r>
      <w:r w:rsidR="00AB3974" w:rsidRPr="0002264E">
        <w:rPr>
          <w:rFonts w:ascii="Lato" w:hAnsi="Lato"/>
        </w:rPr>
        <w:t xml:space="preserve">Moreover, </w:t>
      </w:r>
      <w:r w:rsidR="009501DC" w:rsidRPr="0002264E">
        <w:rPr>
          <w:rFonts w:ascii="Lato" w:hAnsi="Lato"/>
        </w:rPr>
        <w:t xml:space="preserve">it is entirely possible that different versions of the “same” </w:t>
      </w:r>
      <w:r w:rsidR="00EA5A9D" w:rsidRPr="0002264E">
        <w:rPr>
          <w:rFonts w:ascii="Lato" w:hAnsi="Lato"/>
        </w:rPr>
        <w:t xml:space="preserve">source exist, which </w:t>
      </w:r>
      <w:r w:rsidR="00F7303B" w:rsidRPr="0002264E">
        <w:rPr>
          <w:rFonts w:ascii="Lato" w:hAnsi="Lato"/>
        </w:rPr>
        <w:t>raises</w:t>
      </w:r>
      <w:r w:rsidR="00EA5A9D" w:rsidRPr="0002264E">
        <w:rPr>
          <w:rFonts w:ascii="Lato" w:hAnsi="Lato"/>
        </w:rPr>
        <w:t xml:space="preserve"> the question of which version (if any) constitutes the “original</w:t>
      </w:r>
      <w:r w:rsidR="0050730A" w:rsidRPr="0002264E">
        <w:rPr>
          <w:rFonts w:ascii="Lato" w:hAnsi="Lato"/>
        </w:rPr>
        <w:t>” and</w:t>
      </w:r>
      <w:r w:rsidR="00B8301B" w:rsidRPr="0002264E">
        <w:rPr>
          <w:rFonts w:ascii="Lato" w:hAnsi="Lato"/>
        </w:rPr>
        <w:t>, more importantly, how do you</w:t>
      </w:r>
      <w:r w:rsidR="000821DB" w:rsidRPr="0002264E">
        <w:rPr>
          <w:rFonts w:ascii="Lato" w:hAnsi="Lato"/>
        </w:rPr>
        <w:t xml:space="preserve"> reconcile </w:t>
      </w:r>
      <w:r w:rsidR="00555839" w:rsidRPr="0002264E">
        <w:rPr>
          <w:rFonts w:ascii="Lato" w:hAnsi="Lato"/>
        </w:rPr>
        <w:t>these different versions of the “same” source analytically?</w:t>
      </w:r>
      <w:r w:rsidR="00EB71AE" w:rsidRPr="0002264E">
        <w:rPr>
          <w:rStyle w:val="FootnoteReference"/>
          <w:rFonts w:ascii="Lato" w:hAnsi="Lato"/>
        </w:rPr>
        <w:footnoteReference w:id="11"/>
      </w:r>
      <w:r w:rsidR="00555839" w:rsidRPr="0002264E">
        <w:rPr>
          <w:rFonts w:ascii="Lato" w:hAnsi="Lato"/>
        </w:rPr>
        <w:t xml:space="preserve"> </w:t>
      </w:r>
      <w:r w:rsidR="003C52D4" w:rsidRPr="0002264E">
        <w:rPr>
          <w:rFonts w:ascii="Lato" w:hAnsi="Lato"/>
        </w:rPr>
        <w:t xml:space="preserve">The transparency of the appearance of the digital source is certainly more opaque as well. You cannot fully rely on the appearance of the source because the appearance of the source is </w:t>
      </w:r>
      <w:proofErr w:type="gramStart"/>
      <w:r w:rsidR="003C52D4" w:rsidRPr="0002264E">
        <w:rPr>
          <w:rFonts w:ascii="Lato" w:hAnsi="Lato"/>
        </w:rPr>
        <w:t>more often than not</w:t>
      </w:r>
      <w:proofErr w:type="gramEnd"/>
      <w:r w:rsidR="003C52D4" w:rsidRPr="0002264E">
        <w:rPr>
          <w:rFonts w:ascii="Lato" w:hAnsi="Lato"/>
        </w:rPr>
        <w:t xml:space="preserve"> incidental, accidental or completely intentional (or somewhere in between), none of which is fully satisfactory to the historian. That is not necessarily an issue from the perspective of the historian as the functionality and purpose of the source is derived from the question(s) that the historian is posing to the source, but it is admittedly going to be more difficult to perform a consistent, thorough, and rigorous source analysis.</w:t>
      </w:r>
      <w:r w:rsidR="000F6F78" w:rsidRPr="0002264E">
        <w:rPr>
          <w:rStyle w:val="FootnoteReference"/>
          <w:rFonts w:ascii="Lato" w:hAnsi="Lato"/>
        </w:rPr>
        <w:footnoteReference w:id="12"/>
      </w:r>
      <w:r w:rsidR="003C52D4" w:rsidRPr="0002264E">
        <w:rPr>
          <w:rFonts w:ascii="Lato" w:hAnsi="Lato"/>
        </w:rPr>
        <w:t xml:space="preserve"> It raises questions of methodology, and the historian, moreover, might not be able to completely account for the appearance of the source because the appearance of the source is pretty circumstantial. </w:t>
      </w:r>
      <w:r w:rsidR="007C5566" w:rsidRPr="0002264E">
        <w:rPr>
          <w:rFonts w:ascii="Lato" w:hAnsi="Lato"/>
        </w:rPr>
        <w:t xml:space="preserve">On the issue of </w:t>
      </w:r>
      <w:r w:rsidR="00FE4C86" w:rsidRPr="0002264E">
        <w:rPr>
          <w:rFonts w:ascii="Lato" w:hAnsi="Lato"/>
        </w:rPr>
        <w:t xml:space="preserve">temporal and spatial inconsistency, </w:t>
      </w:r>
      <w:r w:rsidR="00F279D4" w:rsidRPr="0002264E">
        <w:rPr>
          <w:rFonts w:ascii="Lato" w:hAnsi="Lato"/>
        </w:rPr>
        <w:t xml:space="preserve">it is apparent that you cannot </w:t>
      </w:r>
      <w:r w:rsidR="008B6AC9" w:rsidRPr="0002264E">
        <w:rPr>
          <w:rFonts w:ascii="Lato" w:hAnsi="Lato"/>
        </w:rPr>
        <w:t>fully rely</w:t>
      </w:r>
      <w:r w:rsidR="00F279D4" w:rsidRPr="0002264E">
        <w:rPr>
          <w:rFonts w:ascii="Lato" w:hAnsi="Lato"/>
        </w:rPr>
        <w:t xml:space="preserve"> on</w:t>
      </w:r>
      <w:r w:rsidR="00683E3B" w:rsidRPr="0002264E">
        <w:rPr>
          <w:rFonts w:ascii="Lato" w:hAnsi="Lato"/>
        </w:rPr>
        <w:t xml:space="preserve"> </w:t>
      </w:r>
      <w:proofErr w:type="gramStart"/>
      <w:r w:rsidR="00683E3B" w:rsidRPr="0002264E">
        <w:rPr>
          <w:rFonts w:ascii="Lato" w:hAnsi="Lato"/>
        </w:rPr>
        <w:t>neither</w:t>
      </w:r>
      <w:proofErr w:type="gramEnd"/>
      <w:r w:rsidR="00683E3B" w:rsidRPr="0002264E">
        <w:rPr>
          <w:rFonts w:ascii="Lato" w:hAnsi="Lato"/>
        </w:rPr>
        <w:t xml:space="preserve"> the appearance </w:t>
      </w:r>
      <w:proofErr w:type="gramStart"/>
      <w:r w:rsidR="00683E3B" w:rsidRPr="0002264E">
        <w:rPr>
          <w:rFonts w:ascii="Lato" w:hAnsi="Lato"/>
        </w:rPr>
        <w:t>nor</w:t>
      </w:r>
      <w:proofErr w:type="gramEnd"/>
      <w:r w:rsidR="00683E3B" w:rsidRPr="0002264E">
        <w:rPr>
          <w:rFonts w:ascii="Lato" w:hAnsi="Lato"/>
        </w:rPr>
        <w:t xml:space="preserve"> the authenticity of the source (web page). </w:t>
      </w:r>
      <w:r w:rsidR="00222CEC" w:rsidRPr="0002264E">
        <w:rPr>
          <w:rFonts w:ascii="Lato" w:hAnsi="Lato"/>
        </w:rPr>
        <w:t>By authenticity</w:t>
      </w:r>
      <w:r w:rsidR="00683E3B" w:rsidRPr="0002264E">
        <w:rPr>
          <w:rFonts w:ascii="Lato" w:hAnsi="Lato"/>
        </w:rPr>
        <w:t>,</w:t>
      </w:r>
      <w:r w:rsidR="00222CEC" w:rsidRPr="0002264E">
        <w:rPr>
          <w:rFonts w:ascii="Lato" w:hAnsi="Lato"/>
        </w:rPr>
        <w:t xml:space="preserve"> </w:t>
      </w:r>
      <w:r w:rsidR="00634775" w:rsidRPr="0002264E">
        <w:rPr>
          <w:rFonts w:ascii="Lato" w:hAnsi="Lato"/>
        </w:rPr>
        <w:t>I am alluding to</w:t>
      </w:r>
      <w:r w:rsidR="004960A5" w:rsidRPr="0002264E">
        <w:rPr>
          <w:rFonts w:ascii="Lato" w:hAnsi="Lato"/>
        </w:rPr>
        <w:t xml:space="preserve"> the</w:t>
      </w:r>
      <w:r w:rsidR="00634775" w:rsidRPr="0002264E">
        <w:rPr>
          <w:rFonts w:ascii="Lato" w:hAnsi="Lato"/>
        </w:rPr>
        <w:t xml:space="preserve"> consistency between the version </w:t>
      </w:r>
      <w:r w:rsidR="004960A5" w:rsidRPr="0002264E">
        <w:rPr>
          <w:rFonts w:ascii="Lato" w:hAnsi="Lato"/>
        </w:rPr>
        <w:t xml:space="preserve">of the web page that the historian is </w:t>
      </w:r>
      <w:r w:rsidR="00CD7B91" w:rsidRPr="0002264E">
        <w:rPr>
          <w:rFonts w:ascii="Lato" w:hAnsi="Lato"/>
        </w:rPr>
        <w:t xml:space="preserve">using to critically engage with the past </w:t>
      </w:r>
      <w:r w:rsidR="004960A5" w:rsidRPr="0002264E">
        <w:rPr>
          <w:rFonts w:ascii="Lato" w:hAnsi="Lato"/>
        </w:rPr>
        <w:t xml:space="preserve">and the version </w:t>
      </w:r>
      <w:r w:rsidR="005674CF" w:rsidRPr="0002264E">
        <w:rPr>
          <w:rFonts w:ascii="Lato" w:hAnsi="Lato"/>
        </w:rPr>
        <w:t xml:space="preserve">that </w:t>
      </w:r>
      <w:r w:rsidR="00304372" w:rsidRPr="0002264E">
        <w:rPr>
          <w:rFonts w:ascii="Lato" w:hAnsi="Lato"/>
        </w:rPr>
        <w:t xml:space="preserve">was </w:t>
      </w:r>
      <w:proofErr w:type="gramStart"/>
      <w:r w:rsidR="00304372" w:rsidRPr="0002264E">
        <w:rPr>
          <w:rFonts w:ascii="Lato" w:hAnsi="Lato"/>
        </w:rPr>
        <w:t>actually being</w:t>
      </w:r>
      <w:proofErr w:type="gramEnd"/>
      <w:r w:rsidR="00304372" w:rsidRPr="0002264E">
        <w:rPr>
          <w:rFonts w:ascii="Lato" w:hAnsi="Lato"/>
        </w:rPr>
        <w:t xml:space="preserve"> used in the past. </w:t>
      </w:r>
      <w:r w:rsidR="00147577" w:rsidRPr="0002264E">
        <w:rPr>
          <w:rFonts w:ascii="Lato" w:hAnsi="Lato"/>
        </w:rPr>
        <w:t>They might not be one and the same.</w:t>
      </w:r>
      <w:r w:rsidR="00BD36EE" w:rsidRPr="0002264E">
        <w:rPr>
          <w:rStyle w:val="FootnoteReference"/>
          <w:rFonts w:ascii="Lato" w:hAnsi="Lato"/>
        </w:rPr>
        <w:footnoteReference w:id="13"/>
      </w:r>
      <w:r w:rsidR="00147577" w:rsidRPr="0002264E">
        <w:rPr>
          <w:rFonts w:ascii="Lato" w:hAnsi="Lato"/>
        </w:rPr>
        <w:t xml:space="preserve"> </w:t>
      </w:r>
      <w:r w:rsidR="004852A9" w:rsidRPr="0002264E">
        <w:rPr>
          <w:rFonts w:ascii="Lato" w:hAnsi="Lato"/>
        </w:rPr>
        <w:t xml:space="preserve">In comparison to the Boder recordings, it is obvious that the recordings and the transcripts represent the same moment in time. </w:t>
      </w:r>
    </w:p>
    <w:p w14:paraId="5D6E3C60" w14:textId="7D228742" w:rsidR="00222CEC" w:rsidRPr="0002264E" w:rsidRDefault="00C2572A">
      <w:pPr>
        <w:pStyle w:val="NormalWeb"/>
        <w:divId w:val="260338212"/>
        <w:rPr>
          <w:rFonts w:ascii="Lato" w:hAnsi="Lato"/>
        </w:rPr>
      </w:pPr>
      <w:r w:rsidRPr="0002264E">
        <w:rPr>
          <w:rFonts w:ascii="Lato" w:hAnsi="Lato"/>
        </w:rPr>
        <w:t>I</w:t>
      </w:r>
      <w:r w:rsidR="00DF5D53" w:rsidRPr="0002264E">
        <w:rPr>
          <w:rFonts w:ascii="Lato" w:hAnsi="Lato"/>
        </w:rPr>
        <w:t xml:space="preserve">n the case of the </w:t>
      </w:r>
      <w:proofErr w:type="spellStart"/>
      <w:r w:rsidR="00DF5D53" w:rsidRPr="0002264E">
        <w:rPr>
          <w:rFonts w:ascii="Lato" w:hAnsi="Lato"/>
        </w:rPr>
        <w:t>SlaveVoyages</w:t>
      </w:r>
      <w:proofErr w:type="spellEnd"/>
      <w:r w:rsidR="00DF5D53" w:rsidRPr="0002264E">
        <w:rPr>
          <w:rFonts w:ascii="Lato" w:hAnsi="Lato"/>
        </w:rPr>
        <w:t xml:space="preserve"> database </w:t>
      </w:r>
      <w:r w:rsidRPr="0002264E">
        <w:rPr>
          <w:rFonts w:ascii="Lato" w:hAnsi="Lato"/>
        </w:rPr>
        <w:t>Johnson argues t</w:t>
      </w:r>
      <w:r w:rsidR="00DF5D53" w:rsidRPr="0002264E">
        <w:rPr>
          <w:rFonts w:ascii="Lato" w:hAnsi="Lato"/>
        </w:rPr>
        <w:t xml:space="preserve">hat </w:t>
      </w:r>
      <w:r w:rsidR="00E40F9F" w:rsidRPr="0002264E">
        <w:rPr>
          <w:rFonts w:ascii="Lato" w:hAnsi="Lato"/>
        </w:rPr>
        <w:t xml:space="preserve">historians </w:t>
      </w:r>
      <w:r w:rsidR="00D53560" w:rsidRPr="0002264E">
        <w:rPr>
          <w:rFonts w:ascii="Lato" w:hAnsi="Lato"/>
        </w:rPr>
        <w:t xml:space="preserve">need to complement </w:t>
      </w:r>
      <w:r w:rsidR="00474C14" w:rsidRPr="0002264E">
        <w:rPr>
          <w:rFonts w:ascii="Lato" w:hAnsi="Lato"/>
        </w:rPr>
        <w:t xml:space="preserve">the quantification of the slave trade with </w:t>
      </w:r>
      <w:r w:rsidR="00F6546E" w:rsidRPr="0002264E">
        <w:rPr>
          <w:rFonts w:ascii="Lato" w:hAnsi="Lato"/>
        </w:rPr>
        <w:t xml:space="preserve">a more </w:t>
      </w:r>
      <w:r w:rsidR="00317D63" w:rsidRPr="0002264E">
        <w:rPr>
          <w:rFonts w:ascii="Lato" w:hAnsi="Lato"/>
        </w:rPr>
        <w:t>qualitative</w:t>
      </w:r>
      <w:r w:rsidRPr="0002264E">
        <w:rPr>
          <w:rFonts w:ascii="Lato" w:hAnsi="Lato"/>
        </w:rPr>
        <w:t xml:space="preserve"> and humanizing/dignifying</w:t>
      </w:r>
      <w:r w:rsidR="00317D63" w:rsidRPr="0002264E">
        <w:rPr>
          <w:rFonts w:ascii="Lato" w:hAnsi="Lato"/>
        </w:rPr>
        <w:t xml:space="preserve"> approach</w:t>
      </w:r>
      <w:r w:rsidR="00A70C96" w:rsidRPr="0002264E">
        <w:rPr>
          <w:rFonts w:ascii="Lato" w:hAnsi="Lato"/>
        </w:rPr>
        <w:t>.</w:t>
      </w:r>
      <w:r w:rsidR="00625F1F" w:rsidRPr="0002264E">
        <w:rPr>
          <w:rStyle w:val="FootnoteReference"/>
          <w:rFonts w:ascii="Lato" w:hAnsi="Lato"/>
        </w:rPr>
        <w:footnoteReference w:id="14"/>
      </w:r>
      <w:r w:rsidR="00A70C96" w:rsidRPr="0002264E">
        <w:rPr>
          <w:rFonts w:ascii="Lato" w:hAnsi="Lato"/>
        </w:rPr>
        <w:t xml:space="preserve"> </w:t>
      </w:r>
      <w:r w:rsidR="0021409B" w:rsidRPr="0002264E">
        <w:rPr>
          <w:rFonts w:ascii="Lato" w:hAnsi="Lato"/>
        </w:rPr>
        <w:t xml:space="preserve">She is concerned that a digital database like the </w:t>
      </w:r>
      <w:proofErr w:type="spellStart"/>
      <w:r w:rsidR="0021409B" w:rsidRPr="0002264E">
        <w:rPr>
          <w:rFonts w:ascii="Lato" w:hAnsi="Lato"/>
        </w:rPr>
        <w:t>SlaveVoyages</w:t>
      </w:r>
      <w:proofErr w:type="spellEnd"/>
      <w:r w:rsidR="0021409B" w:rsidRPr="0002264E">
        <w:rPr>
          <w:rFonts w:ascii="Lato" w:hAnsi="Lato"/>
        </w:rPr>
        <w:t xml:space="preserve"> </w:t>
      </w:r>
      <w:r w:rsidR="001172B7" w:rsidRPr="0002264E">
        <w:rPr>
          <w:rFonts w:ascii="Lato" w:hAnsi="Lato"/>
        </w:rPr>
        <w:t xml:space="preserve">runs the risk of commodifying </w:t>
      </w:r>
      <w:r w:rsidR="003503D9" w:rsidRPr="0002264E">
        <w:rPr>
          <w:rFonts w:ascii="Lato" w:hAnsi="Lato"/>
        </w:rPr>
        <w:t xml:space="preserve">black life and </w:t>
      </w:r>
      <w:r w:rsidR="00373AAD" w:rsidRPr="0002264E">
        <w:rPr>
          <w:rFonts w:ascii="Lato" w:hAnsi="Lato"/>
        </w:rPr>
        <w:t xml:space="preserve">(unintentionally) disguise </w:t>
      </w:r>
      <w:r w:rsidR="00FB7BD0" w:rsidRPr="0002264E">
        <w:rPr>
          <w:rFonts w:ascii="Lato" w:hAnsi="Lato"/>
        </w:rPr>
        <w:t xml:space="preserve">or obscure </w:t>
      </w:r>
      <w:r w:rsidR="00F55135" w:rsidRPr="0002264E">
        <w:rPr>
          <w:rFonts w:ascii="Lato" w:hAnsi="Lato"/>
        </w:rPr>
        <w:t>the lived experience</w:t>
      </w:r>
      <w:r w:rsidR="00887FE7" w:rsidRPr="0002264E">
        <w:rPr>
          <w:rFonts w:ascii="Lato" w:hAnsi="Lato"/>
        </w:rPr>
        <w:t xml:space="preserve">: “The legacy of commodifying black bodies and </w:t>
      </w:r>
      <w:r w:rsidR="00887FE7" w:rsidRPr="0002264E">
        <w:rPr>
          <w:rFonts w:ascii="Lato" w:hAnsi="Lato"/>
        </w:rPr>
        <w:lastRenderedPageBreak/>
        <w:t>truncating black life infuses and informs digital design and execution”.</w:t>
      </w:r>
      <w:r w:rsidRPr="0002264E">
        <w:rPr>
          <w:rStyle w:val="FootnoteReference"/>
          <w:rFonts w:ascii="Lato" w:hAnsi="Lato"/>
        </w:rPr>
        <w:footnoteReference w:id="15"/>
      </w:r>
      <w:r w:rsidR="006B42B7" w:rsidRPr="0002264E">
        <w:rPr>
          <w:rFonts w:ascii="Lato" w:hAnsi="Lato"/>
        </w:rPr>
        <w:t xml:space="preserve"> In addition, </w:t>
      </w:r>
      <w:r w:rsidR="003F283C" w:rsidRPr="0002264E">
        <w:rPr>
          <w:rFonts w:ascii="Lato" w:hAnsi="Lato"/>
        </w:rPr>
        <w:t xml:space="preserve">she believes that </w:t>
      </w:r>
      <w:r w:rsidR="009131EE" w:rsidRPr="0002264E">
        <w:rPr>
          <w:rFonts w:ascii="Lato" w:hAnsi="Lato"/>
        </w:rPr>
        <w:t xml:space="preserve">a database like </w:t>
      </w:r>
      <w:proofErr w:type="spellStart"/>
      <w:r w:rsidR="009131EE" w:rsidRPr="0002264E">
        <w:rPr>
          <w:rFonts w:ascii="Lato" w:hAnsi="Lato"/>
        </w:rPr>
        <w:t>SlaveVoyages</w:t>
      </w:r>
      <w:proofErr w:type="spellEnd"/>
      <w:r w:rsidR="009131EE" w:rsidRPr="0002264E">
        <w:rPr>
          <w:rFonts w:ascii="Lato" w:hAnsi="Lato"/>
        </w:rPr>
        <w:t xml:space="preserve"> </w:t>
      </w:r>
      <w:r w:rsidR="00886094" w:rsidRPr="0002264E">
        <w:rPr>
          <w:rFonts w:ascii="Lato" w:hAnsi="Lato"/>
        </w:rPr>
        <w:t xml:space="preserve">might </w:t>
      </w:r>
      <w:r w:rsidR="004C50EE" w:rsidRPr="0002264E">
        <w:rPr>
          <w:rFonts w:ascii="Lato" w:hAnsi="Lato"/>
        </w:rPr>
        <w:t xml:space="preserve">re-produce misconceptions </w:t>
      </w:r>
      <w:r w:rsidR="00F47B5C" w:rsidRPr="0002264E">
        <w:rPr>
          <w:rFonts w:ascii="Lato" w:hAnsi="Lato"/>
        </w:rPr>
        <w:t>about</w:t>
      </w:r>
      <w:r w:rsidR="00773A81" w:rsidRPr="0002264E">
        <w:rPr>
          <w:rFonts w:ascii="Lato" w:hAnsi="Lato"/>
        </w:rPr>
        <w:t xml:space="preserve"> slavery such as the common assumption</w:t>
      </w:r>
      <w:r w:rsidR="00AA367B" w:rsidRPr="0002264E">
        <w:rPr>
          <w:rFonts w:ascii="Lato" w:hAnsi="Lato"/>
        </w:rPr>
        <w:t xml:space="preserve"> among historians</w:t>
      </w:r>
      <w:r w:rsidR="00773A81" w:rsidRPr="0002264E">
        <w:rPr>
          <w:rFonts w:ascii="Lato" w:hAnsi="Lato"/>
        </w:rPr>
        <w:t xml:space="preserve"> that enslaved women and children played a neglig</w:t>
      </w:r>
      <w:r w:rsidR="00AA367B" w:rsidRPr="0002264E">
        <w:rPr>
          <w:rFonts w:ascii="Lato" w:hAnsi="Lato"/>
        </w:rPr>
        <w:t>ible role in the slave (which turned out to be untrue),</w:t>
      </w:r>
      <w:r w:rsidR="00AF6CD9" w:rsidRPr="0002264E">
        <w:rPr>
          <w:rStyle w:val="FootnoteReference"/>
          <w:rFonts w:ascii="Lato" w:hAnsi="Lato"/>
        </w:rPr>
        <w:footnoteReference w:id="16"/>
      </w:r>
      <w:r w:rsidR="00AA367B" w:rsidRPr="0002264E">
        <w:rPr>
          <w:rFonts w:ascii="Lato" w:hAnsi="Lato"/>
        </w:rPr>
        <w:t xml:space="preserve"> </w:t>
      </w:r>
      <w:r w:rsidR="002C31B5" w:rsidRPr="0002264E">
        <w:rPr>
          <w:rFonts w:ascii="Lato" w:hAnsi="Lato"/>
        </w:rPr>
        <w:t>and she is critical and mindful of the fact that archives are not merely “records bequeathed to us by the past”.</w:t>
      </w:r>
      <w:r w:rsidR="00AF6CD9" w:rsidRPr="0002264E">
        <w:rPr>
          <w:rStyle w:val="FootnoteReference"/>
          <w:rFonts w:ascii="Lato" w:hAnsi="Lato"/>
        </w:rPr>
        <w:footnoteReference w:id="17"/>
      </w:r>
      <w:r w:rsidR="002C31B5" w:rsidRPr="0002264E">
        <w:rPr>
          <w:rFonts w:ascii="Lato" w:hAnsi="Lato"/>
        </w:rPr>
        <w:t xml:space="preserve"> </w:t>
      </w:r>
      <w:r w:rsidR="004A4C17" w:rsidRPr="0002264E">
        <w:rPr>
          <w:rFonts w:ascii="Lato" w:hAnsi="Lato"/>
        </w:rPr>
        <w:t>As I wrote extensively about in part one of the assignment,</w:t>
      </w:r>
      <w:r w:rsidR="009D6A4E" w:rsidRPr="0002264E">
        <w:rPr>
          <w:rFonts w:ascii="Lato" w:hAnsi="Lato"/>
        </w:rPr>
        <w:t xml:space="preserve"> archives are not </w:t>
      </w:r>
      <w:r w:rsidR="00E56301" w:rsidRPr="0002264E">
        <w:rPr>
          <w:rFonts w:ascii="Lato" w:hAnsi="Lato"/>
        </w:rPr>
        <w:t>the “neutral” institutions that we imagine them to be</w:t>
      </w:r>
      <w:r w:rsidR="007D6954" w:rsidRPr="0002264E">
        <w:rPr>
          <w:rFonts w:ascii="Lato" w:hAnsi="Lato"/>
        </w:rPr>
        <w:t>, so a distant (digital) reading needs to be supported by a close reading</w:t>
      </w:r>
      <w:r w:rsidR="009D6A4E" w:rsidRPr="0002264E">
        <w:rPr>
          <w:rFonts w:ascii="Lato" w:hAnsi="Lato"/>
        </w:rPr>
        <w:t>.</w:t>
      </w:r>
      <w:r w:rsidR="004A4C17" w:rsidRPr="0002264E">
        <w:rPr>
          <w:rFonts w:ascii="Lato" w:hAnsi="Lato"/>
        </w:rPr>
        <w:t xml:space="preserve"> </w:t>
      </w:r>
      <w:r w:rsidR="00DA0E7B" w:rsidRPr="0002264E">
        <w:rPr>
          <w:rFonts w:ascii="Lato" w:hAnsi="Lato"/>
        </w:rPr>
        <w:t>Ultimately,</w:t>
      </w:r>
      <w:r w:rsidR="008B01AE" w:rsidRPr="0002264E">
        <w:rPr>
          <w:rFonts w:ascii="Lato" w:hAnsi="Lato"/>
        </w:rPr>
        <w:t xml:space="preserve"> she believes that a database is immensely </w:t>
      </w:r>
      <w:r w:rsidR="00DA0E7B" w:rsidRPr="0002264E">
        <w:rPr>
          <w:rFonts w:ascii="Lato" w:hAnsi="Lato"/>
        </w:rPr>
        <w:t>useful,</w:t>
      </w:r>
      <w:r w:rsidR="008B01AE" w:rsidRPr="0002264E">
        <w:rPr>
          <w:rFonts w:ascii="Lato" w:hAnsi="Lato"/>
        </w:rPr>
        <w:t xml:space="preserve"> but </w:t>
      </w:r>
      <w:r w:rsidR="00F0071F" w:rsidRPr="0002264E">
        <w:rPr>
          <w:rFonts w:ascii="Lato" w:hAnsi="Lato"/>
        </w:rPr>
        <w:t xml:space="preserve">the efficacy of the database depends in large part on </w:t>
      </w:r>
      <w:r w:rsidR="009B1048" w:rsidRPr="0002264E">
        <w:rPr>
          <w:rFonts w:ascii="Lato" w:hAnsi="Lato"/>
        </w:rPr>
        <w:t xml:space="preserve">the </w:t>
      </w:r>
      <w:r w:rsidR="00981B14" w:rsidRPr="0002264E">
        <w:rPr>
          <w:rFonts w:ascii="Lato" w:hAnsi="Lato"/>
        </w:rPr>
        <w:t>historian’s</w:t>
      </w:r>
      <w:r w:rsidR="009B1048" w:rsidRPr="0002264E">
        <w:rPr>
          <w:rFonts w:ascii="Lato" w:hAnsi="Lato"/>
        </w:rPr>
        <w:t xml:space="preserve"> ability to make a</w:t>
      </w:r>
      <w:r w:rsidR="00DA0E7B" w:rsidRPr="0002264E">
        <w:rPr>
          <w:rFonts w:ascii="Lato" w:hAnsi="Lato"/>
        </w:rPr>
        <w:t xml:space="preserve"> supplementary </w:t>
      </w:r>
      <w:r w:rsidR="00DA0E7B" w:rsidRPr="0002264E">
        <w:rPr>
          <w:rFonts w:ascii="Lato" w:hAnsi="Lato"/>
          <w:i/>
          <w:iCs/>
        </w:rPr>
        <w:t>qualitative</w:t>
      </w:r>
      <w:r w:rsidR="00DA0E7B" w:rsidRPr="0002264E">
        <w:rPr>
          <w:rFonts w:ascii="Lato" w:hAnsi="Lato"/>
        </w:rPr>
        <w:t xml:space="preserve"> analysis. </w:t>
      </w:r>
      <w:r w:rsidR="000C2CA4" w:rsidRPr="0002264E">
        <w:rPr>
          <w:rFonts w:ascii="Lato" w:hAnsi="Lato"/>
        </w:rPr>
        <w:t>Otherwise,</w:t>
      </w:r>
      <w:r w:rsidR="00B716DE" w:rsidRPr="0002264E">
        <w:rPr>
          <w:rFonts w:ascii="Lato" w:hAnsi="Lato"/>
        </w:rPr>
        <w:t xml:space="preserve"> slaves will remain faceless, anonymous and disembodied.</w:t>
      </w:r>
      <w:r w:rsidR="00D7016E" w:rsidRPr="0002264E">
        <w:rPr>
          <w:rStyle w:val="FootnoteReference"/>
          <w:rFonts w:ascii="Lato" w:hAnsi="Lato"/>
        </w:rPr>
        <w:footnoteReference w:id="18"/>
      </w:r>
      <w:r w:rsidR="00B716DE" w:rsidRPr="0002264E">
        <w:rPr>
          <w:rFonts w:ascii="Lato" w:hAnsi="Lato"/>
        </w:rPr>
        <w:t xml:space="preserve"> </w:t>
      </w:r>
      <w:r w:rsidR="000C4527" w:rsidRPr="0002264E">
        <w:rPr>
          <w:rFonts w:ascii="Lato" w:hAnsi="Lato"/>
        </w:rPr>
        <w:t>Johnson notes that</w:t>
      </w:r>
      <w:r w:rsidR="00353107" w:rsidRPr="0002264E">
        <w:rPr>
          <w:rFonts w:ascii="Lato" w:hAnsi="Lato"/>
        </w:rPr>
        <w:t xml:space="preserve"> there is a noticeable absence of digital work engaging with questions of race, sex, and systems of oppression generated by black studies</w:t>
      </w:r>
      <w:r w:rsidR="00711A5C" w:rsidRPr="0002264E">
        <w:rPr>
          <w:rFonts w:ascii="Lato" w:hAnsi="Lato"/>
        </w:rPr>
        <w:t>.</w:t>
      </w:r>
      <w:r w:rsidR="00711A5C" w:rsidRPr="0002264E">
        <w:rPr>
          <w:rStyle w:val="FootnoteReference"/>
          <w:rFonts w:ascii="Lato" w:hAnsi="Lato"/>
        </w:rPr>
        <w:footnoteReference w:id="19"/>
      </w:r>
      <w:r w:rsidR="00353107" w:rsidRPr="0002264E">
        <w:rPr>
          <w:rFonts w:ascii="Lato" w:hAnsi="Lato"/>
        </w:rPr>
        <w:t xml:space="preserve"> </w:t>
      </w:r>
      <w:r w:rsidR="00761E1E" w:rsidRPr="0002264E">
        <w:rPr>
          <w:rFonts w:ascii="Lato" w:hAnsi="Lato"/>
        </w:rPr>
        <w:t>S</w:t>
      </w:r>
      <w:r w:rsidR="002F2CBF" w:rsidRPr="0002264E">
        <w:rPr>
          <w:rFonts w:ascii="Lato" w:hAnsi="Lato"/>
        </w:rPr>
        <w:t xml:space="preserve">he believes that </w:t>
      </w:r>
      <w:r w:rsidR="00761E1E" w:rsidRPr="0002264E">
        <w:rPr>
          <w:rFonts w:ascii="Lato" w:hAnsi="Lato"/>
        </w:rPr>
        <w:t xml:space="preserve">“black digital practice” </w:t>
      </w:r>
      <w:r w:rsidR="002B1720" w:rsidRPr="0002264E">
        <w:rPr>
          <w:rFonts w:ascii="Lato" w:hAnsi="Lato"/>
        </w:rPr>
        <w:t xml:space="preserve">(as opposed to “generic” digital practice) </w:t>
      </w:r>
      <w:r w:rsidR="005E5150" w:rsidRPr="0002264E">
        <w:rPr>
          <w:rFonts w:ascii="Lato" w:hAnsi="Lato"/>
        </w:rPr>
        <w:t xml:space="preserve">is a necessary </w:t>
      </w:r>
      <w:r w:rsidR="002B1720" w:rsidRPr="0002264E">
        <w:rPr>
          <w:rFonts w:ascii="Lato" w:hAnsi="Lato"/>
        </w:rPr>
        <w:t>but as of right now missing component in the history of slavery</w:t>
      </w:r>
      <w:r w:rsidR="00031C8E" w:rsidRPr="0002264E">
        <w:rPr>
          <w:rFonts w:ascii="Lato" w:hAnsi="Lato"/>
        </w:rPr>
        <w:t xml:space="preserve"> because black digital practice affords </w:t>
      </w:r>
      <w:r w:rsidR="00DC48E2" w:rsidRPr="0002264E">
        <w:rPr>
          <w:rFonts w:ascii="Lato" w:hAnsi="Lato"/>
        </w:rPr>
        <w:t xml:space="preserve">more focus </w:t>
      </w:r>
      <w:r w:rsidR="00FA7605" w:rsidRPr="0002264E">
        <w:rPr>
          <w:rFonts w:ascii="Lato" w:hAnsi="Lato"/>
        </w:rPr>
        <w:t xml:space="preserve">on the </w:t>
      </w:r>
      <w:r w:rsidR="00C02693" w:rsidRPr="0002264E">
        <w:rPr>
          <w:rFonts w:ascii="Lato" w:hAnsi="Lato"/>
          <w:i/>
          <w:iCs/>
        </w:rPr>
        <w:t>unquantifiable</w:t>
      </w:r>
      <w:r w:rsidR="00C02693" w:rsidRPr="0002264E">
        <w:rPr>
          <w:rFonts w:ascii="Lato" w:hAnsi="Lato"/>
        </w:rPr>
        <w:t xml:space="preserve"> realities, such as the ubiquitous violence, </w:t>
      </w:r>
      <w:r w:rsidR="003C52D4" w:rsidRPr="0002264E">
        <w:rPr>
          <w:rFonts w:ascii="Lato" w:hAnsi="Lato"/>
        </w:rPr>
        <w:t>of the system.</w:t>
      </w:r>
      <w:r w:rsidR="00BC6532" w:rsidRPr="0002264E">
        <w:rPr>
          <w:rStyle w:val="FootnoteReference"/>
          <w:rFonts w:ascii="Lato" w:hAnsi="Lato"/>
        </w:rPr>
        <w:footnoteReference w:id="20"/>
      </w:r>
      <w:r w:rsidR="003C52D4" w:rsidRPr="0002264E">
        <w:rPr>
          <w:rFonts w:ascii="Lato" w:hAnsi="Lato"/>
        </w:rPr>
        <w:t xml:space="preserve"> </w:t>
      </w:r>
    </w:p>
    <w:p w14:paraId="2792FC99" w14:textId="3F7BC584" w:rsidR="00C128AE" w:rsidRDefault="00C128AE">
      <w:pPr>
        <w:pStyle w:val="NormalWeb"/>
        <w:divId w:val="260338212"/>
        <w:rPr>
          <w:rFonts w:ascii="Lato" w:hAnsi="Lato"/>
        </w:rPr>
      </w:pPr>
      <w:r w:rsidRPr="0002264E">
        <w:rPr>
          <w:rFonts w:ascii="Lato" w:hAnsi="Lato"/>
        </w:rPr>
        <w:t xml:space="preserve">To summarize, </w:t>
      </w:r>
      <w:r w:rsidR="00294AA1" w:rsidRPr="0002264E">
        <w:rPr>
          <w:rFonts w:ascii="Lato" w:hAnsi="Lato"/>
        </w:rPr>
        <w:t xml:space="preserve">I need to </w:t>
      </w:r>
      <w:r w:rsidR="00704C6B" w:rsidRPr="0002264E">
        <w:rPr>
          <w:rFonts w:ascii="Lato" w:hAnsi="Lato"/>
        </w:rPr>
        <w:t xml:space="preserve">methodologically differentiate </w:t>
      </w:r>
      <w:r w:rsidR="00294AA1" w:rsidRPr="0002264E">
        <w:rPr>
          <w:rFonts w:ascii="Lato" w:hAnsi="Lato"/>
        </w:rPr>
        <w:t xml:space="preserve">between </w:t>
      </w:r>
      <w:r w:rsidR="000D7ABD" w:rsidRPr="0002264E">
        <w:rPr>
          <w:rFonts w:ascii="Lato" w:hAnsi="Lato"/>
        </w:rPr>
        <w:t xml:space="preserve">digitized sources and reborn digital </w:t>
      </w:r>
      <w:r w:rsidR="000C3F6E" w:rsidRPr="0002264E">
        <w:rPr>
          <w:rFonts w:ascii="Lato" w:hAnsi="Lato"/>
        </w:rPr>
        <w:t>sources,</w:t>
      </w:r>
      <w:r w:rsidR="000D7ABD" w:rsidRPr="0002264E">
        <w:rPr>
          <w:rFonts w:ascii="Lato" w:hAnsi="Lato"/>
        </w:rPr>
        <w:t xml:space="preserve"> </w:t>
      </w:r>
      <w:r w:rsidR="00704C6B" w:rsidRPr="0002264E">
        <w:rPr>
          <w:rFonts w:ascii="Lato" w:hAnsi="Lato"/>
        </w:rPr>
        <w:t>and I need</w:t>
      </w:r>
      <w:r w:rsidR="000D7ABD" w:rsidRPr="0002264E">
        <w:rPr>
          <w:rFonts w:ascii="Lato" w:hAnsi="Lato"/>
        </w:rPr>
        <w:t>, moreover, t</w:t>
      </w:r>
      <w:r w:rsidR="00704C6B" w:rsidRPr="0002264E">
        <w:rPr>
          <w:rFonts w:ascii="Lato" w:hAnsi="Lato"/>
        </w:rPr>
        <w:t xml:space="preserve">o assess the specific “digitality” of the source. </w:t>
      </w:r>
    </w:p>
    <w:p w14:paraId="2E82190B" w14:textId="77777777" w:rsidR="00734F41" w:rsidRDefault="00734F41">
      <w:pPr>
        <w:pStyle w:val="NormalWeb"/>
        <w:divId w:val="260338212"/>
        <w:rPr>
          <w:rFonts w:ascii="Lato" w:hAnsi="Lato"/>
        </w:rPr>
      </w:pPr>
    </w:p>
    <w:p w14:paraId="1D091F7A" w14:textId="441681E5" w:rsidR="0003433F" w:rsidRPr="0002264E" w:rsidRDefault="0003433F">
      <w:pPr>
        <w:pStyle w:val="NormalWeb"/>
        <w:divId w:val="260338212"/>
        <w:rPr>
          <w:rFonts w:ascii="Lato" w:hAnsi="Lato"/>
          <w:b/>
          <w:bCs/>
        </w:rPr>
      </w:pPr>
      <w:r w:rsidRPr="0002264E">
        <w:rPr>
          <w:rFonts w:ascii="Lato" w:hAnsi="Lato"/>
          <w:b/>
          <w:bCs/>
        </w:rPr>
        <w:t>Bibliography</w:t>
      </w:r>
    </w:p>
    <w:p w14:paraId="045ED250" w14:textId="24BCA121" w:rsidR="00154C89" w:rsidRDefault="00154C89" w:rsidP="00154C89">
      <w:pPr>
        <w:pStyle w:val="NormalWeb"/>
        <w:divId w:val="260338212"/>
        <w:rPr>
          <w:rFonts w:ascii="Lato" w:hAnsi="Lato"/>
        </w:rPr>
      </w:pPr>
      <w:r w:rsidRPr="0002264E">
        <w:rPr>
          <w:rFonts w:ascii="Lato" w:hAnsi="Lato"/>
        </w:rPr>
        <w:t xml:space="preserve">Jensen, Helle Strandgaard. "Digital Archival Literacy for (All) Historians." </w:t>
      </w:r>
      <w:r w:rsidRPr="0002264E">
        <w:rPr>
          <w:rFonts w:ascii="Lato" w:hAnsi="Lato"/>
          <w:i/>
          <w:iCs/>
        </w:rPr>
        <w:t>Media History</w:t>
      </w:r>
      <w:r w:rsidRPr="0002264E">
        <w:rPr>
          <w:rFonts w:ascii="Lato" w:hAnsi="Lato"/>
        </w:rPr>
        <w:t xml:space="preserve"> 27, no. 2 (2020): 251–65. </w:t>
      </w:r>
      <w:hyperlink r:id="rId9" w:tgtFrame="_blank" w:history="1">
        <w:r w:rsidRPr="0002264E">
          <w:rPr>
            <w:rStyle w:val="Hyperlink"/>
            <w:rFonts w:ascii="Lato" w:hAnsi="Lato"/>
          </w:rPr>
          <w:t>https://doi.org/10.1080/13688804.2020.1779047</w:t>
        </w:r>
      </w:hyperlink>
      <w:r w:rsidRPr="0002264E">
        <w:rPr>
          <w:rFonts w:ascii="Lato" w:hAnsi="Lato"/>
        </w:rPr>
        <w:t>.</w:t>
      </w:r>
    </w:p>
    <w:p w14:paraId="5A6D04B1" w14:textId="77777777" w:rsidR="002C267B" w:rsidRDefault="002C267B" w:rsidP="00154C89">
      <w:pPr>
        <w:pStyle w:val="NormalWeb"/>
        <w:divId w:val="260338212"/>
        <w:rPr>
          <w:rFonts w:ascii="Lato" w:hAnsi="Lato"/>
        </w:rPr>
      </w:pPr>
      <w:r w:rsidRPr="002449EF">
        <w:rPr>
          <w:rFonts w:ascii="Lato" w:hAnsi="Lato"/>
        </w:rPr>
        <w:t xml:space="preserve">Schriver, Astrid Ølgaard Christensen, og Helle Strandgaard Jensen. </w:t>
      </w:r>
      <w:r w:rsidRPr="002C267B">
        <w:rPr>
          <w:rFonts w:ascii="Lato" w:hAnsi="Lato"/>
          <w:lang w:val="nb-NO"/>
        </w:rPr>
        <w:t xml:space="preserve">"Arkivets digitalisering: En ny </w:t>
      </w:r>
      <w:proofErr w:type="spellStart"/>
      <w:r w:rsidRPr="002C267B">
        <w:rPr>
          <w:rFonts w:ascii="Lato" w:hAnsi="Lato"/>
          <w:lang w:val="nb-NO"/>
        </w:rPr>
        <w:t>udfordring</w:t>
      </w:r>
      <w:proofErr w:type="spellEnd"/>
      <w:r w:rsidRPr="002C267B">
        <w:rPr>
          <w:rFonts w:ascii="Lato" w:hAnsi="Lato"/>
          <w:lang w:val="nb-NO"/>
        </w:rPr>
        <w:t xml:space="preserve"> til historisk </w:t>
      </w:r>
      <w:proofErr w:type="gramStart"/>
      <w:r w:rsidRPr="002C267B">
        <w:rPr>
          <w:rFonts w:ascii="Lato" w:hAnsi="Lato"/>
          <w:lang w:val="nb-NO"/>
        </w:rPr>
        <w:t>metode?.</w:t>
      </w:r>
      <w:proofErr w:type="gramEnd"/>
      <w:r w:rsidRPr="002C267B">
        <w:rPr>
          <w:rFonts w:ascii="Lato" w:hAnsi="Lato"/>
          <w:lang w:val="nb-NO"/>
        </w:rPr>
        <w:t xml:space="preserve">" </w:t>
      </w:r>
      <w:r w:rsidRPr="002C267B">
        <w:rPr>
          <w:rFonts w:ascii="Lato" w:hAnsi="Lato"/>
          <w:i/>
          <w:iCs/>
          <w:lang w:val="nb-NO"/>
        </w:rPr>
        <w:t>TEMP: Tidsskrift for historie</w:t>
      </w:r>
      <w:r w:rsidRPr="002C267B">
        <w:rPr>
          <w:rFonts w:ascii="Lato" w:hAnsi="Lato"/>
          <w:lang w:val="nb-NO"/>
        </w:rPr>
        <w:t xml:space="preserve"> 13, nr. 25 (2022): 5–27. </w:t>
      </w:r>
      <w:hyperlink r:id="rId10" w:history="1">
        <w:r w:rsidRPr="002C267B">
          <w:rPr>
            <w:rStyle w:val="Hyperlink"/>
            <w:rFonts w:ascii="Lato" w:hAnsi="Lato"/>
          </w:rPr>
          <w:t>https://tidsskrift.dk/temp/article/view/135441</w:t>
        </w:r>
      </w:hyperlink>
      <w:r w:rsidRPr="002C267B">
        <w:rPr>
          <w:rFonts w:ascii="Lato" w:hAnsi="Lato"/>
        </w:rPr>
        <w:t xml:space="preserve"> </w:t>
      </w:r>
    </w:p>
    <w:p w14:paraId="44A67532" w14:textId="04B62318" w:rsidR="000377D8" w:rsidRPr="0002264E" w:rsidRDefault="000377D8" w:rsidP="00154C89">
      <w:pPr>
        <w:pStyle w:val="NormalWeb"/>
        <w:divId w:val="260338212"/>
        <w:rPr>
          <w:rFonts w:ascii="Lato" w:hAnsi="Lato"/>
        </w:rPr>
      </w:pPr>
      <w:r w:rsidRPr="002C267B">
        <w:rPr>
          <w:rFonts w:ascii="Lato" w:hAnsi="Lato"/>
        </w:rPr>
        <w:t xml:space="preserve">"Voices of the Holocaust." </w:t>
      </w:r>
      <w:r w:rsidRPr="0002264E">
        <w:rPr>
          <w:rFonts w:ascii="Lato" w:hAnsi="Lato"/>
        </w:rPr>
        <w:t xml:space="preserve">Paul V. Galvin Library Digital History Collections. Illinois Institute of Technology. Accessed [April 26, 2026]. </w:t>
      </w:r>
      <w:hyperlink r:id="rId11" w:tgtFrame="_blank" w:history="1">
        <w:r w:rsidRPr="0002264E">
          <w:rPr>
            <w:rStyle w:val="Hyperlink"/>
            <w:rFonts w:ascii="Lato" w:hAnsi="Lato"/>
          </w:rPr>
          <w:t>https://iit.aviaryplatform.com/collections/231</w:t>
        </w:r>
      </w:hyperlink>
      <w:r w:rsidRPr="0002264E">
        <w:rPr>
          <w:rFonts w:ascii="Lato" w:hAnsi="Lato"/>
        </w:rPr>
        <w:t>.</w:t>
      </w:r>
    </w:p>
    <w:p w14:paraId="66823976" w14:textId="370559D2" w:rsidR="00582A27" w:rsidRPr="0002264E" w:rsidRDefault="00582A27" w:rsidP="00154C89">
      <w:pPr>
        <w:pStyle w:val="NormalWeb"/>
        <w:divId w:val="260338212"/>
        <w:rPr>
          <w:rFonts w:ascii="Lato" w:hAnsi="Lato"/>
        </w:rPr>
      </w:pPr>
      <w:proofErr w:type="spellStart"/>
      <w:r w:rsidRPr="0002264E">
        <w:rPr>
          <w:rFonts w:ascii="Lato" w:hAnsi="Lato"/>
        </w:rPr>
        <w:t>Presner</w:t>
      </w:r>
      <w:proofErr w:type="spellEnd"/>
      <w:r w:rsidRPr="0002264E">
        <w:rPr>
          <w:rFonts w:ascii="Lato" w:hAnsi="Lato"/>
        </w:rPr>
        <w:t xml:space="preserve">, Todd. "Introduction: Technologies of Testimony and Distant Witnessing." In </w:t>
      </w:r>
      <w:r w:rsidRPr="0002264E">
        <w:rPr>
          <w:rFonts w:ascii="Lato" w:hAnsi="Lato"/>
          <w:i/>
          <w:iCs/>
        </w:rPr>
        <w:t>Algorithm of the Archive</w:t>
      </w:r>
      <w:r w:rsidRPr="0002264E">
        <w:rPr>
          <w:rFonts w:ascii="Lato" w:hAnsi="Lato"/>
        </w:rPr>
        <w:t>, 1–16. Chicago: University of Chicago Press, 2024</w:t>
      </w:r>
    </w:p>
    <w:p w14:paraId="62F75C2F" w14:textId="77777777" w:rsidR="0053182D" w:rsidRPr="0002264E" w:rsidRDefault="0053182D" w:rsidP="0053182D">
      <w:pPr>
        <w:pStyle w:val="NormalWeb"/>
        <w:divId w:val="260338212"/>
        <w:rPr>
          <w:rFonts w:ascii="Lato" w:hAnsi="Lato"/>
        </w:rPr>
      </w:pPr>
      <w:proofErr w:type="spellStart"/>
      <w:r w:rsidRPr="0002264E">
        <w:rPr>
          <w:rFonts w:ascii="Lato" w:hAnsi="Lato"/>
        </w:rPr>
        <w:lastRenderedPageBreak/>
        <w:t>Brügger</w:t>
      </w:r>
      <w:proofErr w:type="spellEnd"/>
      <w:r w:rsidRPr="0002264E">
        <w:rPr>
          <w:rFonts w:ascii="Lato" w:hAnsi="Lato"/>
        </w:rPr>
        <w:t xml:space="preserve">, Niels. "Understanding the Archived Web as a Historical Source." In </w:t>
      </w:r>
      <w:r w:rsidRPr="0002264E">
        <w:rPr>
          <w:rFonts w:ascii="Lato" w:hAnsi="Lato"/>
          <w:i/>
          <w:iCs/>
        </w:rPr>
        <w:t>The SAGE Handbook of Web History</w:t>
      </w:r>
      <w:r w:rsidRPr="0002264E">
        <w:rPr>
          <w:rFonts w:ascii="Lato" w:hAnsi="Lato"/>
        </w:rPr>
        <w:t>, edited by Niels Brügger and Ian Milligan, 17–30. Los Angeles: SAGE, 2019.</w:t>
      </w:r>
    </w:p>
    <w:p w14:paraId="46985782" w14:textId="12A9DF73" w:rsidR="0053182D" w:rsidRPr="0002264E" w:rsidRDefault="0053182D" w:rsidP="0053182D">
      <w:pPr>
        <w:pStyle w:val="NormalWeb"/>
        <w:divId w:val="260338212"/>
        <w:rPr>
          <w:rFonts w:ascii="Lato" w:hAnsi="Lato"/>
        </w:rPr>
      </w:pPr>
      <w:r w:rsidRPr="0002264E">
        <w:rPr>
          <w:rFonts w:ascii="Lato" w:hAnsi="Lato"/>
        </w:rPr>
        <w:t xml:space="preserve">Johnson, Jessica Marie. "Markup Bodies: Black [Life] Studies and Slavery [Death] Studies at the Digital Crossroads." </w:t>
      </w:r>
      <w:r w:rsidRPr="0002264E">
        <w:rPr>
          <w:rFonts w:ascii="Lato" w:hAnsi="Lato"/>
          <w:i/>
          <w:iCs/>
        </w:rPr>
        <w:t>Social Text</w:t>
      </w:r>
      <w:r w:rsidRPr="0002264E">
        <w:rPr>
          <w:rFonts w:ascii="Lato" w:hAnsi="Lato"/>
        </w:rPr>
        <w:t xml:space="preserve"> 36, no. 4 (December 2018): 57–79. </w:t>
      </w:r>
      <w:hyperlink w:tgtFrame="_blank" w:history="1">
        <w:r w:rsidRPr="0002264E">
          <w:rPr>
            <w:rStyle w:val="Hyperlink"/>
            <w:rFonts w:ascii="Lato" w:hAnsi="Lato"/>
          </w:rPr>
          <w:t>https://doi.org/10.1215/01642472-7145658</w:t>
        </w:r>
      </w:hyperlink>
      <w:r w:rsidRPr="0002264E">
        <w:rPr>
          <w:rFonts w:ascii="Lato" w:hAnsi="Lato"/>
        </w:rPr>
        <w:t>.</w:t>
      </w:r>
    </w:p>
    <w:p w14:paraId="1811DCDD" w14:textId="0E29015E" w:rsidR="00543CDB" w:rsidRPr="0002264E" w:rsidRDefault="00543CDB">
      <w:pPr>
        <w:pStyle w:val="NormalWeb"/>
        <w:divId w:val="260338212"/>
        <w:rPr>
          <w:rFonts w:ascii="Lato" w:hAnsi="Lato"/>
        </w:rPr>
      </w:pPr>
    </w:p>
    <w:sectPr w:rsidR="00543CDB" w:rsidRPr="000226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20619" w14:textId="77777777" w:rsidR="00B478DC" w:rsidRDefault="00B478DC" w:rsidP="00D56CDA">
      <w:r>
        <w:separator/>
      </w:r>
    </w:p>
  </w:endnote>
  <w:endnote w:type="continuationSeparator" w:id="0">
    <w:p w14:paraId="39E1FE41" w14:textId="77777777" w:rsidR="00B478DC" w:rsidRDefault="00B478DC" w:rsidP="00D5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5328" w14:textId="77777777" w:rsidR="00B478DC" w:rsidRDefault="00B478DC" w:rsidP="00D56CDA">
      <w:r>
        <w:separator/>
      </w:r>
    </w:p>
  </w:footnote>
  <w:footnote w:type="continuationSeparator" w:id="0">
    <w:p w14:paraId="14792338" w14:textId="77777777" w:rsidR="00B478DC" w:rsidRDefault="00B478DC" w:rsidP="00D56CDA">
      <w:r>
        <w:continuationSeparator/>
      </w:r>
    </w:p>
  </w:footnote>
  <w:footnote w:id="1">
    <w:p w14:paraId="3CD9C226" w14:textId="668C1970" w:rsidR="008577AB" w:rsidRDefault="008577AB">
      <w:pPr>
        <w:pStyle w:val="FootnoteText"/>
      </w:pPr>
      <w:r>
        <w:rPr>
          <w:rStyle w:val="FootnoteReference"/>
        </w:rPr>
        <w:footnoteRef/>
      </w:r>
      <w:r>
        <w:t xml:space="preserve"> </w:t>
      </w:r>
      <w:r w:rsidRPr="008577AB">
        <w:t>Helle Strandgaard Jensen</w:t>
      </w:r>
      <w:proofErr w:type="gramStart"/>
      <w:r w:rsidRPr="008577AB">
        <w:t>, ”Digital</w:t>
      </w:r>
      <w:proofErr w:type="gramEnd"/>
      <w:r w:rsidRPr="008577AB">
        <w:t xml:space="preserve"> Archival Literacy for (all) Historians”, in Media History (2020), P. 3</w:t>
      </w:r>
    </w:p>
  </w:footnote>
  <w:footnote w:id="2">
    <w:p w14:paraId="54CD2B63" w14:textId="0FD46869" w:rsidR="008577AB" w:rsidRDefault="008577AB">
      <w:pPr>
        <w:pStyle w:val="FootnoteText"/>
      </w:pPr>
      <w:r>
        <w:rPr>
          <w:rStyle w:val="FootnoteReference"/>
        </w:rPr>
        <w:footnoteRef/>
      </w:r>
      <w:r>
        <w:t xml:space="preserve"> </w:t>
      </w:r>
      <w:r w:rsidRPr="008577AB">
        <w:t>Jensen</w:t>
      </w:r>
      <w:proofErr w:type="gramStart"/>
      <w:r w:rsidRPr="008577AB">
        <w:t>, ”Digital</w:t>
      </w:r>
      <w:proofErr w:type="gramEnd"/>
      <w:r w:rsidRPr="008577AB">
        <w:t xml:space="preserve"> literacy”, P. 1</w:t>
      </w:r>
    </w:p>
  </w:footnote>
  <w:footnote w:id="3">
    <w:p w14:paraId="64AE8AE7" w14:textId="4FF94A5B" w:rsidR="008577AB" w:rsidRPr="002449EF" w:rsidRDefault="008577AB">
      <w:pPr>
        <w:pStyle w:val="FootnoteText"/>
        <w:rPr>
          <w:lang w:val="nb-NO"/>
        </w:rPr>
      </w:pPr>
      <w:r>
        <w:rPr>
          <w:rStyle w:val="FootnoteReference"/>
        </w:rPr>
        <w:footnoteRef/>
      </w:r>
      <w:r w:rsidRPr="002449EF">
        <w:rPr>
          <w:lang w:val="nb-NO"/>
        </w:rPr>
        <w:t xml:space="preserve"> </w:t>
      </w:r>
      <w:r w:rsidR="00C066E1" w:rsidRPr="002449EF">
        <w:rPr>
          <w:lang w:val="nb-NO"/>
        </w:rPr>
        <w:t>Jensen</w:t>
      </w:r>
      <w:proofErr w:type="gramStart"/>
      <w:r w:rsidR="00C066E1" w:rsidRPr="002449EF">
        <w:rPr>
          <w:lang w:val="nb-NO"/>
        </w:rPr>
        <w:t>, ”Digital</w:t>
      </w:r>
      <w:proofErr w:type="gramEnd"/>
      <w:r w:rsidR="00C066E1" w:rsidRPr="002449EF">
        <w:rPr>
          <w:lang w:val="nb-NO"/>
        </w:rPr>
        <w:t xml:space="preserve"> </w:t>
      </w:r>
      <w:proofErr w:type="spellStart"/>
      <w:r w:rsidR="00C066E1" w:rsidRPr="002449EF">
        <w:rPr>
          <w:lang w:val="nb-NO"/>
        </w:rPr>
        <w:t>literacy</w:t>
      </w:r>
      <w:proofErr w:type="spellEnd"/>
      <w:r w:rsidR="00C066E1" w:rsidRPr="002449EF">
        <w:rPr>
          <w:lang w:val="nb-NO"/>
        </w:rPr>
        <w:t>”, P. 4-5</w:t>
      </w:r>
    </w:p>
  </w:footnote>
  <w:footnote w:id="4">
    <w:p w14:paraId="52446B26" w14:textId="31BA5A53" w:rsidR="00C066E1" w:rsidRPr="002449EF" w:rsidRDefault="00C066E1">
      <w:pPr>
        <w:pStyle w:val="FootnoteText"/>
        <w:rPr>
          <w:lang w:val="nb-NO"/>
        </w:rPr>
      </w:pPr>
      <w:r>
        <w:rPr>
          <w:rStyle w:val="FootnoteReference"/>
        </w:rPr>
        <w:footnoteRef/>
      </w:r>
      <w:r w:rsidRPr="002449EF">
        <w:rPr>
          <w:lang w:val="nb-NO"/>
        </w:rPr>
        <w:t xml:space="preserve"> Helle </w:t>
      </w:r>
      <w:proofErr w:type="spellStart"/>
      <w:r w:rsidRPr="002449EF">
        <w:rPr>
          <w:lang w:val="nb-NO"/>
        </w:rPr>
        <w:t>Strandgaard</w:t>
      </w:r>
      <w:proofErr w:type="spellEnd"/>
      <w:r w:rsidRPr="002449EF">
        <w:rPr>
          <w:lang w:val="nb-NO"/>
        </w:rPr>
        <w:t xml:space="preserve"> Jensen and Astrid </w:t>
      </w:r>
      <w:proofErr w:type="spellStart"/>
      <w:r w:rsidRPr="002449EF">
        <w:rPr>
          <w:lang w:val="nb-NO"/>
        </w:rPr>
        <w:t>Ølgaard</w:t>
      </w:r>
      <w:proofErr w:type="spellEnd"/>
      <w:r w:rsidRPr="002449EF">
        <w:rPr>
          <w:lang w:val="nb-NO"/>
        </w:rPr>
        <w:t xml:space="preserve"> Christensen </w:t>
      </w:r>
      <w:proofErr w:type="spellStart"/>
      <w:r w:rsidRPr="002449EF">
        <w:rPr>
          <w:lang w:val="nb-NO"/>
        </w:rPr>
        <w:t>Schriver</w:t>
      </w:r>
      <w:proofErr w:type="spellEnd"/>
      <w:proofErr w:type="gramStart"/>
      <w:r w:rsidRPr="002449EF">
        <w:rPr>
          <w:lang w:val="nb-NO"/>
        </w:rPr>
        <w:t>, ”ARKIVETS</w:t>
      </w:r>
      <w:proofErr w:type="gramEnd"/>
      <w:r w:rsidRPr="002449EF">
        <w:rPr>
          <w:lang w:val="nb-NO"/>
        </w:rPr>
        <w:t xml:space="preserve"> DIGITALISERING EN NY UDFORDRING TIL HISTORISK METODE?” (2022), P. 19-20</w:t>
      </w:r>
    </w:p>
  </w:footnote>
  <w:footnote w:id="5">
    <w:p w14:paraId="2EBB646D" w14:textId="3B257F9F" w:rsidR="00C066E1" w:rsidRPr="002449EF" w:rsidRDefault="00C066E1">
      <w:pPr>
        <w:pStyle w:val="FootnoteText"/>
        <w:rPr>
          <w:lang w:val="nb-NO"/>
        </w:rPr>
      </w:pPr>
      <w:r>
        <w:rPr>
          <w:rStyle w:val="FootnoteReference"/>
        </w:rPr>
        <w:footnoteRef/>
      </w:r>
      <w:r w:rsidRPr="002449EF">
        <w:rPr>
          <w:lang w:val="nb-NO"/>
        </w:rPr>
        <w:t xml:space="preserve"> Jensen</w:t>
      </w:r>
      <w:proofErr w:type="gramStart"/>
      <w:r w:rsidRPr="002449EF">
        <w:rPr>
          <w:lang w:val="nb-NO"/>
        </w:rPr>
        <w:t>, ”Digital</w:t>
      </w:r>
      <w:proofErr w:type="gramEnd"/>
      <w:r w:rsidRPr="002449EF">
        <w:rPr>
          <w:lang w:val="nb-NO"/>
        </w:rPr>
        <w:t xml:space="preserve"> </w:t>
      </w:r>
      <w:proofErr w:type="spellStart"/>
      <w:r w:rsidRPr="002449EF">
        <w:rPr>
          <w:lang w:val="nb-NO"/>
        </w:rPr>
        <w:t>literacy</w:t>
      </w:r>
      <w:proofErr w:type="spellEnd"/>
      <w:r w:rsidRPr="002449EF">
        <w:rPr>
          <w:lang w:val="nb-NO"/>
        </w:rPr>
        <w:t>”, P. 8</w:t>
      </w:r>
    </w:p>
  </w:footnote>
  <w:footnote w:id="6">
    <w:p w14:paraId="2D3D1DF9" w14:textId="1226A2F5" w:rsidR="00626211" w:rsidRDefault="00626211">
      <w:pPr>
        <w:pStyle w:val="FootnoteText"/>
      </w:pPr>
      <w:r>
        <w:rPr>
          <w:rStyle w:val="FootnoteReference"/>
        </w:rPr>
        <w:footnoteRef/>
      </w:r>
      <w:r>
        <w:t xml:space="preserve"> </w:t>
      </w:r>
      <w:r w:rsidRPr="00626211">
        <w:t xml:space="preserve">David Boder, "Voices of the Holocaust," Paul V. Galvin Library Digital History Collections, Illinois Institute of Technology, accessed April 26, 2026, </w:t>
      </w:r>
      <w:hyperlink r:id="rId1" w:tgtFrame="_blank" w:history="1">
        <w:r w:rsidRPr="00626211">
          <w:rPr>
            <w:rStyle w:val="Hyperlink"/>
          </w:rPr>
          <w:t>https://iit.aviaryplatform.com/collections/231</w:t>
        </w:r>
      </w:hyperlink>
      <w:r w:rsidRPr="00626211">
        <w:t>.</w:t>
      </w:r>
    </w:p>
  </w:footnote>
  <w:footnote w:id="7">
    <w:p w14:paraId="226628F4" w14:textId="3E684D51" w:rsidR="00D56CDA" w:rsidRDefault="00D56CDA">
      <w:pPr>
        <w:pStyle w:val="FootnoteText"/>
      </w:pPr>
      <w:r>
        <w:rPr>
          <w:rStyle w:val="FootnoteReference"/>
        </w:rPr>
        <w:footnoteRef/>
      </w:r>
      <w:r>
        <w:t xml:space="preserve"> </w:t>
      </w:r>
      <w:r w:rsidR="007A2479" w:rsidRPr="007A2479">
        <w:t xml:space="preserve">Todd Presner, "Introduction: Technologies of Testimony and Distant Witnessing," in </w:t>
      </w:r>
      <w:r w:rsidR="007A2479" w:rsidRPr="007A2479">
        <w:rPr>
          <w:i/>
          <w:iCs/>
        </w:rPr>
        <w:t>Algorithm of the Archive</w:t>
      </w:r>
      <w:r w:rsidR="007A2479" w:rsidRPr="007A2479">
        <w:t xml:space="preserve"> (Chicago: University of Chicago Press, 2024), 3.</w:t>
      </w:r>
      <w:r w:rsidR="007A2479">
        <w:t>, s. 8</w:t>
      </w:r>
    </w:p>
  </w:footnote>
  <w:footnote w:id="8">
    <w:p w14:paraId="43E83B61" w14:textId="222619CB" w:rsidR="00C562C5" w:rsidRDefault="00C562C5">
      <w:pPr>
        <w:pStyle w:val="FootnoteText"/>
      </w:pPr>
      <w:r>
        <w:rPr>
          <w:rStyle w:val="FootnoteReference"/>
        </w:rPr>
        <w:footnoteRef/>
      </w:r>
      <w:r>
        <w:t xml:space="preserve"> </w:t>
      </w:r>
      <w:proofErr w:type="spellStart"/>
      <w:r w:rsidR="007A2479">
        <w:t>Presner</w:t>
      </w:r>
      <w:proofErr w:type="spellEnd"/>
      <w:r w:rsidR="007A2479">
        <w:t>, “Introduction”, s. 9</w:t>
      </w:r>
    </w:p>
  </w:footnote>
  <w:footnote w:id="9">
    <w:p w14:paraId="5F8F09BD" w14:textId="00A57947" w:rsidR="002049DB" w:rsidRDefault="002049DB">
      <w:pPr>
        <w:pStyle w:val="FootnoteText"/>
      </w:pPr>
      <w:r>
        <w:rPr>
          <w:rStyle w:val="FootnoteReference"/>
        </w:rPr>
        <w:footnoteRef/>
      </w:r>
      <w:r>
        <w:t xml:space="preserve"> </w:t>
      </w:r>
      <w:proofErr w:type="spellStart"/>
      <w:r w:rsidR="007A2479">
        <w:t>Presner</w:t>
      </w:r>
      <w:proofErr w:type="spellEnd"/>
      <w:r w:rsidR="007A2479">
        <w:t>, “Introduction”, s. 8</w:t>
      </w:r>
    </w:p>
  </w:footnote>
  <w:footnote w:id="10">
    <w:p w14:paraId="32CA3E4E" w14:textId="35F609EC" w:rsidR="008F4DF9" w:rsidRPr="00AF498B" w:rsidRDefault="008F4DF9">
      <w:pPr>
        <w:pStyle w:val="FootnoteText"/>
      </w:pPr>
      <w:r>
        <w:rPr>
          <w:rStyle w:val="FootnoteReference"/>
        </w:rPr>
        <w:footnoteRef/>
      </w:r>
      <w:r>
        <w:t xml:space="preserve"> </w:t>
      </w:r>
      <w:r w:rsidR="008E3AD8" w:rsidRPr="008E3AD8">
        <w:t xml:space="preserve">Niels Brügger, "Understanding the Archived Web as a Historical Source," in </w:t>
      </w:r>
      <w:r w:rsidR="008E3AD8" w:rsidRPr="008E3AD8">
        <w:rPr>
          <w:i/>
          <w:iCs/>
        </w:rPr>
        <w:t>The SAGE Handbook of Web History</w:t>
      </w:r>
      <w:r w:rsidR="008E3AD8" w:rsidRPr="008E3AD8">
        <w:t xml:space="preserve">, ed. </w:t>
      </w:r>
      <w:r w:rsidR="008E3AD8" w:rsidRPr="00AF498B">
        <w:t>Niels Brügger and Ian Milligan (Los Angeles: SAGE, 2019), 18</w:t>
      </w:r>
      <w:r w:rsidR="00AF498B">
        <w:t xml:space="preserve">, </w:t>
      </w:r>
      <w:r w:rsidR="00BC0C31">
        <w:t>s. 22</w:t>
      </w:r>
    </w:p>
  </w:footnote>
  <w:footnote w:id="11">
    <w:p w14:paraId="46E6089F" w14:textId="7CAB1857" w:rsidR="00EB71AE" w:rsidRPr="00AF498B" w:rsidRDefault="00EB71AE">
      <w:pPr>
        <w:pStyle w:val="FootnoteText"/>
      </w:pPr>
      <w:r>
        <w:rPr>
          <w:rStyle w:val="FootnoteReference"/>
        </w:rPr>
        <w:footnoteRef/>
      </w:r>
      <w:r w:rsidRPr="00AF498B">
        <w:t xml:space="preserve"> </w:t>
      </w:r>
      <w:proofErr w:type="spellStart"/>
      <w:r w:rsidR="00AF498B" w:rsidRPr="00491F4C">
        <w:t>Brügger</w:t>
      </w:r>
      <w:proofErr w:type="spellEnd"/>
      <w:r w:rsidR="00AF498B" w:rsidRPr="00491F4C">
        <w:t>, „</w:t>
      </w:r>
      <w:r w:rsidR="00AF498B" w:rsidRPr="008E3AD8">
        <w:t>Understanding the Archived Web</w:t>
      </w:r>
      <w:r w:rsidR="00AF498B">
        <w:t>”, s. 22</w:t>
      </w:r>
    </w:p>
  </w:footnote>
  <w:footnote w:id="12">
    <w:p w14:paraId="0E167D10" w14:textId="74131B46" w:rsidR="000F6F78" w:rsidRPr="00491F4C" w:rsidRDefault="000F6F78">
      <w:pPr>
        <w:pStyle w:val="FootnoteText"/>
      </w:pPr>
      <w:r>
        <w:rPr>
          <w:rStyle w:val="FootnoteReference"/>
        </w:rPr>
        <w:footnoteRef/>
      </w:r>
      <w:r w:rsidRPr="00491F4C">
        <w:t xml:space="preserve"> </w:t>
      </w:r>
      <w:proofErr w:type="spellStart"/>
      <w:r w:rsidR="00491F4C" w:rsidRPr="00491F4C">
        <w:t>Brügger</w:t>
      </w:r>
      <w:proofErr w:type="spellEnd"/>
      <w:r w:rsidR="00491F4C" w:rsidRPr="00491F4C">
        <w:t>, „</w:t>
      </w:r>
      <w:r w:rsidR="00491F4C" w:rsidRPr="008E3AD8">
        <w:t>Understanding the Archived Web</w:t>
      </w:r>
      <w:r w:rsidR="00491F4C">
        <w:t>”, s. 24</w:t>
      </w:r>
    </w:p>
  </w:footnote>
  <w:footnote w:id="13">
    <w:p w14:paraId="67A8C909" w14:textId="5428DA63" w:rsidR="00BD36EE" w:rsidRDefault="00BD36EE">
      <w:pPr>
        <w:pStyle w:val="FootnoteText"/>
      </w:pPr>
      <w:r>
        <w:rPr>
          <w:rStyle w:val="FootnoteReference"/>
        </w:rPr>
        <w:footnoteRef/>
      </w:r>
      <w:r>
        <w:t xml:space="preserve"> </w:t>
      </w:r>
      <w:proofErr w:type="spellStart"/>
      <w:r w:rsidR="00491F4C" w:rsidRPr="00491F4C">
        <w:t>Brügger</w:t>
      </w:r>
      <w:proofErr w:type="spellEnd"/>
      <w:r w:rsidR="00491F4C" w:rsidRPr="00491F4C">
        <w:t>, „</w:t>
      </w:r>
      <w:r w:rsidR="00491F4C" w:rsidRPr="008E3AD8">
        <w:t>Understanding the Archived Web</w:t>
      </w:r>
      <w:r w:rsidR="00491F4C">
        <w:t>”, s. 24</w:t>
      </w:r>
    </w:p>
  </w:footnote>
  <w:footnote w:id="14">
    <w:p w14:paraId="2CFC1912" w14:textId="46D2E29A" w:rsidR="00625F1F" w:rsidRDefault="00625F1F">
      <w:pPr>
        <w:pStyle w:val="FootnoteText"/>
      </w:pPr>
      <w:r>
        <w:rPr>
          <w:rStyle w:val="FootnoteReference"/>
        </w:rPr>
        <w:footnoteRef/>
      </w:r>
      <w:r>
        <w:t xml:space="preserve"> </w:t>
      </w:r>
      <w:r w:rsidR="001663CA" w:rsidRPr="001663CA">
        <w:t xml:space="preserve">Jessica Marie Johnson, "Markup Bodies: Black [Life] Studies and Slavery [Death] Studies at the Digital Crossroads," </w:t>
      </w:r>
      <w:r w:rsidR="001663CA" w:rsidRPr="001663CA">
        <w:rPr>
          <w:i/>
          <w:iCs/>
        </w:rPr>
        <w:t>Social Text</w:t>
      </w:r>
      <w:r w:rsidR="001663CA" w:rsidRPr="001663CA">
        <w:t xml:space="preserve"> 36, no. 4 (December 2018): 59</w:t>
      </w:r>
      <w:r w:rsidR="001663CA">
        <w:t>, s. 71</w:t>
      </w:r>
    </w:p>
  </w:footnote>
  <w:footnote w:id="15">
    <w:p w14:paraId="0B064656" w14:textId="10FD6B46" w:rsidR="00C2572A" w:rsidRPr="001663CA" w:rsidRDefault="00C2572A">
      <w:pPr>
        <w:pStyle w:val="FootnoteText"/>
      </w:pPr>
      <w:r>
        <w:rPr>
          <w:rStyle w:val="FootnoteReference"/>
        </w:rPr>
        <w:footnoteRef/>
      </w:r>
      <w:r w:rsidRPr="001663CA">
        <w:t xml:space="preserve"> </w:t>
      </w:r>
      <w:r w:rsidR="001663CA" w:rsidRPr="001663CA">
        <w:t xml:space="preserve">Johnson, </w:t>
      </w:r>
      <w:r w:rsidR="001663CA">
        <w:t>“</w:t>
      </w:r>
      <w:r w:rsidR="001663CA" w:rsidRPr="001663CA">
        <w:t>Markup Bodies</w:t>
      </w:r>
      <w:r w:rsidR="001663CA">
        <w:t>”, s. 60</w:t>
      </w:r>
    </w:p>
  </w:footnote>
  <w:footnote w:id="16">
    <w:p w14:paraId="3C6DE203" w14:textId="32348B1D" w:rsidR="00AF6CD9" w:rsidRPr="001663CA" w:rsidRDefault="00AF6CD9">
      <w:pPr>
        <w:pStyle w:val="FootnoteText"/>
      </w:pPr>
      <w:r>
        <w:rPr>
          <w:rStyle w:val="FootnoteReference"/>
        </w:rPr>
        <w:footnoteRef/>
      </w:r>
      <w:r w:rsidRPr="001663CA">
        <w:t xml:space="preserve"> </w:t>
      </w:r>
      <w:r w:rsidR="001663CA" w:rsidRPr="001663CA">
        <w:t xml:space="preserve">Johnson, </w:t>
      </w:r>
      <w:r w:rsidR="001663CA">
        <w:t>“</w:t>
      </w:r>
      <w:r w:rsidR="001663CA" w:rsidRPr="001663CA">
        <w:t>Markup Bodies</w:t>
      </w:r>
      <w:r w:rsidR="001663CA">
        <w:t>”, s. 64</w:t>
      </w:r>
    </w:p>
  </w:footnote>
  <w:footnote w:id="17">
    <w:p w14:paraId="1F0DFEBA" w14:textId="25A8A53A" w:rsidR="00AF6CD9" w:rsidRPr="001663CA" w:rsidRDefault="00AF6CD9">
      <w:pPr>
        <w:pStyle w:val="FootnoteText"/>
      </w:pPr>
      <w:r>
        <w:rPr>
          <w:rStyle w:val="FootnoteReference"/>
        </w:rPr>
        <w:footnoteRef/>
      </w:r>
      <w:r w:rsidRPr="001663CA">
        <w:t xml:space="preserve"> </w:t>
      </w:r>
      <w:r w:rsidR="001663CA" w:rsidRPr="001663CA">
        <w:t xml:space="preserve">Johnson, </w:t>
      </w:r>
      <w:r w:rsidR="001663CA">
        <w:t>“</w:t>
      </w:r>
      <w:r w:rsidR="001663CA" w:rsidRPr="001663CA">
        <w:t>Markup Bodies</w:t>
      </w:r>
      <w:r w:rsidR="001663CA">
        <w:t xml:space="preserve">”, s. 60 </w:t>
      </w:r>
    </w:p>
  </w:footnote>
  <w:footnote w:id="18">
    <w:p w14:paraId="7356827F" w14:textId="6D32500D" w:rsidR="00D7016E" w:rsidRPr="001663CA" w:rsidRDefault="00D7016E">
      <w:pPr>
        <w:pStyle w:val="FootnoteText"/>
      </w:pPr>
      <w:r>
        <w:rPr>
          <w:rStyle w:val="FootnoteReference"/>
        </w:rPr>
        <w:footnoteRef/>
      </w:r>
      <w:r w:rsidRPr="001663CA">
        <w:t xml:space="preserve"> </w:t>
      </w:r>
      <w:r w:rsidR="001663CA" w:rsidRPr="001663CA">
        <w:t xml:space="preserve">Johnson, </w:t>
      </w:r>
      <w:r w:rsidR="001663CA">
        <w:t>“</w:t>
      </w:r>
      <w:r w:rsidR="001663CA" w:rsidRPr="001663CA">
        <w:t>Markup Bodies</w:t>
      </w:r>
      <w:r w:rsidR="001663CA">
        <w:t>”, s. 64</w:t>
      </w:r>
    </w:p>
  </w:footnote>
  <w:footnote w:id="19">
    <w:p w14:paraId="523098EF" w14:textId="7D88555C" w:rsidR="00711A5C" w:rsidRDefault="00711A5C">
      <w:pPr>
        <w:pStyle w:val="FootnoteText"/>
      </w:pPr>
      <w:r>
        <w:rPr>
          <w:rStyle w:val="FootnoteReference"/>
        </w:rPr>
        <w:footnoteRef/>
      </w:r>
      <w:r>
        <w:t xml:space="preserve"> </w:t>
      </w:r>
      <w:r w:rsidR="001663CA" w:rsidRPr="001663CA">
        <w:t xml:space="preserve">Johnson, </w:t>
      </w:r>
      <w:r w:rsidR="001663CA">
        <w:t>“</w:t>
      </w:r>
      <w:r w:rsidR="001663CA" w:rsidRPr="001663CA">
        <w:t>Markup Bodies</w:t>
      </w:r>
      <w:r w:rsidR="001663CA">
        <w:t>”, s. 68</w:t>
      </w:r>
    </w:p>
  </w:footnote>
  <w:footnote w:id="20">
    <w:p w14:paraId="30ABDA20" w14:textId="2D3454AE" w:rsidR="00BC6532" w:rsidRDefault="00BC6532">
      <w:pPr>
        <w:pStyle w:val="FootnoteText"/>
      </w:pPr>
      <w:r>
        <w:rPr>
          <w:rStyle w:val="FootnoteReference"/>
        </w:rPr>
        <w:footnoteRef/>
      </w:r>
      <w:r>
        <w:t xml:space="preserve"> </w:t>
      </w:r>
      <w:r w:rsidR="001663CA" w:rsidRPr="001663CA">
        <w:t xml:space="preserve">Johnson, </w:t>
      </w:r>
      <w:r w:rsidR="001663CA">
        <w:t>“</w:t>
      </w:r>
      <w:r w:rsidR="001663CA" w:rsidRPr="001663CA">
        <w:t>Markup Bodies</w:t>
      </w:r>
      <w:r w:rsidR="001663CA">
        <w:t xml:space="preserve">”, s. 71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02F95"/>
    <w:multiLevelType w:val="multilevel"/>
    <w:tmpl w:val="20E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10D75"/>
    <w:multiLevelType w:val="multilevel"/>
    <w:tmpl w:val="003A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73704"/>
    <w:multiLevelType w:val="multilevel"/>
    <w:tmpl w:val="A6186FB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52E6780B"/>
    <w:multiLevelType w:val="multilevel"/>
    <w:tmpl w:val="0BC260D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738016004">
    <w:abstractNumId w:val="2"/>
  </w:num>
  <w:num w:numId="2" w16cid:durableId="1434326985">
    <w:abstractNumId w:val="3"/>
  </w:num>
  <w:num w:numId="3" w16cid:durableId="1877960888">
    <w:abstractNumId w:val="0"/>
  </w:num>
  <w:num w:numId="4" w16cid:durableId="206302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42"/>
    <w:rsid w:val="0000461B"/>
    <w:rsid w:val="00007D6B"/>
    <w:rsid w:val="00013BB2"/>
    <w:rsid w:val="0002264E"/>
    <w:rsid w:val="00025BC0"/>
    <w:rsid w:val="00031C8E"/>
    <w:rsid w:val="0003433F"/>
    <w:rsid w:val="000377D8"/>
    <w:rsid w:val="000528E2"/>
    <w:rsid w:val="00067915"/>
    <w:rsid w:val="000744B6"/>
    <w:rsid w:val="000763BE"/>
    <w:rsid w:val="000775AB"/>
    <w:rsid w:val="00080FCA"/>
    <w:rsid w:val="000821DB"/>
    <w:rsid w:val="0008664C"/>
    <w:rsid w:val="000869B5"/>
    <w:rsid w:val="00091186"/>
    <w:rsid w:val="000A07A7"/>
    <w:rsid w:val="000B052E"/>
    <w:rsid w:val="000C1DAF"/>
    <w:rsid w:val="000C2CA4"/>
    <w:rsid w:val="000C3F6E"/>
    <w:rsid w:val="000C4527"/>
    <w:rsid w:val="000C463A"/>
    <w:rsid w:val="000C5047"/>
    <w:rsid w:val="000C6B04"/>
    <w:rsid w:val="000D169E"/>
    <w:rsid w:val="000D2B64"/>
    <w:rsid w:val="000D7ABD"/>
    <w:rsid w:val="000E5CDA"/>
    <w:rsid w:val="000F0F32"/>
    <w:rsid w:val="000F65EE"/>
    <w:rsid w:val="000F6F78"/>
    <w:rsid w:val="00102FA8"/>
    <w:rsid w:val="00113218"/>
    <w:rsid w:val="001172B7"/>
    <w:rsid w:val="0013645F"/>
    <w:rsid w:val="00142A09"/>
    <w:rsid w:val="00147577"/>
    <w:rsid w:val="00151A8D"/>
    <w:rsid w:val="00152772"/>
    <w:rsid w:val="00154C89"/>
    <w:rsid w:val="00163E97"/>
    <w:rsid w:val="001663CA"/>
    <w:rsid w:val="00170E90"/>
    <w:rsid w:val="00183EA4"/>
    <w:rsid w:val="00184075"/>
    <w:rsid w:val="001A79EE"/>
    <w:rsid w:val="001B1F81"/>
    <w:rsid w:val="001B7599"/>
    <w:rsid w:val="001C4BB3"/>
    <w:rsid w:val="001C7D11"/>
    <w:rsid w:val="001D6D28"/>
    <w:rsid w:val="001E0F31"/>
    <w:rsid w:val="001E0FDA"/>
    <w:rsid w:val="001E6621"/>
    <w:rsid w:val="001E7270"/>
    <w:rsid w:val="001E7A48"/>
    <w:rsid w:val="00201D2F"/>
    <w:rsid w:val="002049DB"/>
    <w:rsid w:val="00210C9A"/>
    <w:rsid w:val="0021409B"/>
    <w:rsid w:val="0021456D"/>
    <w:rsid w:val="00222CEC"/>
    <w:rsid w:val="002345F3"/>
    <w:rsid w:val="002409EF"/>
    <w:rsid w:val="002449EF"/>
    <w:rsid w:val="00247896"/>
    <w:rsid w:val="00262ECB"/>
    <w:rsid w:val="002656F4"/>
    <w:rsid w:val="002671F3"/>
    <w:rsid w:val="00272BAC"/>
    <w:rsid w:val="002734AB"/>
    <w:rsid w:val="0027609E"/>
    <w:rsid w:val="00282F28"/>
    <w:rsid w:val="00294AA1"/>
    <w:rsid w:val="0029798F"/>
    <w:rsid w:val="002A2509"/>
    <w:rsid w:val="002A4A58"/>
    <w:rsid w:val="002B1720"/>
    <w:rsid w:val="002B6517"/>
    <w:rsid w:val="002B7D01"/>
    <w:rsid w:val="002C267B"/>
    <w:rsid w:val="002C31B5"/>
    <w:rsid w:val="002C3337"/>
    <w:rsid w:val="002D0ABE"/>
    <w:rsid w:val="002D0D13"/>
    <w:rsid w:val="002D5DFF"/>
    <w:rsid w:val="002F0658"/>
    <w:rsid w:val="002F2CBF"/>
    <w:rsid w:val="00304372"/>
    <w:rsid w:val="00310C66"/>
    <w:rsid w:val="00311E44"/>
    <w:rsid w:val="003120A1"/>
    <w:rsid w:val="00316999"/>
    <w:rsid w:val="00316B97"/>
    <w:rsid w:val="00317D63"/>
    <w:rsid w:val="00331E1B"/>
    <w:rsid w:val="00333EAB"/>
    <w:rsid w:val="003364B4"/>
    <w:rsid w:val="003375C0"/>
    <w:rsid w:val="003377D5"/>
    <w:rsid w:val="003503D9"/>
    <w:rsid w:val="003520BB"/>
    <w:rsid w:val="00352BE4"/>
    <w:rsid w:val="00353107"/>
    <w:rsid w:val="00354A4B"/>
    <w:rsid w:val="00365D9E"/>
    <w:rsid w:val="003714B4"/>
    <w:rsid w:val="003717C9"/>
    <w:rsid w:val="00373331"/>
    <w:rsid w:val="00373AAD"/>
    <w:rsid w:val="00385F6B"/>
    <w:rsid w:val="0039588A"/>
    <w:rsid w:val="003A2854"/>
    <w:rsid w:val="003B43BD"/>
    <w:rsid w:val="003B5F38"/>
    <w:rsid w:val="003C52D4"/>
    <w:rsid w:val="003E0DD7"/>
    <w:rsid w:val="003E29EB"/>
    <w:rsid w:val="003F283C"/>
    <w:rsid w:val="0040126A"/>
    <w:rsid w:val="004026D6"/>
    <w:rsid w:val="0041498E"/>
    <w:rsid w:val="00421AF0"/>
    <w:rsid w:val="004240FA"/>
    <w:rsid w:val="004353E6"/>
    <w:rsid w:val="00437EC9"/>
    <w:rsid w:val="00450C9F"/>
    <w:rsid w:val="0046062C"/>
    <w:rsid w:val="00462667"/>
    <w:rsid w:val="00466260"/>
    <w:rsid w:val="00471F44"/>
    <w:rsid w:val="00474C14"/>
    <w:rsid w:val="00475DD7"/>
    <w:rsid w:val="00483C9A"/>
    <w:rsid w:val="004852A9"/>
    <w:rsid w:val="004877D7"/>
    <w:rsid w:val="00491F4C"/>
    <w:rsid w:val="004960A5"/>
    <w:rsid w:val="004A3AEB"/>
    <w:rsid w:val="004A46E0"/>
    <w:rsid w:val="004A4C17"/>
    <w:rsid w:val="004A64CB"/>
    <w:rsid w:val="004C50EE"/>
    <w:rsid w:val="004D5B34"/>
    <w:rsid w:val="004E27CD"/>
    <w:rsid w:val="00501FD4"/>
    <w:rsid w:val="0050730A"/>
    <w:rsid w:val="005210EE"/>
    <w:rsid w:val="00522822"/>
    <w:rsid w:val="00525FF7"/>
    <w:rsid w:val="0053182D"/>
    <w:rsid w:val="005374C6"/>
    <w:rsid w:val="00542E8A"/>
    <w:rsid w:val="00543CDB"/>
    <w:rsid w:val="00545633"/>
    <w:rsid w:val="00545D05"/>
    <w:rsid w:val="00551FE6"/>
    <w:rsid w:val="00554D4D"/>
    <w:rsid w:val="00555839"/>
    <w:rsid w:val="0056031D"/>
    <w:rsid w:val="00566F1A"/>
    <w:rsid w:val="005674CF"/>
    <w:rsid w:val="00582A27"/>
    <w:rsid w:val="005879B1"/>
    <w:rsid w:val="0059091B"/>
    <w:rsid w:val="005A367E"/>
    <w:rsid w:val="005B08A5"/>
    <w:rsid w:val="005B280F"/>
    <w:rsid w:val="005B3B98"/>
    <w:rsid w:val="005D0E93"/>
    <w:rsid w:val="005D0FED"/>
    <w:rsid w:val="005D4F65"/>
    <w:rsid w:val="005E2911"/>
    <w:rsid w:val="005E5150"/>
    <w:rsid w:val="005F50F0"/>
    <w:rsid w:val="00610D36"/>
    <w:rsid w:val="00617800"/>
    <w:rsid w:val="006208A2"/>
    <w:rsid w:val="006233B1"/>
    <w:rsid w:val="00625F1F"/>
    <w:rsid w:val="00626211"/>
    <w:rsid w:val="0063471D"/>
    <w:rsid w:val="00634775"/>
    <w:rsid w:val="00644B7A"/>
    <w:rsid w:val="00665783"/>
    <w:rsid w:val="006674B3"/>
    <w:rsid w:val="006709C0"/>
    <w:rsid w:val="006742AC"/>
    <w:rsid w:val="00683E3B"/>
    <w:rsid w:val="00685673"/>
    <w:rsid w:val="00692897"/>
    <w:rsid w:val="00696F57"/>
    <w:rsid w:val="006A14C3"/>
    <w:rsid w:val="006A6380"/>
    <w:rsid w:val="006A784B"/>
    <w:rsid w:val="006B2067"/>
    <w:rsid w:val="006B42B7"/>
    <w:rsid w:val="006C044E"/>
    <w:rsid w:val="006C1CD8"/>
    <w:rsid w:val="006D0214"/>
    <w:rsid w:val="006E0BA7"/>
    <w:rsid w:val="006E5A41"/>
    <w:rsid w:val="006E7233"/>
    <w:rsid w:val="0070475F"/>
    <w:rsid w:val="00704C6B"/>
    <w:rsid w:val="00711A5C"/>
    <w:rsid w:val="007171E3"/>
    <w:rsid w:val="00734F41"/>
    <w:rsid w:val="00736910"/>
    <w:rsid w:val="00743213"/>
    <w:rsid w:val="007433EC"/>
    <w:rsid w:val="00743B6E"/>
    <w:rsid w:val="007512F4"/>
    <w:rsid w:val="00760943"/>
    <w:rsid w:val="00761E1E"/>
    <w:rsid w:val="007720A0"/>
    <w:rsid w:val="00773A81"/>
    <w:rsid w:val="00774022"/>
    <w:rsid w:val="00782C68"/>
    <w:rsid w:val="007873D1"/>
    <w:rsid w:val="00787A22"/>
    <w:rsid w:val="00790887"/>
    <w:rsid w:val="007A2479"/>
    <w:rsid w:val="007A3D13"/>
    <w:rsid w:val="007B1882"/>
    <w:rsid w:val="007C1B69"/>
    <w:rsid w:val="007C5566"/>
    <w:rsid w:val="007D6954"/>
    <w:rsid w:val="007E335C"/>
    <w:rsid w:val="007E4F31"/>
    <w:rsid w:val="007E62EE"/>
    <w:rsid w:val="00800D83"/>
    <w:rsid w:val="008031C1"/>
    <w:rsid w:val="008049A1"/>
    <w:rsid w:val="00813972"/>
    <w:rsid w:val="00813D3A"/>
    <w:rsid w:val="008215F9"/>
    <w:rsid w:val="00830207"/>
    <w:rsid w:val="008326F6"/>
    <w:rsid w:val="00832D79"/>
    <w:rsid w:val="00832EB5"/>
    <w:rsid w:val="00833157"/>
    <w:rsid w:val="00833B51"/>
    <w:rsid w:val="008372C2"/>
    <w:rsid w:val="00845AF6"/>
    <w:rsid w:val="00850559"/>
    <w:rsid w:val="008577AB"/>
    <w:rsid w:val="00883E4A"/>
    <w:rsid w:val="00886094"/>
    <w:rsid w:val="00887FE7"/>
    <w:rsid w:val="008943CB"/>
    <w:rsid w:val="008A45F6"/>
    <w:rsid w:val="008B01AE"/>
    <w:rsid w:val="008B01D6"/>
    <w:rsid w:val="008B0844"/>
    <w:rsid w:val="008B6AC9"/>
    <w:rsid w:val="008B6B86"/>
    <w:rsid w:val="008C264E"/>
    <w:rsid w:val="008C480D"/>
    <w:rsid w:val="008E3AD8"/>
    <w:rsid w:val="008F04B8"/>
    <w:rsid w:val="008F05D4"/>
    <w:rsid w:val="008F4DF9"/>
    <w:rsid w:val="008F50B5"/>
    <w:rsid w:val="008F61E1"/>
    <w:rsid w:val="008F7A8F"/>
    <w:rsid w:val="00901469"/>
    <w:rsid w:val="009131EE"/>
    <w:rsid w:val="009159B3"/>
    <w:rsid w:val="00916C2F"/>
    <w:rsid w:val="00920096"/>
    <w:rsid w:val="00921558"/>
    <w:rsid w:val="009501DC"/>
    <w:rsid w:val="00952261"/>
    <w:rsid w:val="009542A9"/>
    <w:rsid w:val="009550BF"/>
    <w:rsid w:val="00960BD9"/>
    <w:rsid w:val="00963B6A"/>
    <w:rsid w:val="00971CBE"/>
    <w:rsid w:val="009809D6"/>
    <w:rsid w:val="00981B14"/>
    <w:rsid w:val="009A470F"/>
    <w:rsid w:val="009B1048"/>
    <w:rsid w:val="009B1751"/>
    <w:rsid w:val="009B419F"/>
    <w:rsid w:val="009C1C0F"/>
    <w:rsid w:val="009C5A49"/>
    <w:rsid w:val="009C66FA"/>
    <w:rsid w:val="009D6A4E"/>
    <w:rsid w:val="009F2DDE"/>
    <w:rsid w:val="00A006C1"/>
    <w:rsid w:val="00A01CFC"/>
    <w:rsid w:val="00A0719D"/>
    <w:rsid w:val="00A112FB"/>
    <w:rsid w:val="00A122A4"/>
    <w:rsid w:val="00A20703"/>
    <w:rsid w:val="00A26213"/>
    <w:rsid w:val="00A4398A"/>
    <w:rsid w:val="00A47BAE"/>
    <w:rsid w:val="00A47D0A"/>
    <w:rsid w:val="00A70C96"/>
    <w:rsid w:val="00A86621"/>
    <w:rsid w:val="00AA25B2"/>
    <w:rsid w:val="00AA367B"/>
    <w:rsid w:val="00AA6FFD"/>
    <w:rsid w:val="00AB3974"/>
    <w:rsid w:val="00AD5FCF"/>
    <w:rsid w:val="00AE55BF"/>
    <w:rsid w:val="00AE6B8C"/>
    <w:rsid w:val="00AF2EF5"/>
    <w:rsid w:val="00AF498B"/>
    <w:rsid w:val="00AF57D1"/>
    <w:rsid w:val="00AF6CD9"/>
    <w:rsid w:val="00B010B2"/>
    <w:rsid w:val="00B10944"/>
    <w:rsid w:val="00B11723"/>
    <w:rsid w:val="00B16100"/>
    <w:rsid w:val="00B3051C"/>
    <w:rsid w:val="00B32A70"/>
    <w:rsid w:val="00B360A0"/>
    <w:rsid w:val="00B43340"/>
    <w:rsid w:val="00B45F42"/>
    <w:rsid w:val="00B478DC"/>
    <w:rsid w:val="00B5419D"/>
    <w:rsid w:val="00B544E3"/>
    <w:rsid w:val="00B62F23"/>
    <w:rsid w:val="00B635DB"/>
    <w:rsid w:val="00B716DE"/>
    <w:rsid w:val="00B8301B"/>
    <w:rsid w:val="00B86E7A"/>
    <w:rsid w:val="00B90EFC"/>
    <w:rsid w:val="00B95543"/>
    <w:rsid w:val="00B9673B"/>
    <w:rsid w:val="00B97C6C"/>
    <w:rsid w:val="00BA2288"/>
    <w:rsid w:val="00BA2BD8"/>
    <w:rsid w:val="00BA7514"/>
    <w:rsid w:val="00BB131E"/>
    <w:rsid w:val="00BB1E11"/>
    <w:rsid w:val="00BB2455"/>
    <w:rsid w:val="00BB4053"/>
    <w:rsid w:val="00BC0C31"/>
    <w:rsid w:val="00BC3D8A"/>
    <w:rsid w:val="00BC6532"/>
    <w:rsid w:val="00BD36EE"/>
    <w:rsid w:val="00BE06B8"/>
    <w:rsid w:val="00BE1C59"/>
    <w:rsid w:val="00BF20CE"/>
    <w:rsid w:val="00BF6E79"/>
    <w:rsid w:val="00C024B6"/>
    <w:rsid w:val="00C02693"/>
    <w:rsid w:val="00C066E1"/>
    <w:rsid w:val="00C128AE"/>
    <w:rsid w:val="00C14597"/>
    <w:rsid w:val="00C15124"/>
    <w:rsid w:val="00C161BB"/>
    <w:rsid w:val="00C24176"/>
    <w:rsid w:val="00C2572A"/>
    <w:rsid w:val="00C269F2"/>
    <w:rsid w:val="00C34CE1"/>
    <w:rsid w:val="00C52BA6"/>
    <w:rsid w:val="00C562C5"/>
    <w:rsid w:val="00C643AB"/>
    <w:rsid w:val="00C67CD2"/>
    <w:rsid w:val="00C711F6"/>
    <w:rsid w:val="00C77AAA"/>
    <w:rsid w:val="00C97495"/>
    <w:rsid w:val="00CB5495"/>
    <w:rsid w:val="00CC2CB9"/>
    <w:rsid w:val="00CC4C91"/>
    <w:rsid w:val="00CD578D"/>
    <w:rsid w:val="00CD7B91"/>
    <w:rsid w:val="00CE0856"/>
    <w:rsid w:val="00CE4DFB"/>
    <w:rsid w:val="00CE62D4"/>
    <w:rsid w:val="00D02E6C"/>
    <w:rsid w:val="00D049FA"/>
    <w:rsid w:val="00D16BE1"/>
    <w:rsid w:val="00D24FC5"/>
    <w:rsid w:val="00D34AAA"/>
    <w:rsid w:val="00D5279D"/>
    <w:rsid w:val="00D53560"/>
    <w:rsid w:val="00D56CDA"/>
    <w:rsid w:val="00D571F5"/>
    <w:rsid w:val="00D7016E"/>
    <w:rsid w:val="00D75797"/>
    <w:rsid w:val="00D93FFD"/>
    <w:rsid w:val="00DA0E7B"/>
    <w:rsid w:val="00DB0195"/>
    <w:rsid w:val="00DB516D"/>
    <w:rsid w:val="00DC0A09"/>
    <w:rsid w:val="00DC48E2"/>
    <w:rsid w:val="00DE121D"/>
    <w:rsid w:val="00DE5F43"/>
    <w:rsid w:val="00DF5D53"/>
    <w:rsid w:val="00E26EE8"/>
    <w:rsid w:val="00E32541"/>
    <w:rsid w:val="00E34BF5"/>
    <w:rsid w:val="00E40F9F"/>
    <w:rsid w:val="00E42D62"/>
    <w:rsid w:val="00E46735"/>
    <w:rsid w:val="00E5093C"/>
    <w:rsid w:val="00E526DA"/>
    <w:rsid w:val="00E56301"/>
    <w:rsid w:val="00E57C60"/>
    <w:rsid w:val="00E60708"/>
    <w:rsid w:val="00E66FFC"/>
    <w:rsid w:val="00E706F3"/>
    <w:rsid w:val="00E70E3A"/>
    <w:rsid w:val="00E722BF"/>
    <w:rsid w:val="00E75A37"/>
    <w:rsid w:val="00E83BD5"/>
    <w:rsid w:val="00E84B74"/>
    <w:rsid w:val="00E8532D"/>
    <w:rsid w:val="00EA5A9D"/>
    <w:rsid w:val="00EB71AE"/>
    <w:rsid w:val="00EC35C3"/>
    <w:rsid w:val="00EC6E6E"/>
    <w:rsid w:val="00ED12D2"/>
    <w:rsid w:val="00ED49E1"/>
    <w:rsid w:val="00ED6E02"/>
    <w:rsid w:val="00ED6EC8"/>
    <w:rsid w:val="00EF466D"/>
    <w:rsid w:val="00EF59E0"/>
    <w:rsid w:val="00F0071F"/>
    <w:rsid w:val="00F143E6"/>
    <w:rsid w:val="00F15F89"/>
    <w:rsid w:val="00F22217"/>
    <w:rsid w:val="00F22D00"/>
    <w:rsid w:val="00F26BF5"/>
    <w:rsid w:val="00F279D4"/>
    <w:rsid w:val="00F30D03"/>
    <w:rsid w:val="00F350EA"/>
    <w:rsid w:val="00F401FD"/>
    <w:rsid w:val="00F47B5C"/>
    <w:rsid w:val="00F50CF2"/>
    <w:rsid w:val="00F515ED"/>
    <w:rsid w:val="00F5460F"/>
    <w:rsid w:val="00F54B99"/>
    <w:rsid w:val="00F55135"/>
    <w:rsid w:val="00F55A34"/>
    <w:rsid w:val="00F625E4"/>
    <w:rsid w:val="00F644D2"/>
    <w:rsid w:val="00F6546E"/>
    <w:rsid w:val="00F66032"/>
    <w:rsid w:val="00F7303B"/>
    <w:rsid w:val="00F73FEC"/>
    <w:rsid w:val="00F83B40"/>
    <w:rsid w:val="00F84461"/>
    <w:rsid w:val="00F862B4"/>
    <w:rsid w:val="00F86765"/>
    <w:rsid w:val="00FA7605"/>
    <w:rsid w:val="00FB1446"/>
    <w:rsid w:val="00FB7BD0"/>
    <w:rsid w:val="00FC0E4D"/>
    <w:rsid w:val="00FE4C86"/>
    <w:rsid w:val="00FE58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2196AB6"/>
  <w15:chartTrackingRefBased/>
  <w15:docId w15:val="{354C865B-9685-4D51-8B77-CB250D3B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813D3A"/>
    <w:rPr>
      <w:color w:val="605E5C"/>
      <w:shd w:val="clear" w:color="auto" w:fill="E1DFDD"/>
    </w:rPr>
  </w:style>
  <w:style w:type="paragraph" w:styleId="FootnoteText">
    <w:name w:val="footnote text"/>
    <w:basedOn w:val="Normal"/>
    <w:link w:val="FootnoteTextChar"/>
    <w:uiPriority w:val="99"/>
    <w:semiHidden/>
    <w:unhideWhenUsed/>
    <w:rsid w:val="00D56CDA"/>
    <w:pPr>
      <w:snapToGrid w:val="0"/>
    </w:pPr>
  </w:style>
  <w:style w:type="character" w:customStyle="1" w:styleId="FootnoteTextChar">
    <w:name w:val="Footnote Text Char"/>
    <w:basedOn w:val="DefaultParagraphFont"/>
    <w:link w:val="FootnoteText"/>
    <w:uiPriority w:val="99"/>
    <w:semiHidden/>
    <w:rsid w:val="00D56CDA"/>
    <w:rPr>
      <w:sz w:val="24"/>
      <w:szCs w:val="24"/>
    </w:rPr>
  </w:style>
  <w:style w:type="character" w:styleId="FootnoteReference">
    <w:name w:val="footnote reference"/>
    <w:basedOn w:val="DefaultParagraphFont"/>
    <w:uiPriority w:val="99"/>
    <w:semiHidden/>
    <w:unhideWhenUsed/>
    <w:rsid w:val="00D56CDA"/>
    <w:rPr>
      <w:vertAlign w:val="superscript"/>
    </w:rPr>
  </w:style>
  <w:style w:type="paragraph" w:styleId="Header">
    <w:name w:val="header"/>
    <w:basedOn w:val="Normal"/>
    <w:link w:val="HeaderChar"/>
    <w:uiPriority w:val="99"/>
    <w:semiHidden/>
    <w:unhideWhenUsed/>
    <w:rsid w:val="000C463A"/>
    <w:pPr>
      <w:tabs>
        <w:tab w:val="center" w:pos="4819"/>
        <w:tab w:val="right" w:pos="9638"/>
      </w:tabs>
    </w:pPr>
  </w:style>
  <w:style w:type="character" w:customStyle="1" w:styleId="HeaderChar">
    <w:name w:val="Header Char"/>
    <w:basedOn w:val="DefaultParagraphFont"/>
    <w:link w:val="Header"/>
    <w:uiPriority w:val="99"/>
    <w:semiHidden/>
    <w:rsid w:val="000C463A"/>
    <w:rPr>
      <w:sz w:val="24"/>
      <w:szCs w:val="24"/>
    </w:rPr>
  </w:style>
  <w:style w:type="paragraph" w:styleId="Footer">
    <w:name w:val="footer"/>
    <w:basedOn w:val="Normal"/>
    <w:link w:val="FooterChar"/>
    <w:uiPriority w:val="99"/>
    <w:semiHidden/>
    <w:unhideWhenUsed/>
    <w:rsid w:val="000C463A"/>
    <w:pPr>
      <w:tabs>
        <w:tab w:val="center" w:pos="4819"/>
        <w:tab w:val="right" w:pos="9638"/>
      </w:tabs>
    </w:pPr>
  </w:style>
  <w:style w:type="character" w:customStyle="1" w:styleId="FooterChar">
    <w:name w:val="Footer Char"/>
    <w:basedOn w:val="DefaultParagraphFont"/>
    <w:link w:val="Footer"/>
    <w:uiPriority w:val="99"/>
    <w:semiHidden/>
    <w:rsid w:val="000C46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7091">
      <w:marLeft w:val="0"/>
      <w:marRight w:val="0"/>
      <w:marTop w:val="0"/>
      <w:marBottom w:val="0"/>
      <w:divBdr>
        <w:top w:val="none" w:sz="0" w:space="0" w:color="auto"/>
        <w:left w:val="none" w:sz="0" w:space="0" w:color="auto"/>
        <w:bottom w:val="none" w:sz="0" w:space="0" w:color="auto"/>
        <w:right w:val="none" w:sz="0" w:space="0" w:color="auto"/>
      </w:divBdr>
    </w:div>
    <w:div w:id="260338212">
      <w:marLeft w:val="0"/>
      <w:marRight w:val="0"/>
      <w:marTop w:val="0"/>
      <w:marBottom w:val="0"/>
      <w:divBdr>
        <w:top w:val="none" w:sz="0" w:space="0" w:color="auto"/>
        <w:left w:val="none" w:sz="0" w:space="0" w:color="auto"/>
        <w:bottom w:val="none" w:sz="0" w:space="0" w:color="auto"/>
        <w:right w:val="none" w:sz="0" w:space="0" w:color="auto"/>
      </w:divBdr>
    </w:div>
    <w:div w:id="574705195">
      <w:marLeft w:val="0"/>
      <w:marRight w:val="0"/>
      <w:marTop w:val="0"/>
      <w:marBottom w:val="0"/>
      <w:divBdr>
        <w:top w:val="none" w:sz="0" w:space="0" w:color="auto"/>
        <w:left w:val="none" w:sz="0" w:space="0" w:color="auto"/>
        <w:bottom w:val="none" w:sz="0" w:space="0" w:color="auto"/>
        <w:right w:val="none" w:sz="0" w:space="0" w:color="auto"/>
      </w:divBdr>
    </w:div>
    <w:div w:id="616183918">
      <w:marLeft w:val="0"/>
      <w:marRight w:val="0"/>
      <w:marTop w:val="0"/>
      <w:marBottom w:val="0"/>
      <w:divBdr>
        <w:top w:val="none" w:sz="0" w:space="0" w:color="auto"/>
        <w:left w:val="none" w:sz="0" w:space="0" w:color="auto"/>
        <w:bottom w:val="none" w:sz="0" w:space="0" w:color="auto"/>
        <w:right w:val="none" w:sz="0" w:space="0" w:color="auto"/>
      </w:divBdr>
    </w:div>
    <w:div w:id="818039271">
      <w:marLeft w:val="0"/>
      <w:marRight w:val="0"/>
      <w:marTop w:val="0"/>
      <w:marBottom w:val="0"/>
      <w:divBdr>
        <w:top w:val="none" w:sz="0" w:space="0" w:color="auto"/>
        <w:left w:val="none" w:sz="0" w:space="0" w:color="auto"/>
        <w:bottom w:val="none" w:sz="0" w:space="0" w:color="auto"/>
        <w:right w:val="none" w:sz="0" w:space="0" w:color="auto"/>
      </w:divBdr>
    </w:div>
    <w:div w:id="1021122504">
      <w:marLeft w:val="0"/>
      <w:marRight w:val="0"/>
      <w:marTop w:val="0"/>
      <w:marBottom w:val="0"/>
      <w:divBdr>
        <w:top w:val="none" w:sz="0" w:space="0" w:color="auto"/>
        <w:left w:val="none" w:sz="0" w:space="0" w:color="auto"/>
        <w:bottom w:val="none" w:sz="0" w:space="0" w:color="auto"/>
        <w:right w:val="none" w:sz="0" w:space="0" w:color="auto"/>
      </w:divBdr>
    </w:div>
    <w:div w:id="1256934651">
      <w:marLeft w:val="0"/>
      <w:marRight w:val="0"/>
      <w:marTop w:val="0"/>
      <w:marBottom w:val="0"/>
      <w:divBdr>
        <w:top w:val="none" w:sz="0" w:space="0" w:color="auto"/>
        <w:left w:val="none" w:sz="0" w:space="0" w:color="auto"/>
        <w:bottom w:val="none" w:sz="0" w:space="0" w:color="auto"/>
        <w:right w:val="none" w:sz="0" w:space="0" w:color="auto"/>
      </w:divBdr>
    </w:div>
    <w:div w:id="1528908490">
      <w:marLeft w:val="0"/>
      <w:marRight w:val="0"/>
      <w:marTop w:val="0"/>
      <w:marBottom w:val="0"/>
      <w:divBdr>
        <w:top w:val="none" w:sz="0" w:space="0" w:color="auto"/>
        <w:left w:val="none" w:sz="0" w:space="0" w:color="auto"/>
        <w:bottom w:val="none" w:sz="0" w:space="0" w:color="auto"/>
        <w:right w:val="none" w:sz="0" w:space="0" w:color="auto"/>
      </w:divBdr>
    </w:div>
    <w:div w:id="1834566802">
      <w:marLeft w:val="0"/>
      <w:marRight w:val="0"/>
      <w:marTop w:val="0"/>
      <w:marBottom w:val="0"/>
      <w:divBdr>
        <w:top w:val="none" w:sz="0" w:space="0" w:color="auto"/>
        <w:left w:val="none" w:sz="0" w:space="0" w:color="auto"/>
        <w:bottom w:val="none" w:sz="0" w:space="0" w:color="auto"/>
        <w:right w:val="none" w:sz="0" w:space="0" w:color="auto"/>
      </w:divBdr>
    </w:div>
    <w:div w:id="1872526261">
      <w:marLeft w:val="0"/>
      <w:marRight w:val="0"/>
      <w:marTop w:val="0"/>
      <w:marBottom w:val="0"/>
      <w:divBdr>
        <w:top w:val="none" w:sz="0" w:space="0" w:color="auto"/>
        <w:left w:val="none" w:sz="0" w:space="0" w:color="auto"/>
        <w:bottom w:val="none" w:sz="0" w:space="0" w:color="auto"/>
        <w:right w:val="none" w:sz="0" w:space="0" w:color="auto"/>
      </w:divBdr>
    </w:div>
    <w:div w:id="190594723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it.aviaryplatform.com/collections/23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anke2.uni.lu/u/bod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it.aviaryplatform.com/collections/231" TargetMode="External"/><Relationship Id="rId5" Type="http://schemas.openxmlformats.org/officeDocument/2006/relationships/footnotes" Target="footnotes.xml"/><Relationship Id="rId10" Type="http://schemas.openxmlformats.org/officeDocument/2006/relationships/hyperlink" Target="https://tidsskrift.dk/temp/article/view/135441" TargetMode="External"/><Relationship Id="rId4" Type="http://schemas.openxmlformats.org/officeDocument/2006/relationships/webSettings" Target="webSettings.xml"/><Relationship Id="rId9" Type="http://schemas.openxmlformats.org/officeDocument/2006/relationships/hyperlink" Target="https://doi.org/10.1080/13688804.2020.177904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it.aviaryplatform.com/collections/2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2120</Words>
  <Characters>12084</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Digital archives reflection assignment</vt:lpstr>
    </vt:vector>
  </TitlesOfParts>
  <Company/>
  <LinksUpToDate>false</LinksUpToDate>
  <CharactersWithSpaces>14176</CharactersWithSpaces>
  <SharedDoc>false</SharedDoc>
  <HLinks>
    <vt:vector size="30" baseType="variant">
      <vt:variant>
        <vt:i4>2949175</vt:i4>
      </vt:variant>
      <vt:variant>
        <vt:i4>9</vt:i4>
      </vt:variant>
      <vt:variant>
        <vt:i4>0</vt:i4>
      </vt:variant>
      <vt:variant>
        <vt:i4>5</vt:i4>
      </vt:variant>
      <vt:variant>
        <vt:lpwstr>https://iit.aviaryplatform.com/collections/231</vt:lpwstr>
      </vt:variant>
      <vt:variant>
        <vt:lpwstr/>
      </vt:variant>
      <vt:variant>
        <vt:i4>524365</vt:i4>
      </vt:variant>
      <vt:variant>
        <vt:i4>6</vt:i4>
      </vt:variant>
      <vt:variant>
        <vt:i4>0</vt:i4>
      </vt:variant>
      <vt:variant>
        <vt:i4>5</vt:i4>
      </vt:variant>
      <vt:variant>
        <vt:lpwstr>https://doi.org/10.1080/13688804.2020.1779047</vt:lpwstr>
      </vt:variant>
      <vt:variant>
        <vt:lpwstr/>
      </vt:variant>
      <vt:variant>
        <vt:i4>2949175</vt:i4>
      </vt:variant>
      <vt:variant>
        <vt:i4>3</vt:i4>
      </vt:variant>
      <vt:variant>
        <vt:i4>0</vt:i4>
      </vt:variant>
      <vt:variant>
        <vt:i4>5</vt:i4>
      </vt:variant>
      <vt:variant>
        <vt:lpwstr>https://iit.aviaryplatform.com/collections/231</vt:lpwstr>
      </vt:variant>
      <vt:variant>
        <vt:lpwstr/>
      </vt:variant>
      <vt:variant>
        <vt:i4>2621540</vt:i4>
      </vt:variant>
      <vt:variant>
        <vt:i4>0</vt:i4>
      </vt:variant>
      <vt:variant>
        <vt:i4>0</vt:i4>
      </vt:variant>
      <vt:variant>
        <vt:i4>5</vt:i4>
      </vt:variant>
      <vt:variant>
        <vt:lpwstr>https://ranke2.uni.lu/u/boder/</vt:lpwstr>
      </vt:variant>
      <vt:variant>
        <vt:lpwstr>c-clip.en</vt:lpwstr>
      </vt:variant>
      <vt:variant>
        <vt:i4>2949175</vt:i4>
      </vt:variant>
      <vt:variant>
        <vt:i4>0</vt:i4>
      </vt:variant>
      <vt:variant>
        <vt:i4>0</vt:i4>
      </vt:variant>
      <vt:variant>
        <vt:i4>5</vt:i4>
      </vt:variant>
      <vt:variant>
        <vt:lpwstr>https://iit.aviaryplatform.com/collections/231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archives reflection assignment</dc:title>
  <dc:subject/>
  <dc:creator>RBA17</dc:creator>
  <cp:keywords/>
  <dc:description/>
  <cp:lastModifiedBy>Christian Andersen</cp:lastModifiedBy>
  <cp:revision>37</cp:revision>
  <dcterms:created xsi:type="dcterms:W3CDTF">2026-05-21T20:05:00Z</dcterms:created>
  <dcterms:modified xsi:type="dcterms:W3CDTF">2026-05-22T08:08:00Z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185568bf-68a5-4a44-8850-9c224c1c6199</vt:lpwstr>
  </property>
</Properties>
</file>