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7927" w:rsidR="005E6B2D" w:rsidP="79352273" w:rsidRDefault="006C0E81" w14:paraId="2397271D" w14:textId="796B580D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  <w:lang w:val="en-CA"/>
        </w:rPr>
      </w:pPr>
      <w:r w:rsidRPr="79352273">
        <w:rPr>
          <w:rFonts w:eastAsiaTheme="minorEastAsia"/>
          <w:b/>
          <w:bCs/>
          <w:sz w:val="28"/>
          <w:szCs w:val="28"/>
          <w:lang w:val="en-CA"/>
        </w:rPr>
        <w:t>Digital Identity</w:t>
      </w:r>
    </w:p>
    <w:p w:rsidRPr="00697927" w:rsidR="004E3D4A" w:rsidP="79352273" w:rsidRDefault="004E3D4A" w14:paraId="09A9EF69" w14:textId="77777777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  <w:lang w:val="en-CA" w:eastAsia="en-CA"/>
        </w:rPr>
      </w:pPr>
    </w:p>
    <w:p w:rsidR="005E6B2D" w:rsidP="50B8E334" w:rsidRDefault="005E6B2D" w14:paraId="60C88755" w14:textId="6464CA6A">
      <w:pPr>
        <w:spacing w:after="0" w:line="240" w:lineRule="auto"/>
        <w:jc w:val="both"/>
        <w:rPr>
          <w:rFonts w:eastAsia="" w:eastAsiaTheme="minorEastAsia"/>
          <w:lang w:val="en-CA"/>
        </w:rPr>
      </w:pPr>
      <w:r w:rsidRPr="50B8E334" w:rsidR="005E6B2D">
        <w:rPr>
          <w:rFonts w:eastAsia="" w:eastAsiaTheme="minorEastAsia"/>
          <w:lang w:val="en-CA"/>
        </w:rPr>
        <w:t xml:space="preserve">To </w:t>
      </w:r>
      <w:r w:rsidRPr="50B8E334" w:rsidR="005E6B2D">
        <w:rPr>
          <w:rFonts w:eastAsia="" w:eastAsiaTheme="minorEastAsia"/>
          <w:lang w:val="en-CA"/>
        </w:rPr>
        <w:t>provide</w:t>
      </w:r>
      <w:r w:rsidRPr="50B8E334" w:rsidR="005E6B2D">
        <w:rPr>
          <w:rFonts w:eastAsia="" w:eastAsiaTheme="minorEastAsia"/>
          <w:lang w:val="en-CA"/>
        </w:rPr>
        <w:t xml:space="preserve"> and manage digital service delivery, many government programs require the ability to </w:t>
      </w:r>
      <w:r w:rsidRPr="50B8E334" w:rsidR="005E6B2D">
        <w:rPr>
          <w:rFonts w:eastAsia="" w:eastAsiaTheme="minorEastAsia"/>
          <w:lang w:val="en-CA"/>
        </w:rPr>
        <w:t>validate</w:t>
      </w:r>
      <w:r w:rsidRPr="50B8E334" w:rsidR="005E6B2D">
        <w:rPr>
          <w:rFonts w:eastAsia="" w:eastAsiaTheme="minorEastAsia"/>
          <w:lang w:val="en-CA"/>
        </w:rPr>
        <w:t xml:space="preserve"> a person’s identity. The Department of Service Nova Scotia</w:t>
      </w:r>
      <w:r w:rsidRPr="50B8E334" w:rsidR="0020454F">
        <w:rPr>
          <w:rFonts w:eastAsia="" w:eastAsiaTheme="minorEastAsia"/>
          <w:lang w:val="en-CA"/>
        </w:rPr>
        <w:t xml:space="preserve"> and </w:t>
      </w:r>
      <w:r w:rsidRPr="50B8E334" w:rsidR="005E6B2D">
        <w:rPr>
          <w:rFonts w:eastAsia="" w:eastAsiaTheme="minorEastAsia"/>
          <w:lang w:val="en-CA"/>
        </w:rPr>
        <w:t xml:space="preserve">Internal Services </w:t>
      </w:r>
      <w:r w:rsidRPr="50B8E334" w:rsidR="0020454F">
        <w:rPr>
          <w:rFonts w:eastAsia="" w:eastAsiaTheme="minorEastAsia"/>
          <w:lang w:val="en-CA"/>
        </w:rPr>
        <w:t xml:space="preserve">(SNS-IS) </w:t>
      </w:r>
      <w:r w:rsidRPr="50B8E334" w:rsidR="005E6B2D">
        <w:rPr>
          <w:rFonts w:eastAsia="" w:eastAsiaTheme="minorEastAsia"/>
          <w:lang w:val="en-CA"/>
        </w:rPr>
        <w:t xml:space="preserve">offers </w:t>
      </w:r>
      <w:bookmarkStart w:name="_Int_Pd0r7A1F" w:id="841050277"/>
      <w:r w:rsidRPr="50B8E334" w:rsidR="54BDA25B">
        <w:rPr>
          <w:rFonts w:eastAsia="" w:eastAsiaTheme="minorEastAsia"/>
          <w:lang w:val="en-CA"/>
        </w:rPr>
        <w:t>several</w:t>
      </w:r>
      <w:bookmarkEnd w:id="841050277"/>
      <w:r w:rsidRPr="50B8E334" w:rsidR="79352273">
        <w:rPr>
          <w:rFonts w:eastAsia="" w:eastAsiaTheme="minorEastAsia"/>
          <w:lang w:val="en-CA"/>
        </w:rPr>
        <w:t xml:space="preserve"> Identity Providers to allow for both provincial employee and citizen identity validation.</w:t>
      </w:r>
    </w:p>
    <w:p w:rsidRPr="00697927" w:rsidR="005E6B2D" w:rsidP="79352273" w:rsidRDefault="005E6B2D" w14:paraId="1A907EFD" w14:textId="77777777">
      <w:pPr>
        <w:spacing w:after="0" w:line="240" w:lineRule="auto"/>
        <w:jc w:val="both"/>
        <w:rPr>
          <w:rFonts w:eastAsiaTheme="minorEastAsia"/>
          <w:sz w:val="12"/>
          <w:szCs w:val="12"/>
          <w:lang w:val="en-CA"/>
        </w:rPr>
      </w:pPr>
    </w:p>
    <w:p w:rsidRPr="00353677" w:rsidR="006C0E81" w:rsidP="79352273" w:rsidRDefault="001638F4" w14:paraId="1F90EC13" w14:textId="2842AE12">
      <w:p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The successful proponent </w:t>
      </w:r>
      <w:r w:rsidRPr="79352273" w:rsidR="00B4106A">
        <w:rPr>
          <w:rFonts w:eastAsiaTheme="minorEastAsia"/>
        </w:rPr>
        <w:t>shall</w:t>
      </w:r>
      <w:r w:rsidRPr="79352273">
        <w:rPr>
          <w:rFonts w:eastAsiaTheme="minorEastAsia"/>
        </w:rPr>
        <w:t xml:space="preserve"> integrate their digital service with </w:t>
      </w:r>
      <w:r w:rsidRPr="79352273" w:rsidR="00EB1855">
        <w:rPr>
          <w:rFonts w:eastAsiaTheme="minorEastAsia"/>
        </w:rPr>
        <w:t>one of the following Identity Providers</w:t>
      </w:r>
      <w:r w:rsidRPr="79352273" w:rsidR="006C0E81">
        <w:rPr>
          <w:rFonts w:eastAsiaTheme="minorEastAsia"/>
        </w:rPr>
        <w:t xml:space="preserve">. </w:t>
      </w:r>
    </w:p>
    <w:p w:rsidRPr="00353677" w:rsidR="006C0E81" w:rsidP="79352273" w:rsidRDefault="006C0E81" w14:paraId="17B37005" w14:textId="77777777">
      <w:p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If your digital service / application uses: </w:t>
      </w:r>
    </w:p>
    <w:p w:rsidRPr="00353677" w:rsidR="00EB1855" w:rsidP="79352273" w:rsidRDefault="00353677" w14:paraId="3CC741FA" w14:textId="1691F33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Any citizen identity</w:t>
      </w:r>
      <w:r w:rsidRPr="79352273" w:rsidR="006C0E81">
        <w:rPr>
          <w:rFonts w:eastAsiaTheme="minorEastAsia"/>
        </w:rPr>
        <w:t>, you must implement #1.</w:t>
      </w:r>
    </w:p>
    <w:p w:rsidRPr="00353677" w:rsidR="00353677" w:rsidP="79352273" w:rsidRDefault="00353677" w14:paraId="3594AB4B" w14:textId="029270F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Government </w:t>
      </w:r>
      <w:r w:rsidRPr="79352273">
        <w:rPr>
          <w:rFonts w:eastAsiaTheme="minorEastAsia"/>
          <w:u w:val="single"/>
        </w:rPr>
        <w:t>and</w:t>
      </w:r>
      <w:r w:rsidRPr="79352273">
        <w:rPr>
          <w:rFonts w:eastAsiaTheme="minorEastAsia"/>
        </w:rPr>
        <w:t xml:space="preserve"> NS Health employee identity, you must implement #1 or #2.</w:t>
      </w:r>
    </w:p>
    <w:p w:rsidRPr="00353677" w:rsidR="00353677" w:rsidP="79352273" w:rsidRDefault="00353677" w14:paraId="6DB0769D" w14:textId="1974E556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Either Government </w:t>
      </w:r>
      <w:r w:rsidRPr="79352273">
        <w:rPr>
          <w:rFonts w:eastAsiaTheme="minorEastAsia"/>
          <w:u w:val="single"/>
        </w:rPr>
        <w:t>or</w:t>
      </w:r>
      <w:r w:rsidRPr="79352273">
        <w:rPr>
          <w:rFonts w:eastAsiaTheme="minorEastAsia"/>
        </w:rPr>
        <w:t xml:space="preserve"> NS Health employee identity, the preferred order is #1, #2, #3, #4.</w:t>
      </w:r>
    </w:p>
    <w:p w:rsidRPr="00697927" w:rsidR="00EB1855" w:rsidP="79352273" w:rsidRDefault="00EB1855" w14:paraId="42DD3E8F" w14:textId="77777777">
      <w:pPr>
        <w:shd w:val="clear" w:color="auto" w:fill="FFFFFF" w:themeFill="background1"/>
        <w:spacing w:after="0" w:line="240" w:lineRule="auto"/>
        <w:jc w:val="both"/>
        <w:rPr>
          <w:rFonts w:eastAsiaTheme="minorEastAsia"/>
          <w:sz w:val="12"/>
          <w:szCs w:val="12"/>
        </w:rPr>
      </w:pPr>
    </w:p>
    <w:p w:rsidRPr="00697927" w:rsidR="001638F4" w:rsidP="50B8E334" w:rsidRDefault="00EB1855" w14:paraId="7B9E0FF9" w14:textId="7332A3D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  <w:b w:val="1"/>
          <w:bCs w:val="1"/>
          <w:u w:val="single"/>
        </w:rPr>
      </w:pPr>
      <w:r w:rsidRPr="50B8E334" w:rsidR="05134C62">
        <w:rPr>
          <w:rFonts w:eastAsia="" w:eastAsiaTheme="minorEastAsia"/>
          <w:b w:val="1"/>
          <w:bCs w:val="1"/>
          <w:u w:val="single"/>
        </w:rPr>
        <w:t>Nova Scotia ID</w:t>
      </w:r>
      <w:r w:rsidRPr="50B8E334" w:rsidR="00EB1855">
        <w:rPr>
          <w:rFonts w:eastAsia="" w:eastAsiaTheme="minorEastAsia"/>
          <w:b w:val="1"/>
          <w:bCs w:val="1"/>
          <w:u w:val="single"/>
        </w:rPr>
        <w:t xml:space="preserve"> (</w:t>
      </w:r>
      <w:r w:rsidRPr="50B8E334" w:rsidR="7F8FE04A">
        <w:rPr>
          <w:rFonts w:eastAsia="" w:eastAsiaTheme="minorEastAsia"/>
          <w:b w:val="1"/>
          <w:bCs w:val="1"/>
          <w:u w:val="single"/>
        </w:rPr>
        <w:t>NSiD</w:t>
      </w:r>
      <w:r w:rsidRPr="50B8E334" w:rsidR="00EB1855">
        <w:rPr>
          <w:rFonts w:eastAsia="" w:eastAsiaTheme="minorEastAsia"/>
          <w:b w:val="1"/>
          <w:bCs w:val="1"/>
          <w:u w:val="single"/>
        </w:rPr>
        <w:t>)</w:t>
      </w:r>
    </w:p>
    <w:p w:rsidRPr="00353677" w:rsidR="001638F4" w:rsidP="50B8E334" w:rsidRDefault="001638F4" w14:paraId="79D7C395" w14:textId="225D337F">
      <w:p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001638F4">
        <w:rPr>
          <w:rFonts w:eastAsia="" w:eastAsiaTheme="minorEastAsia"/>
        </w:rPr>
        <w:t xml:space="preserve">The digital service must be capable of using </w:t>
      </w:r>
      <w:r w:rsidRPr="50B8E334" w:rsidR="002660C9">
        <w:rPr>
          <w:rFonts w:eastAsia="" w:eastAsiaTheme="minorEastAsia"/>
        </w:rPr>
        <w:t xml:space="preserve">one of </w:t>
      </w:r>
      <w:r w:rsidRPr="50B8E334" w:rsidR="001638F4">
        <w:rPr>
          <w:rFonts w:eastAsia="" w:eastAsiaTheme="minorEastAsia"/>
        </w:rPr>
        <w:t xml:space="preserve">the following authentication protocols supported by </w:t>
      </w:r>
      <w:r w:rsidRPr="50B8E334" w:rsidR="2485896C">
        <w:rPr>
          <w:rFonts w:eastAsia="" w:eastAsiaTheme="minorEastAsia"/>
        </w:rPr>
        <w:t>NSiD</w:t>
      </w:r>
      <w:r w:rsidRPr="50B8E334" w:rsidR="001638F4">
        <w:rPr>
          <w:rFonts w:eastAsia="" w:eastAsiaTheme="minorEastAsia"/>
        </w:rPr>
        <w:t>:</w:t>
      </w:r>
    </w:p>
    <w:p w:rsidR="00BD0463" w:rsidP="50B8E334" w:rsidRDefault="001638F4" w14:paraId="11051D6A" w14:textId="0166B1EA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  <w:b w:val="1"/>
          <w:bCs w:val="1"/>
        </w:rPr>
      </w:pPr>
      <w:r w:rsidRPr="50B8E334" w:rsidR="1862A756">
        <w:rPr>
          <w:rFonts w:eastAsia="" w:eastAsiaTheme="minorEastAsia"/>
          <w:b w:val="1"/>
          <w:bCs w:val="1"/>
        </w:rPr>
        <w:t xml:space="preserve">Security Assertion Markup Language </w:t>
      </w:r>
      <w:r w:rsidRPr="50B8E334" w:rsidR="3FE06AA0">
        <w:rPr>
          <w:rFonts w:eastAsia="" w:eastAsiaTheme="minorEastAsia"/>
          <w:b w:val="1"/>
          <w:bCs w:val="1"/>
        </w:rPr>
        <w:t xml:space="preserve">2.0 </w:t>
      </w:r>
      <w:r w:rsidRPr="50B8E334" w:rsidR="1862A756">
        <w:rPr>
          <w:rFonts w:eastAsia="" w:eastAsiaTheme="minorEastAsia"/>
          <w:b w:val="1"/>
          <w:bCs w:val="1"/>
        </w:rPr>
        <w:t>(</w:t>
      </w:r>
      <w:r w:rsidRPr="50B8E334" w:rsidR="001638F4">
        <w:rPr>
          <w:rFonts w:eastAsia="" w:eastAsiaTheme="minorEastAsia"/>
          <w:b w:val="1"/>
          <w:bCs w:val="1"/>
        </w:rPr>
        <w:t>SAML</w:t>
      </w:r>
      <w:r w:rsidRPr="50B8E334" w:rsidR="001638F4">
        <w:rPr>
          <w:rFonts w:eastAsia="" w:eastAsiaTheme="minorEastAsia"/>
          <w:b w:val="1"/>
          <w:bCs w:val="1"/>
        </w:rPr>
        <w:t xml:space="preserve"> 2.0</w:t>
      </w:r>
      <w:r w:rsidRPr="50B8E334" w:rsidR="7693AD5A">
        <w:rPr>
          <w:rFonts w:eastAsia="" w:eastAsiaTheme="minorEastAsia"/>
          <w:b w:val="1"/>
          <w:bCs w:val="1"/>
        </w:rPr>
        <w:t>)</w:t>
      </w:r>
    </w:p>
    <w:p w:rsidRPr="00353677" w:rsidR="006156D9" w:rsidP="79352273" w:rsidRDefault="006156D9" w14:paraId="734F8BC4" w14:textId="7263F9AD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</w:rPr>
      </w:pPr>
      <w:r w:rsidRPr="79352273">
        <w:rPr>
          <w:rFonts w:eastAsiaTheme="minorEastAsia"/>
        </w:rPr>
        <w:t>Must adhere to the current specifications of the Cyber Authentication Technology Solutions (CATS) SAML 2.0 Deployment Profile (</w:t>
      </w:r>
      <w:hyperlink r:id="rId11">
        <w:r w:rsidRPr="79352273">
          <w:rPr>
            <w:rStyle w:val="Hyperlink"/>
            <w:rFonts w:eastAsiaTheme="minorEastAsia"/>
          </w:rPr>
          <w:t>https://canada-ca.github.io/CATS-STAE/</w:t>
        </w:r>
      </w:hyperlink>
      <w:r w:rsidRPr="79352273">
        <w:rPr>
          <w:rFonts w:eastAsiaTheme="minorEastAsia"/>
        </w:rPr>
        <w:t xml:space="preserve"> )</w:t>
      </w:r>
    </w:p>
    <w:p w:rsidRPr="00353677" w:rsidR="001638F4" w:rsidP="79352273" w:rsidRDefault="001638F4" w14:paraId="51CE7959" w14:textId="0481F5A3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  <w:u w:val="single"/>
        </w:rPr>
        <w:t>Required</w:t>
      </w:r>
      <w:r w:rsidRPr="79352273">
        <w:rPr>
          <w:rFonts w:eastAsiaTheme="minorEastAsia"/>
        </w:rPr>
        <w:t xml:space="preserve"> profile/binding combinations </w:t>
      </w:r>
      <w:r w:rsidRPr="79352273" w:rsidR="004079AC">
        <w:rPr>
          <w:rFonts w:eastAsiaTheme="minorEastAsia"/>
        </w:rPr>
        <w:t>supported</w:t>
      </w:r>
      <w:r w:rsidRPr="79352273">
        <w:rPr>
          <w:rFonts w:eastAsiaTheme="minorEastAsia"/>
        </w:rPr>
        <w:t xml:space="preserve"> by the NS Login Service:</w:t>
      </w:r>
    </w:p>
    <w:p w:rsidRPr="00353677" w:rsidR="001638F4" w:rsidP="79352273" w:rsidRDefault="001638F4" w14:paraId="7072F540" w14:textId="6652C4AD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For Single Sign On (SSO)</w:t>
      </w:r>
    </w:p>
    <w:p w:rsidRPr="00353677" w:rsidR="001638F4" w:rsidP="79352273" w:rsidRDefault="001638F4" w14:paraId="4B8DBC5F" w14:textId="31202DDA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SingleSignOnService (HTTP-Redirect)</w:t>
      </w:r>
    </w:p>
    <w:p w:rsidRPr="00353677" w:rsidR="001638F4" w:rsidP="79352273" w:rsidRDefault="001638F4" w14:paraId="79123D98" w14:textId="5EB3D29C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AssertionConsumerService (HTTP-Redirect)</w:t>
      </w:r>
    </w:p>
    <w:p w:rsidRPr="00353677" w:rsidR="001638F4" w:rsidP="79352273" w:rsidRDefault="001638F4" w14:paraId="06C1A2A5" w14:textId="270750CD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For Single Logout (SLO)</w:t>
      </w:r>
    </w:p>
    <w:p w:rsidRPr="00353677" w:rsidR="001638F4" w:rsidP="79352273" w:rsidRDefault="001638F4" w14:paraId="500410C7" w14:textId="70837D11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SingleLogoutService (</w:t>
      </w:r>
      <w:r w:rsidRPr="79352273" w:rsidR="008C5137">
        <w:rPr>
          <w:rFonts w:eastAsiaTheme="minorEastAsia"/>
        </w:rPr>
        <w:t xml:space="preserve">HTTP-Redirect or </w:t>
      </w:r>
      <w:r w:rsidRPr="79352273" w:rsidR="006E4FB9">
        <w:rPr>
          <w:rFonts w:eastAsiaTheme="minorEastAsia"/>
        </w:rPr>
        <w:t>HTTP-Redirect/</w:t>
      </w:r>
      <w:r w:rsidRPr="79352273">
        <w:rPr>
          <w:rFonts w:eastAsiaTheme="minorEastAsia"/>
        </w:rPr>
        <w:t>SOAP)</w:t>
      </w:r>
    </w:p>
    <w:p w:rsidR="001638F4" w:rsidP="79352273" w:rsidRDefault="001638F4" w14:paraId="5BCF1D9A" w14:textId="65D6223F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Profile Update and Service Revocation</w:t>
      </w:r>
    </w:p>
    <w:p w:rsidRPr="00353677" w:rsidR="00353677" w:rsidP="79352273" w:rsidRDefault="00353677" w14:paraId="62ECA553" w14:textId="25D59760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ChangeNotifyService (SOAP)</w:t>
      </w:r>
    </w:p>
    <w:p w:rsidR="001638F4" w:rsidP="79352273" w:rsidRDefault="001638F4" w14:paraId="60EC81AF" w14:textId="7F2CE08F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ManageNameIDService (SOAP)</w:t>
      </w:r>
    </w:p>
    <w:p w:rsidR="00353677" w:rsidP="79352273" w:rsidRDefault="00353677" w14:paraId="77AFD32B" w14:textId="677C5DD3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Additional Required Elements:</w:t>
      </w:r>
    </w:p>
    <w:p w:rsidRPr="00695185" w:rsidR="00353677" w:rsidP="79352273" w:rsidRDefault="003A3009" w14:paraId="292852BA" w14:textId="68A097F1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  <w:sz w:val="12"/>
          <w:szCs w:val="12"/>
        </w:rPr>
      </w:pPr>
      <w:r w:rsidRPr="79352273">
        <w:rPr>
          <w:rFonts w:eastAsiaTheme="minorEastAsia"/>
        </w:rPr>
        <w:t>&lt;md:Extensions&gt;&lt;md:UIInfo&gt;&lt;mdui:DisplayName&gt;</w:t>
      </w:r>
    </w:p>
    <w:p w:rsidRPr="00695185" w:rsidR="00070CB7" w:rsidP="79352273" w:rsidRDefault="00070CB7" w14:paraId="73F1E3FF" w14:textId="77777777">
      <w:pPr>
        <w:shd w:val="clear" w:color="auto" w:fill="FFFFFF" w:themeFill="background1"/>
        <w:spacing w:after="0" w:line="240" w:lineRule="auto"/>
        <w:ind w:left="2160"/>
        <w:jc w:val="both"/>
        <w:rPr>
          <w:rFonts w:eastAsiaTheme="minorEastAsia"/>
          <w:sz w:val="12"/>
          <w:szCs w:val="12"/>
        </w:rPr>
      </w:pPr>
    </w:p>
    <w:p w:rsidR="009C6A52" w:rsidP="79352273" w:rsidRDefault="009C6A52" w14:paraId="453A0C18" w14:textId="1F2B253A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</w:rPr>
      </w:pPr>
      <w:r w:rsidRPr="79352273">
        <w:rPr>
          <w:rFonts w:eastAsiaTheme="minorEastAsia"/>
          <w:b/>
          <w:bCs/>
        </w:rPr>
        <w:t xml:space="preserve">Open ID Connect (OIDC) </w:t>
      </w:r>
      <w:r w:rsidRPr="79352273" w:rsidR="004C040B">
        <w:rPr>
          <w:rFonts w:eastAsiaTheme="minorEastAsia"/>
          <w:b/>
          <w:bCs/>
        </w:rPr>
        <w:t>1.0</w:t>
      </w:r>
    </w:p>
    <w:p w:rsidRPr="00697927" w:rsidR="006156D9" w:rsidP="79352273" w:rsidRDefault="006156D9" w14:paraId="41D29872" w14:textId="3879BC90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Must adhere to the current specifications </w:t>
      </w:r>
      <w:r w:rsidRPr="79352273" w:rsidR="007D04FB">
        <w:rPr>
          <w:rFonts w:eastAsiaTheme="minorEastAsia"/>
        </w:rPr>
        <w:t xml:space="preserve">of the </w:t>
      </w:r>
      <w:r w:rsidRPr="79352273">
        <w:rPr>
          <w:rFonts w:eastAsiaTheme="minorEastAsia"/>
        </w:rPr>
        <w:t>International Government (iGov) Assurance Profile for Open ID Connect (</w:t>
      </w:r>
      <w:hyperlink r:id="rId12">
        <w:r w:rsidRPr="79352273">
          <w:rPr>
            <w:rStyle w:val="Hyperlink"/>
            <w:rFonts w:eastAsiaTheme="minorEastAsia"/>
          </w:rPr>
          <w:t>https://openid.net/wg/igov/</w:t>
        </w:r>
      </w:hyperlink>
      <w:r w:rsidRPr="79352273">
        <w:rPr>
          <w:rFonts w:eastAsiaTheme="minorEastAsia"/>
        </w:rPr>
        <w:t xml:space="preserve"> )</w:t>
      </w:r>
    </w:p>
    <w:p w:rsidRPr="00353677" w:rsidR="00B3783E" w:rsidP="79352273" w:rsidRDefault="007676CF" w14:paraId="340C4601" w14:textId="4471E9C1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Grant Types Supported: Authorization Code</w:t>
      </w:r>
      <w:r w:rsidRPr="79352273" w:rsidR="00B3783E">
        <w:rPr>
          <w:rFonts w:eastAsiaTheme="minorEastAsia"/>
        </w:rPr>
        <w:t xml:space="preserve"> </w:t>
      </w:r>
      <w:r w:rsidRPr="79352273" w:rsidR="0070056A">
        <w:rPr>
          <w:rFonts w:eastAsiaTheme="minorEastAsia"/>
        </w:rPr>
        <w:t>o</w:t>
      </w:r>
      <w:r w:rsidRPr="79352273" w:rsidR="00B3783E">
        <w:rPr>
          <w:rFonts w:eastAsiaTheme="minorEastAsia"/>
        </w:rPr>
        <w:t>nly</w:t>
      </w:r>
    </w:p>
    <w:p w:rsidRPr="00353677" w:rsidR="0070056A" w:rsidP="79352273" w:rsidRDefault="0070056A" w14:paraId="25A8F8A7" w14:textId="74CCA40C">
      <w:pPr>
        <w:numPr>
          <w:ilvl w:val="1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Response Types Supported: Code only</w:t>
      </w:r>
    </w:p>
    <w:p w:rsidRPr="00353677" w:rsidR="0070056A" w:rsidP="79352273" w:rsidRDefault="00860386" w14:paraId="23472DE5" w14:textId="77777777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Public Client Authorization</w:t>
      </w:r>
      <w:r w:rsidRPr="79352273" w:rsidR="0081774B">
        <w:rPr>
          <w:rFonts w:eastAsiaTheme="minorEastAsia"/>
        </w:rPr>
        <w:t>:</w:t>
      </w:r>
      <w:r w:rsidRPr="79352273">
        <w:rPr>
          <w:rFonts w:eastAsiaTheme="minorEastAsia"/>
        </w:rPr>
        <w:t xml:space="preserve"> </w:t>
      </w:r>
    </w:p>
    <w:p w:rsidRPr="00353677" w:rsidR="00DA027C" w:rsidP="79352273" w:rsidRDefault="00860386" w14:paraId="3DC13C6C" w14:textId="7CB867EE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PKCE with a S256 code challenge required</w:t>
      </w:r>
    </w:p>
    <w:p w:rsidRPr="00353677" w:rsidR="0070056A" w:rsidP="79352273" w:rsidRDefault="0070056A" w14:paraId="49780913" w14:textId="49418A8C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Application Type: Native only</w:t>
      </w:r>
    </w:p>
    <w:p w:rsidRPr="00353677" w:rsidR="0070056A" w:rsidP="79352273" w:rsidRDefault="00860386" w14:paraId="5971F781" w14:textId="77777777">
      <w:pPr>
        <w:numPr>
          <w:ilvl w:val="2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Confidential Client Authorization</w:t>
      </w:r>
      <w:r w:rsidRPr="79352273" w:rsidR="0081774B">
        <w:rPr>
          <w:rFonts w:eastAsiaTheme="minorEastAsia"/>
        </w:rPr>
        <w:t>:</w:t>
      </w:r>
      <w:r w:rsidRPr="79352273">
        <w:rPr>
          <w:rFonts w:eastAsiaTheme="minorEastAsia"/>
        </w:rPr>
        <w:t xml:space="preserve"> </w:t>
      </w:r>
    </w:p>
    <w:p w:rsidRPr="00353677" w:rsidR="0081774B" w:rsidP="79352273" w:rsidRDefault="00860386" w14:paraId="5A66390A" w14:textId="0430E702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Token Endpoint Authorization: private_key_jwt only</w:t>
      </w:r>
    </w:p>
    <w:p w:rsidRPr="00353677" w:rsidR="0070056A" w:rsidP="79352273" w:rsidRDefault="0070056A" w14:paraId="631AF4B7" w14:textId="0713E08E">
      <w:pPr>
        <w:numPr>
          <w:ilvl w:val="3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Application Type: Web only</w:t>
      </w:r>
    </w:p>
    <w:p w:rsidRPr="00697927" w:rsidR="007F16A4" w:rsidP="79352273" w:rsidRDefault="007F16A4" w14:paraId="75B71DB0" w14:textId="77777777">
      <w:pPr>
        <w:shd w:val="clear" w:color="auto" w:fill="FFFFFF" w:themeFill="background1"/>
        <w:spacing w:after="0" w:line="240" w:lineRule="auto"/>
        <w:ind w:left="2160"/>
        <w:jc w:val="both"/>
        <w:rPr>
          <w:rFonts w:eastAsiaTheme="minorEastAsia"/>
          <w:sz w:val="12"/>
          <w:szCs w:val="12"/>
        </w:rPr>
      </w:pPr>
    </w:p>
    <w:p w:rsidR="79352273" w:rsidP="79352273" w:rsidRDefault="79352273" w14:paraId="634E87B8" w14:textId="7323EFD5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  <w:u w:val="single"/>
        </w:rPr>
      </w:pPr>
      <w:r w:rsidRPr="79352273">
        <w:rPr>
          <w:rFonts w:eastAsiaTheme="minorEastAsia"/>
          <w:b/>
          <w:bCs/>
          <w:u w:val="single"/>
        </w:rPr>
        <w:t>Azure Active Directory (AAD)</w:t>
      </w:r>
    </w:p>
    <w:p w:rsidR="79352273" w:rsidP="50B8E334" w:rsidRDefault="79352273" w14:paraId="122F44FF" w14:textId="5A93B1B3">
      <w:p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79352273">
        <w:rPr>
          <w:rFonts w:eastAsia="" w:eastAsiaTheme="minorEastAsia"/>
        </w:rPr>
        <w:t xml:space="preserve">Documentation on </w:t>
      </w:r>
      <w:r w:rsidRPr="50B8E334" w:rsidR="3895A7EA">
        <w:rPr>
          <w:rFonts w:eastAsia="" w:eastAsiaTheme="minorEastAsia"/>
        </w:rPr>
        <w:t xml:space="preserve">AAD </w:t>
      </w:r>
      <w:r w:rsidRPr="50B8E334" w:rsidR="79352273">
        <w:rPr>
          <w:rFonts w:eastAsia="" w:eastAsiaTheme="minorEastAsia"/>
        </w:rPr>
        <w:t>integration requirements can be found here:</w:t>
      </w:r>
      <w:r w:rsidRPr="50B8E334" w:rsidR="79352273">
        <w:rPr>
          <w:rFonts w:eastAsia="" w:eastAsiaTheme="minorEastAsia"/>
          <w:u w:val="single"/>
        </w:rPr>
        <w:t xml:space="preserve"> </w:t>
      </w:r>
    </w:p>
    <w:p w:rsidR="79352273" w:rsidP="79352273" w:rsidRDefault="003030D8" w14:paraId="62689DDC" w14:textId="362F9BB5">
      <w:pPr>
        <w:shd w:val="clear" w:color="auto" w:fill="FFFFFF" w:themeFill="background1"/>
        <w:spacing w:after="0" w:line="240" w:lineRule="auto"/>
        <w:jc w:val="both"/>
      </w:pPr>
      <w:hyperlink r:id="rId13">
        <w:r w:rsidRPr="79352273" w:rsidR="79352273">
          <w:rPr>
            <w:rStyle w:val="Hyperlink"/>
            <w:rFonts w:eastAsiaTheme="minorEastAsia"/>
            <w:u w:val="none"/>
          </w:rPr>
          <w:t>https://docs.microsoft.com/en-ca/azure/active-directory/develop/v2-overview</w:t>
        </w:r>
      </w:hyperlink>
    </w:p>
    <w:p w:rsidR="79352273" w:rsidP="79352273" w:rsidRDefault="79352273" w14:paraId="5F731EC6" w14:textId="4DA2C9DD">
      <w:p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  <w:u w:val="single"/>
        </w:rPr>
      </w:pPr>
    </w:p>
    <w:p w:rsidRPr="00697927" w:rsidR="006529CA" w:rsidP="50B8E334" w:rsidRDefault="006529CA" w14:paraId="79D99C13" w14:textId="3B310A3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  <w:b w:val="1"/>
          <w:bCs w:val="1"/>
          <w:u w:val="single"/>
        </w:rPr>
      </w:pPr>
      <w:r w:rsidRPr="50B8E334" w:rsidR="006529CA">
        <w:rPr>
          <w:rFonts w:eastAsia="" w:eastAsiaTheme="minorEastAsia"/>
          <w:b w:val="1"/>
          <w:bCs w:val="1"/>
          <w:u w:val="single"/>
        </w:rPr>
        <w:t>Kerberos via A</w:t>
      </w:r>
      <w:r w:rsidRPr="50B8E334" w:rsidR="007B1E42">
        <w:rPr>
          <w:rFonts w:eastAsia="" w:eastAsiaTheme="minorEastAsia"/>
          <w:b w:val="1"/>
          <w:bCs w:val="1"/>
          <w:u w:val="single"/>
        </w:rPr>
        <w:t>ctive Directory Domain Services (</w:t>
      </w:r>
      <w:bookmarkStart w:name="_Int_EvOiwALK" w:id="1143378575"/>
      <w:r w:rsidRPr="50B8E334" w:rsidR="007B1E42">
        <w:rPr>
          <w:rFonts w:eastAsia="" w:eastAsiaTheme="minorEastAsia"/>
          <w:b w:val="1"/>
          <w:bCs w:val="1"/>
          <w:u w:val="single"/>
        </w:rPr>
        <w:t>AD</w:t>
      </w:r>
      <w:bookmarkEnd w:id="1143378575"/>
      <w:r w:rsidRPr="50B8E334" w:rsidR="007B1E42">
        <w:rPr>
          <w:rFonts w:eastAsia="" w:eastAsiaTheme="minorEastAsia"/>
          <w:b w:val="1"/>
          <w:bCs w:val="1"/>
          <w:u w:val="single"/>
        </w:rPr>
        <w:t xml:space="preserve"> </w:t>
      </w:r>
      <w:bookmarkStart w:name="_Int_sJM4ioXM" w:id="765371401"/>
      <w:r w:rsidRPr="50B8E334" w:rsidR="007B1E42">
        <w:rPr>
          <w:rFonts w:eastAsia="" w:eastAsiaTheme="minorEastAsia"/>
          <w:b w:val="1"/>
          <w:bCs w:val="1"/>
          <w:u w:val="single"/>
        </w:rPr>
        <w:t>DS</w:t>
      </w:r>
      <w:bookmarkEnd w:id="765371401"/>
      <w:r w:rsidRPr="50B8E334" w:rsidR="007B1E42">
        <w:rPr>
          <w:rFonts w:eastAsia="" w:eastAsiaTheme="minorEastAsia"/>
          <w:b w:val="1"/>
          <w:bCs w:val="1"/>
          <w:u w:val="single"/>
        </w:rPr>
        <w:t>)</w:t>
      </w:r>
    </w:p>
    <w:p w:rsidRPr="00353677" w:rsidR="001638F4" w:rsidP="79352273" w:rsidRDefault="00EB1855" w14:paraId="59151BE5" w14:textId="1B2B75EE">
      <w:p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For </w:t>
      </w:r>
      <w:r w:rsidRPr="79352273" w:rsidR="007B1E42">
        <w:rPr>
          <w:rFonts w:eastAsiaTheme="minorEastAsia"/>
        </w:rPr>
        <w:t>e</w:t>
      </w:r>
      <w:r w:rsidRPr="79352273" w:rsidR="001638F4">
        <w:rPr>
          <w:rFonts w:eastAsiaTheme="minorEastAsia"/>
        </w:rPr>
        <w:t xml:space="preserve">mployees </w:t>
      </w:r>
      <w:r w:rsidRPr="79352273" w:rsidR="00423750">
        <w:rPr>
          <w:rFonts w:eastAsiaTheme="minorEastAsia"/>
        </w:rPr>
        <w:t>supported by Shared Services and only on the Provincial Data Network (PDN)</w:t>
      </w:r>
      <w:r w:rsidRPr="79352273" w:rsidR="006529CA">
        <w:rPr>
          <w:rFonts w:eastAsiaTheme="minorEastAsia"/>
        </w:rPr>
        <w:t>.</w:t>
      </w:r>
    </w:p>
    <w:p w:rsidR="79352273" w:rsidP="79352273" w:rsidRDefault="79352273" w14:paraId="0235D14A" w14:textId="132D20A6">
      <w:p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  <w:u w:val="single"/>
        </w:rPr>
      </w:pPr>
    </w:p>
    <w:p w:rsidRPr="00697927" w:rsidR="00423750" w:rsidP="79352273" w:rsidRDefault="00423750" w14:paraId="4A94785D" w14:textId="406026B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  <w:b/>
          <w:bCs/>
          <w:u w:val="single"/>
        </w:rPr>
      </w:pPr>
      <w:r w:rsidRPr="79352273">
        <w:rPr>
          <w:rFonts w:eastAsiaTheme="minorEastAsia"/>
          <w:b/>
          <w:bCs/>
          <w:u w:val="single"/>
        </w:rPr>
        <w:t>Active Directory Federation Services (AD</w:t>
      </w:r>
      <w:r w:rsidRPr="79352273" w:rsidR="007F16A4">
        <w:rPr>
          <w:rFonts w:eastAsiaTheme="minorEastAsia"/>
          <w:b/>
          <w:bCs/>
          <w:u w:val="single"/>
        </w:rPr>
        <w:t xml:space="preserve"> </w:t>
      </w:r>
      <w:r w:rsidRPr="79352273">
        <w:rPr>
          <w:rFonts w:eastAsiaTheme="minorEastAsia"/>
          <w:b/>
          <w:bCs/>
          <w:u w:val="single"/>
        </w:rPr>
        <w:t>FS)</w:t>
      </w:r>
    </w:p>
    <w:p w:rsidRPr="00353677" w:rsidR="006E4FB9" w:rsidP="79352273" w:rsidRDefault="006E4FB9" w14:paraId="78C31D72" w14:textId="543D6FBD">
      <w:pPr>
        <w:shd w:val="clear" w:color="auto" w:fill="FFFFFF" w:themeFill="background1"/>
        <w:spacing w:after="0" w:line="240" w:lineRule="auto"/>
        <w:jc w:val="both"/>
        <w:rPr>
          <w:rFonts w:eastAsiaTheme="minorEastAsia"/>
          <w:lang w:val="en-CA"/>
        </w:rPr>
      </w:pPr>
      <w:r w:rsidRPr="79352273">
        <w:rPr>
          <w:rFonts w:eastAsiaTheme="minorEastAsia"/>
          <w:lang w:val="en-CA"/>
        </w:rPr>
        <w:t xml:space="preserve">The </w:t>
      </w:r>
      <w:r w:rsidRPr="79352273" w:rsidR="007F16A4">
        <w:rPr>
          <w:rFonts w:eastAsiaTheme="minorEastAsia"/>
          <w:lang w:val="en-CA"/>
        </w:rPr>
        <w:t xml:space="preserve">requirements </w:t>
      </w:r>
      <w:r w:rsidRPr="79352273" w:rsidR="00B225CD">
        <w:rPr>
          <w:rFonts w:eastAsiaTheme="minorEastAsia"/>
          <w:lang w:val="en-CA"/>
        </w:rPr>
        <w:t xml:space="preserve">for Government / NS Health </w:t>
      </w:r>
      <w:r w:rsidRPr="79352273" w:rsidR="00476C1D">
        <w:rPr>
          <w:rFonts w:eastAsiaTheme="minorEastAsia"/>
          <w:lang w:val="en-CA"/>
        </w:rPr>
        <w:t>AD</w:t>
      </w:r>
      <w:r w:rsidRPr="79352273" w:rsidR="007F16A4">
        <w:rPr>
          <w:rFonts w:eastAsiaTheme="minorEastAsia"/>
          <w:lang w:val="en-CA"/>
        </w:rPr>
        <w:t xml:space="preserve"> </w:t>
      </w:r>
      <w:r w:rsidRPr="79352273" w:rsidR="00476C1D">
        <w:rPr>
          <w:rFonts w:eastAsiaTheme="minorEastAsia"/>
          <w:lang w:val="en-CA"/>
        </w:rPr>
        <w:t xml:space="preserve">FS </w:t>
      </w:r>
      <w:r w:rsidRPr="79352273" w:rsidR="007F16A4">
        <w:rPr>
          <w:rFonts w:eastAsiaTheme="minorEastAsia"/>
          <w:lang w:val="en-CA"/>
        </w:rPr>
        <w:t>integration are as follows</w:t>
      </w:r>
      <w:r w:rsidRPr="79352273">
        <w:rPr>
          <w:rFonts w:eastAsiaTheme="minorEastAsia"/>
          <w:lang w:val="en-CA"/>
        </w:rPr>
        <w:t xml:space="preserve">: </w:t>
      </w:r>
    </w:p>
    <w:p w:rsidR="004B4C21" w:rsidP="79352273" w:rsidRDefault="004B4C21" w14:paraId="18E5F96C" w14:textId="77777777">
      <w:pPr>
        <w:spacing w:after="0" w:line="240" w:lineRule="auto"/>
        <w:jc w:val="both"/>
        <w:rPr>
          <w:rFonts w:eastAsiaTheme="minorEastAsia"/>
          <w:lang w:val="en-CA"/>
        </w:rPr>
      </w:pPr>
    </w:p>
    <w:p w:rsidRPr="00353677" w:rsidR="00B225CD" w:rsidP="79352273" w:rsidRDefault="00B225CD" w14:paraId="3584C616" w14:textId="565BC01D">
      <w:pPr>
        <w:spacing w:after="0" w:line="240" w:lineRule="auto"/>
        <w:ind w:left="360"/>
        <w:jc w:val="both"/>
        <w:rPr>
          <w:rFonts w:eastAsiaTheme="minorEastAsia"/>
          <w:lang w:val="en-CA"/>
        </w:rPr>
      </w:pPr>
      <w:r w:rsidRPr="79352273">
        <w:rPr>
          <w:rFonts w:eastAsiaTheme="minorEastAsia"/>
          <w:lang w:val="en-CA"/>
        </w:rPr>
        <w:t>Must be able to integrate with AD FS 4.0 using one of the following protocols: </w:t>
      </w:r>
    </w:p>
    <w:p w:rsidRPr="00353677" w:rsidR="00B225CD" w:rsidP="79352273" w:rsidRDefault="00B225CD" w14:paraId="41B00957" w14:textId="77777777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Theme="minorEastAsia"/>
          <w:lang w:val="en-CA"/>
        </w:rPr>
      </w:pPr>
      <w:r w:rsidRPr="79352273">
        <w:rPr>
          <w:rFonts w:eastAsiaTheme="minorEastAsia"/>
        </w:rPr>
        <w:t>SAML 2.0</w:t>
      </w:r>
    </w:p>
    <w:p w:rsidRPr="00353677" w:rsidR="00B225CD" w:rsidP="79352273" w:rsidRDefault="00B225CD" w14:paraId="485808F5" w14:textId="77777777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Theme="minorEastAsia"/>
        </w:rPr>
      </w:pPr>
      <w:r w:rsidRPr="79352273">
        <w:rPr>
          <w:rFonts w:eastAsiaTheme="minorEastAsia"/>
        </w:rPr>
        <w:lastRenderedPageBreak/>
        <w:t>WS-Federation</w:t>
      </w:r>
    </w:p>
    <w:p w:rsidR="004B4C21" w:rsidP="79352273" w:rsidRDefault="00B225CD" w14:paraId="66653587" w14:textId="77777777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Theme="minorEastAsia"/>
          <w:b/>
          <w:bCs/>
          <w:sz w:val="24"/>
          <w:szCs w:val="24"/>
        </w:rPr>
      </w:pPr>
      <w:r w:rsidRPr="79352273">
        <w:rPr>
          <w:rFonts w:eastAsiaTheme="minorEastAsia"/>
        </w:rPr>
        <w:t>WS-Trust</w:t>
      </w:r>
    </w:p>
    <w:p w:rsidR="79352273" w:rsidP="79352273" w:rsidRDefault="79352273" w14:paraId="6AB70D37" w14:textId="65D677C4">
      <w:pPr>
        <w:shd w:val="clear" w:color="auto" w:fill="FFFFFF" w:themeFill="background1"/>
        <w:spacing w:after="0" w:line="240" w:lineRule="auto"/>
        <w:contextualSpacing/>
        <w:jc w:val="both"/>
        <w:rPr>
          <w:rFonts w:eastAsiaTheme="minorEastAsia"/>
          <w:lang w:val="en-CA"/>
        </w:rPr>
      </w:pPr>
    </w:p>
    <w:p w:rsidR="004B4C21" w:rsidP="50B8E334" w:rsidRDefault="00E1538C" w14:paraId="0CCA56D7" w14:textId="30676ADB">
      <w:pPr>
        <w:shd w:val="clear" w:color="auto" w:fill="FFFFFF" w:themeFill="background1"/>
        <w:spacing w:after="0" w:line="240" w:lineRule="auto"/>
        <w:contextualSpacing/>
        <w:jc w:val="both"/>
        <w:rPr>
          <w:rFonts w:eastAsia="" w:eastAsiaTheme="minorEastAsia"/>
          <w:lang w:val="en-CA"/>
        </w:rPr>
      </w:pPr>
      <w:r w:rsidRPr="50B8E334" w:rsidR="00E1538C">
        <w:rPr>
          <w:rFonts w:eastAsia="" w:eastAsiaTheme="minorEastAsia"/>
        </w:rPr>
        <w:t xml:space="preserve">Consideration will be made for integration with Government / NS Health AD DS leveraging LDAPS on a </w:t>
      </w:r>
      <w:r w:rsidRPr="50B8E334" w:rsidR="14BBEBDE">
        <w:rPr>
          <w:rFonts w:eastAsia="" w:eastAsiaTheme="minorEastAsia"/>
        </w:rPr>
        <w:t>case-by-case</w:t>
      </w:r>
      <w:r w:rsidRPr="50B8E334" w:rsidR="00E1538C">
        <w:rPr>
          <w:rFonts w:eastAsia="" w:eastAsiaTheme="minorEastAsia"/>
        </w:rPr>
        <w:t xml:space="preserve"> basis if </w:t>
      </w:r>
      <w:r w:rsidRPr="50B8E334" w:rsidR="00E1538C">
        <w:rPr>
          <w:rFonts w:eastAsia="" w:eastAsiaTheme="minorEastAsia"/>
          <w:lang w:val="en-CA"/>
        </w:rPr>
        <w:t xml:space="preserve">the digital service is not able to integrate with </w:t>
      </w:r>
      <w:proofErr w:type="spellStart"/>
      <w:r w:rsidRPr="50B8E334" w:rsidR="494F2705">
        <w:rPr>
          <w:rFonts w:eastAsia="" w:eastAsiaTheme="minorEastAsia"/>
          <w:lang w:val="en-CA"/>
        </w:rPr>
        <w:t>NSiD</w:t>
      </w:r>
      <w:proofErr w:type="spellEnd"/>
      <w:r w:rsidRPr="50B8E334" w:rsidR="00E1538C">
        <w:rPr>
          <w:rFonts w:eastAsia="" w:eastAsiaTheme="minorEastAsia"/>
          <w:lang w:val="en-CA"/>
        </w:rPr>
        <w:t>, AAD, Kerberos or AD FS. The user base of the service should be taken into consideration as the Government of Nova Scotia and NS Health maintain separate AD DS / AD FS environments.</w:t>
      </w:r>
    </w:p>
    <w:p w:rsidR="00E1538C" w:rsidP="79352273" w:rsidRDefault="00E1538C" w14:paraId="54B0C3BB" w14:textId="77777777">
      <w:pPr>
        <w:shd w:val="clear" w:color="auto" w:fill="FFFFFF" w:themeFill="background1"/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</w:p>
    <w:p w:rsidRPr="004B4C21" w:rsidR="006529CA" w:rsidP="79352273" w:rsidRDefault="004B4C21" w14:paraId="20D779AC" w14:textId="74A22033">
      <w:pPr>
        <w:shd w:val="clear" w:color="auto" w:fill="FFFFFF" w:themeFill="background1"/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  <w:r w:rsidRPr="79352273">
        <w:rPr>
          <w:rFonts w:eastAsiaTheme="minorEastAsia"/>
          <w:b/>
          <w:bCs/>
          <w:sz w:val="24"/>
          <w:szCs w:val="24"/>
        </w:rPr>
        <w:t>A</w:t>
      </w:r>
      <w:r w:rsidRPr="79352273" w:rsidR="007B1E42">
        <w:rPr>
          <w:rFonts w:eastAsiaTheme="minorEastAsia"/>
          <w:b/>
          <w:bCs/>
          <w:sz w:val="24"/>
          <w:szCs w:val="24"/>
        </w:rPr>
        <w:t>dditional Identity Requirements</w:t>
      </w:r>
    </w:p>
    <w:p w:rsidR="001638F4" w:rsidP="79352273" w:rsidRDefault="006529CA" w14:paraId="738AB591" w14:textId="70C19F16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The proposed digital service </w:t>
      </w:r>
      <w:r w:rsidRPr="79352273" w:rsidR="00B673A3">
        <w:rPr>
          <w:rFonts w:eastAsiaTheme="minorEastAsia"/>
          <w:b/>
          <w:bCs/>
        </w:rPr>
        <w:t>shall</w:t>
      </w:r>
      <w:r w:rsidRPr="79352273" w:rsidR="00B673A3">
        <w:rPr>
          <w:rFonts w:eastAsiaTheme="minorEastAsia"/>
        </w:rPr>
        <w:t>:</w:t>
      </w:r>
    </w:p>
    <w:p w:rsidR="001638F4" w:rsidP="4041ADB5" w:rsidRDefault="79352273" w14:paraId="5CB3591D" w14:textId="05BAE242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79352273">
        <w:rPr>
          <w:rFonts w:eastAsia="" w:eastAsiaTheme="minorEastAsia"/>
        </w:rPr>
        <w:t xml:space="preserve">Be responsible </w:t>
      </w:r>
      <w:r w:rsidRPr="50B8E334" w:rsidR="00B673A3">
        <w:rPr>
          <w:rFonts w:eastAsia="" w:eastAsiaTheme="minorEastAsia"/>
        </w:rPr>
        <w:t xml:space="preserve">for maintaining valid digital certificates and metadata (Relying Party/Identity Provider) as required. For </w:t>
      </w:r>
      <w:proofErr w:type="spellStart"/>
      <w:r w:rsidRPr="50B8E334" w:rsidR="67086A63">
        <w:rPr>
          <w:rFonts w:eastAsia="" w:eastAsiaTheme="minorEastAsia"/>
        </w:rPr>
        <w:t>NSiD</w:t>
      </w:r>
      <w:proofErr w:type="spellEnd"/>
      <w:r w:rsidRPr="50B8E334" w:rsidR="67086A63">
        <w:rPr>
          <w:rFonts w:eastAsia="" w:eastAsiaTheme="minorEastAsia"/>
        </w:rPr>
        <w:t xml:space="preserve"> </w:t>
      </w:r>
      <w:r w:rsidRPr="50B8E334" w:rsidR="00B673A3">
        <w:rPr>
          <w:rFonts w:eastAsia="" w:eastAsiaTheme="minorEastAsia"/>
        </w:rPr>
        <w:t xml:space="preserve">integrations requiring digital certificates for signing or encryption, the certificates shall be issued by the </w:t>
      </w:r>
      <w:r w:rsidRPr="50B8E334" w:rsidR="256731DF">
        <w:rPr>
          <w:rFonts w:eastAsia="" w:eastAsiaTheme="minorEastAsia"/>
        </w:rPr>
        <w:t>Province of Nova Scotia</w:t>
      </w:r>
      <w:r w:rsidRPr="50B8E334" w:rsidR="00B673A3">
        <w:rPr>
          <w:rFonts w:eastAsia="" w:eastAsiaTheme="minorEastAsia"/>
        </w:rPr>
        <w:t>.</w:t>
      </w:r>
    </w:p>
    <w:p w:rsidR="001638F4" w:rsidP="50B8E334" w:rsidRDefault="006529CA" w14:paraId="49DE866B" w14:textId="1E7066C7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006529CA">
        <w:rPr>
          <w:rFonts w:eastAsia="" w:eastAsiaTheme="minorEastAsia"/>
        </w:rPr>
        <w:t>Ensure that all user accounts are provided with a persistent unique identifier.</w:t>
      </w:r>
      <w:r w:rsidRPr="50B8E334" w:rsidR="00353677">
        <w:rPr>
          <w:rFonts w:eastAsia="" w:eastAsiaTheme="minorEastAsia"/>
        </w:rPr>
        <w:t xml:space="preserve"> </w:t>
      </w:r>
      <w:r w:rsidRPr="50B8E334" w:rsidR="00B673A3">
        <w:rPr>
          <w:rFonts w:eastAsia="" w:eastAsiaTheme="minorEastAsia"/>
        </w:rPr>
        <w:t xml:space="preserve">For </w:t>
      </w:r>
      <w:r w:rsidRPr="50B8E334" w:rsidR="018D75D3">
        <w:rPr>
          <w:rFonts w:eastAsia="" w:eastAsiaTheme="minorEastAsia"/>
        </w:rPr>
        <w:t>NSiD</w:t>
      </w:r>
      <w:r w:rsidRPr="50B8E334" w:rsidR="018D75D3">
        <w:rPr>
          <w:rFonts w:eastAsia="" w:eastAsiaTheme="minorEastAsia"/>
        </w:rPr>
        <w:t xml:space="preserve"> </w:t>
      </w:r>
      <w:r w:rsidRPr="50B8E334" w:rsidR="00B673A3">
        <w:rPr>
          <w:rFonts w:eastAsia="" w:eastAsiaTheme="minorEastAsia"/>
        </w:rPr>
        <w:t xml:space="preserve">integrations, a persistent </w:t>
      </w:r>
      <w:r w:rsidRPr="50B8E334" w:rsidR="001638F4">
        <w:rPr>
          <w:rFonts w:eastAsia="" w:eastAsiaTheme="minorEastAsia"/>
        </w:rPr>
        <w:t>unique identifier</w:t>
      </w:r>
      <w:r w:rsidRPr="50B8E334" w:rsidR="00B673A3">
        <w:rPr>
          <w:rFonts w:eastAsia="" w:eastAsiaTheme="minorEastAsia"/>
        </w:rPr>
        <w:t xml:space="preserve"> provided by </w:t>
      </w:r>
      <w:proofErr w:type="spellStart"/>
      <w:r w:rsidRPr="50B8E334" w:rsidR="6B561602">
        <w:rPr>
          <w:rFonts w:eastAsia="" w:eastAsiaTheme="minorEastAsia"/>
        </w:rPr>
        <w:t>NSiD</w:t>
      </w:r>
      <w:proofErr w:type="spellEnd"/>
      <w:r w:rsidRPr="50B8E334" w:rsidR="6B561602">
        <w:rPr>
          <w:rFonts w:eastAsia="" w:eastAsiaTheme="minorEastAsia"/>
        </w:rPr>
        <w:t xml:space="preserve"> </w:t>
      </w:r>
      <w:r w:rsidRPr="50B8E334" w:rsidR="00B673A3">
        <w:rPr>
          <w:rFonts w:eastAsia="" w:eastAsiaTheme="minorEastAsia"/>
        </w:rPr>
        <w:t>and associated with an authenticated user shall be stored and should be leveraged for user identification in the proposed solution</w:t>
      </w:r>
      <w:r w:rsidRPr="50B8E334" w:rsidR="001638F4">
        <w:rPr>
          <w:rFonts w:eastAsia="" w:eastAsiaTheme="minorEastAsia"/>
        </w:rPr>
        <w:t>.</w:t>
      </w:r>
    </w:p>
    <w:p w:rsidRPr="0070056A" w:rsidR="00AF728F" w:rsidP="50B8E334" w:rsidRDefault="001638F4" w14:paraId="6C43B573" w14:textId="20BFA9A3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001638F4">
        <w:rPr>
          <w:rFonts w:eastAsia="" w:eastAsiaTheme="minorEastAsia"/>
        </w:rPr>
        <w:t>Be responsible for</w:t>
      </w:r>
      <w:r w:rsidRPr="50B8E334" w:rsidR="001638F4">
        <w:rPr>
          <w:rFonts w:eastAsia="" w:eastAsiaTheme="minorEastAsia"/>
        </w:rPr>
        <w:t xml:space="preserve"> user/group authorization to the resources of the service. Basic group-based access control / </w:t>
      </w:r>
      <w:r w:rsidRPr="50B8E334" w:rsidR="7D74575C">
        <w:rPr>
          <w:rFonts w:eastAsia="" w:eastAsiaTheme="minorEastAsia"/>
        </w:rPr>
        <w:t>group-based</w:t>
      </w:r>
      <w:r w:rsidRPr="50B8E334" w:rsidR="001638F4">
        <w:rPr>
          <w:rFonts w:eastAsia="" w:eastAsiaTheme="minorEastAsia"/>
        </w:rPr>
        <w:t xml:space="preserve"> attributes may be provided by the Identity Provider.</w:t>
      </w:r>
    </w:p>
    <w:p w:rsidRPr="0070056A" w:rsidR="00AF728F" w:rsidP="79352273" w:rsidRDefault="001638F4" w14:paraId="081FD019" w14:textId="549BDFAA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 xml:space="preserve">The proposed digital service </w:t>
      </w:r>
      <w:r w:rsidRPr="79352273">
        <w:rPr>
          <w:rFonts w:eastAsiaTheme="minorEastAsia"/>
          <w:b/>
          <w:bCs/>
        </w:rPr>
        <w:t>should</w:t>
      </w:r>
      <w:r w:rsidRPr="79352273">
        <w:rPr>
          <w:rFonts w:eastAsiaTheme="minorEastAsia"/>
        </w:rPr>
        <w:t xml:space="preserve">: </w:t>
      </w:r>
    </w:p>
    <w:p w:rsidRPr="0070056A" w:rsidR="00AF728F" w:rsidP="79352273" w:rsidRDefault="001638F4" w14:paraId="7005C65E" w14:textId="3AB8B8B1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Theme="minorEastAsia"/>
        </w:rPr>
      </w:pPr>
      <w:r w:rsidRPr="79352273">
        <w:rPr>
          <w:rFonts w:eastAsiaTheme="minorEastAsia"/>
        </w:rPr>
        <w:t>Leverage the Identity Provider’s user identity information to populate any user records.</w:t>
      </w:r>
    </w:p>
    <w:p w:rsidR="79352273" w:rsidP="50B8E334" w:rsidRDefault="79352273" w14:paraId="1F293AA9" w14:textId="6A341EEC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" w:eastAsiaTheme="minorEastAsia"/>
        </w:rPr>
      </w:pPr>
      <w:r w:rsidRPr="50B8E334" w:rsidR="79352273">
        <w:rPr>
          <w:rFonts w:eastAsia="" w:eastAsiaTheme="minorEastAsia"/>
        </w:rPr>
        <w:t>Provide</w:t>
      </w:r>
      <w:r w:rsidRPr="50B8E334" w:rsidR="79352273">
        <w:rPr>
          <w:rFonts w:eastAsia="" w:eastAsiaTheme="minorEastAsia"/>
        </w:rPr>
        <w:t xml:space="preserve"> just-in-time provisioning for </w:t>
      </w:r>
      <w:bookmarkStart w:name="_Int_z41QaQdA" w:id="1949265809"/>
      <w:r w:rsidRPr="50B8E334" w:rsidR="79352273">
        <w:rPr>
          <w:rFonts w:eastAsia="" w:eastAsiaTheme="minorEastAsia"/>
        </w:rPr>
        <w:t>new users</w:t>
      </w:r>
      <w:bookmarkEnd w:id="1949265809"/>
      <w:r w:rsidRPr="50B8E334" w:rsidR="79352273">
        <w:rPr>
          <w:rFonts w:eastAsia="" w:eastAsiaTheme="minorEastAsia"/>
        </w:rPr>
        <w:t>.</w:t>
      </w:r>
    </w:p>
    <w:p w:rsidR="79352273" w:rsidP="79352273" w:rsidRDefault="79352273" w14:paraId="3BC02AA4" w14:textId="3BBFB1DC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</w:pPr>
      <w:r w:rsidRPr="79352273">
        <w:rPr>
          <w:rFonts w:eastAsiaTheme="minorEastAsia"/>
        </w:rPr>
        <w:t>Provide subject resolution / mapping automation to any pre-existing user records.</w:t>
      </w:r>
    </w:p>
    <w:sectPr w:rsidR="79352273" w:rsidSect="003A30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567" w:right="720" w:bottom="567" w:left="72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0D8" w:rsidP="00780319" w:rsidRDefault="003030D8" w14:paraId="04F35C61" w14:textId="77777777">
      <w:pPr>
        <w:spacing w:after="0" w:line="240" w:lineRule="auto"/>
      </w:pPr>
      <w:r>
        <w:separator/>
      </w:r>
    </w:p>
  </w:endnote>
  <w:endnote w:type="continuationSeparator" w:id="0">
    <w:p w:rsidR="003030D8" w:rsidP="00780319" w:rsidRDefault="003030D8" w14:paraId="30D787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0A1268D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4212AD6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0341B21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0D8" w:rsidP="00780319" w:rsidRDefault="003030D8" w14:paraId="17A4FD5E" w14:textId="77777777">
      <w:pPr>
        <w:spacing w:after="0" w:line="240" w:lineRule="auto"/>
      </w:pPr>
      <w:r>
        <w:separator/>
      </w:r>
    </w:p>
  </w:footnote>
  <w:footnote w:type="continuationSeparator" w:id="0">
    <w:p w:rsidR="003030D8" w:rsidP="00780319" w:rsidRDefault="003030D8" w14:paraId="103D33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538365C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3BD32A2C" w14:textId="3D825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319" w:rsidRDefault="00780319" w14:paraId="0ED9A8DF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clC/pxSVCNoUaD" int2:id="DLACWGXM">
      <int2:state int2:type="LegacyProofing" int2:value="Rejected"/>
    </int2:textHash>
    <int2:bookmark int2:bookmarkName="_Int_z41QaQdA" int2:invalidationBookmarkName="" int2:hashCode="y2342b7FAhjfiP" int2:id="77XHSWjU">
      <int2:state int2:type="AugLoop_Text_Critique" int2:value="Rejected"/>
    </int2:bookmark>
    <int2:bookmark int2:bookmarkName="_Int_EvOiwALK" int2:invalidationBookmarkName="" int2:hashCode="bZXBhHIZxjOVD4" int2:id="kYe4nkdk">
      <int2:state int2:type="AugLoop_Acronyms_AcronymsCritique" int2:value="Rejected"/>
    </int2:bookmark>
    <int2:bookmark int2:bookmarkName="_Int_sJM4ioXM" int2:invalidationBookmarkName="" int2:hashCode="LuDS3KKJw+tU9M" int2:id="7PHgLrj4">
      <int2:state int2:type="AugLoop_Acronyms_AcronymsCritique" int2:value="Rejected"/>
    </int2:bookmark>
    <int2:bookmark int2:bookmarkName="_Int_Pd0r7A1F" int2:invalidationBookmarkName="" int2:hashCode="0lXQ0GySJQ8tJA" int2:id="6M5WF93g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4"/>
    <w:multiLevelType w:val="hybridMultilevel"/>
    <w:tmpl w:val="A56A7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D05C28"/>
    <w:multiLevelType w:val="hybridMultilevel"/>
    <w:tmpl w:val="79901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941C35"/>
    <w:multiLevelType w:val="multilevel"/>
    <w:tmpl w:val="9C8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EC928A5"/>
    <w:multiLevelType w:val="hybridMultilevel"/>
    <w:tmpl w:val="05527B96"/>
    <w:lvl w:ilvl="0" w:tplc="A3102B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A6C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2A0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C2AE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0AF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5E1E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FA95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E2B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277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371B57"/>
    <w:multiLevelType w:val="multilevel"/>
    <w:tmpl w:val="FE8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618705A"/>
    <w:multiLevelType w:val="hybridMultilevel"/>
    <w:tmpl w:val="476C4CC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4"/>
    <w:rsid w:val="00070CB7"/>
    <w:rsid w:val="000978CB"/>
    <w:rsid w:val="001638F4"/>
    <w:rsid w:val="0020454F"/>
    <w:rsid w:val="002660C9"/>
    <w:rsid w:val="002A63A2"/>
    <w:rsid w:val="002E242D"/>
    <w:rsid w:val="003030D8"/>
    <w:rsid w:val="00353677"/>
    <w:rsid w:val="003A3009"/>
    <w:rsid w:val="004079AC"/>
    <w:rsid w:val="00423750"/>
    <w:rsid w:val="00471C9D"/>
    <w:rsid w:val="00476C1D"/>
    <w:rsid w:val="004B4C21"/>
    <w:rsid w:val="004C040B"/>
    <w:rsid w:val="004E3D4A"/>
    <w:rsid w:val="005510FF"/>
    <w:rsid w:val="005E6138"/>
    <w:rsid w:val="005E6B2D"/>
    <w:rsid w:val="006156D9"/>
    <w:rsid w:val="006529CA"/>
    <w:rsid w:val="00695185"/>
    <w:rsid w:val="00697927"/>
    <w:rsid w:val="006C0E81"/>
    <w:rsid w:val="006E4FB9"/>
    <w:rsid w:val="006F4975"/>
    <w:rsid w:val="0070056A"/>
    <w:rsid w:val="007676CF"/>
    <w:rsid w:val="00780319"/>
    <w:rsid w:val="007B1E42"/>
    <w:rsid w:val="007D04FB"/>
    <w:rsid w:val="007F16A4"/>
    <w:rsid w:val="0081774B"/>
    <w:rsid w:val="00860386"/>
    <w:rsid w:val="008C5137"/>
    <w:rsid w:val="009C6A52"/>
    <w:rsid w:val="00AF728F"/>
    <w:rsid w:val="00B225CD"/>
    <w:rsid w:val="00B3783E"/>
    <w:rsid w:val="00B4106A"/>
    <w:rsid w:val="00B673A3"/>
    <w:rsid w:val="00B912D3"/>
    <w:rsid w:val="00B953C3"/>
    <w:rsid w:val="00BC5240"/>
    <w:rsid w:val="00BD0463"/>
    <w:rsid w:val="00DA027C"/>
    <w:rsid w:val="00E1538C"/>
    <w:rsid w:val="00E17747"/>
    <w:rsid w:val="00EB1855"/>
    <w:rsid w:val="00EB7B37"/>
    <w:rsid w:val="010F24B3"/>
    <w:rsid w:val="012BB0AC"/>
    <w:rsid w:val="018D75D3"/>
    <w:rsid w:val="02D18879"/>
    <w:rsid w:val="048CA75A"/>
    <w:rsid w:val="05134C62"/>
    <w:rsid w:val="09422AC3"/>
    <w:rsid w:val="0CE375AD"/>
    <w:rsid w:val="0DFC7389"/>
    <w:rsid w:val="12EDD266"/>
    <w:rsid w:val="12F2FD65"/>
    <w:rsid w:val="13DED2D2"/>
    <w:rsid w:val="148ECDC6"/>
    <w:rsid w:val="14BBEBDE"/>
    <w:rsid w:val="1862A756"/>
    <w:rsid w:val="18713E7D"/>
    <w:rsid w:val="1B228242"/>
    <w:rsid w:val="23D9CB69"/>
    <w:rsid w:val="2485896C"/>
    <w:rsid w:val="256731DF"/>
    <w:rsid w:val="27DCA046"/>
    <w:rsid w:val="2AD76CAA"/>
    <w:rsid w:val="2B4886A4"/>
    <w:rsid w:val="2B4DB0A8"/>
    <w:rsid w:val="30B4D3C5"/>
    <w:rsid w:val="30C23ECD"/>
    <w:rsid w:val="30D11CBF"/>
    <w:rsid w:val="3250A426"/>
    <w:rsid w:val="33CFE88E"/>
    <w:rsid w:val="3456CFEB"/>
    <w:rsid w:val="3895A7EA"/>
    <w:rsid w:val="3A692113"/>
    <w:rsid w:val="3D8435DC"/>
    <w:rsid w:val="3F447FBC"/>
    <w:rsid w:val="3FE06AA0"/>
    <w:rsid w:val="4041ADB5"/>
    <w:rsid w:val="40BD3764"/>
    <w:rsid w:val="4590A887"/>
    <w:rsid w:val="466C0D66"/>
    <w:rsid w:val="474F91A1"/>
    <w:rsid w:val="478121AF"/>
    <w:rsid w:val="494F2705"/>
    <w:rsid w:val="497D099A"/>
    <w:rsid w:val="49D7376F"/>
    <w:rsid w:val="4B2FE872"/>
    <w:rsid w:val="4B7307D0"/>
    <w:rsid w:val="4D0ED831"/>
    <w:rsid w:val="50B8E334"/>
    <w:rsid w:val="50FC9A0A"/>
    <w:rsid w:val="54BDA25B"/>
    <w:rsid w:val="5A86F057"/>
    <w:rsid w:val="5AD6D3C1"/>
    <w:rsid w:val="5DFF9691"/>
    <w:rsid w:val="60DD097E"/>
    <w:rsid w:val="62C39345"/>
    <w:rsid w:val="6677840C"/>
    <w:rsid w:val="67086A63"/>
    <w:rsid w:val="69FCB46C"/>
    <w:rsid w:val="6B561602"/>
    <w:rsid w:val="6B72E95A"/>
    <w:rsid w:val="6D0EB9BB"/>
    <w:rsid w:val="6D8DF78C"/>
    <w:rsid w:val="71E6F03B"/>
    <w:rsid w:val="751E90FD"/>
    <w:rsid w:val="760F9169"/>
    <w:rsid w:val="7693AD5A"/>
    <w:rsid w:val="79352273"/>
    <w:rsid w:val="7AD59784"/>
    <w:rsid w:val="7C7ED2ED"/>
    <w:rsid w:val="7D74575C"/>
    <w:rsid w:val="7F8FE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622D2"/>
  <w15:chartTrackingRefBased/>
  <w15:docId w15:val="{82FAD457-D6BC-4136-BBB9-A4833BAB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8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9CA"/>
    <w:pPr>
      <w:ind w:left="720"/>
      <w:contextualSpacing/>
    </w:pPr>
  </w:style>
  <w:style w:type="table" w:styleId="TableGrid">
    <w:name w:val="Table Grid"/>
    <w:basedOn w:val="TableNormal"/>
    <w:uiPriority w:val="39"/>
    <w:rsid w:val="007F1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8031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0319"/>
  </w:style>
  <w:style w:type="paragraph" w:styleId="Footer">
    <w:name w:val="footer"/>
    <w:basedOn w:val="Normal"/>
    <w:link w:val="FooterChar"/>
    <w:uiPriority w:val="99"/>
    <w:unhideWhenUsed/>
    <w:rsid w:val="0078031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0319"/>
  </w:style>
  <w:style w:type="character" w:styleId="Hyperlink">
    <w:name w:val="Hyperlink"/>
    <w:basedOn w:val="DefaultParagraphFont"/>
    <w:uiPriority w:val="99"/>
    <w:unhideWhenUsed/>
    <w:rsid w:val="00BD0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56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454F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microsoft.com/en-ca/azure/active-directory/develop/v2-overview" TargetMode="Externa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settings" Target="settings.xml" Id="rId7" /><Relationship Type="http://schemas.openxmlformats.org/officeDocument/2006/relationships/hyperlink" Target="https://openid.net/wg/igov/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canada-ca.github.io/CATS-STAE/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Relationship Type="http://schemas.microsoft.com/office/2011/relationships/commentsExtended" Target="commentsExtended.xml" Id="R8a2c5cefc1454c39" /><Relationship Type="http://schemas.microsoft.com/office/2016/09/relationships/commentsIds" Target="commentsIds.xml" Id="R9da73eea33174be7" /><Relationship Type="http://schemas.microsoft.com/office/2020/10/relationships/intelligence" Target="intelligence2.xml" Id="R3161c0b1c3f5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4F9BC48E6749B7F6096675E736D4" ma:contentTypeVersion="15" ma:contentTypeDescription="Create a new document." ma:contentTypeScope="" ma:versionID="3e711e85806085cafc183cd002f5b465">
  <xsd:schema xmlns:xsd="http://www.w3.org/2001/XMLSchema" xmlns:xs="http://www.w3.org/2001/XMLSchema" xmlns:p="http://schemas.microsoft.com/office/2006/metadata/properties" xmlns:ns2="d4b32c5d-14cc-49d4-8e33-89dfffb4ed54" xmlns:ns3="cf40fa3a-ca34-444b-baec-089d050d3c0a" targetNamespace="http://schemas.microsoft.com/office/2006/metadata/properties" ma:root="true" ma:fieldsID="af81a01a43724456ec84434d9956ded7" ns2:_="" ns3:_="">
    <xsd:import namespace="d4b32c5d-14cc-49d4-8e33-89dfffb4ed54"/>
    <xsd:import namespace="cf40fa3a-ca34-444b-baec-089d050d3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32c5d-14cc-49d4-8e33-89dfffb4e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0cc3ec6-88af-47af-a068-6d7a8d914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0fa3a-ca34-444b-baec-089d050d3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3be26b4-77a6-416b-a25c-5540153ed058}" ma:internalName="TaxCatchAll" ma:showField="CatchAllData" ma:web="cf40fa3a-ca34-444b-baec-089d050d3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b32c5d-14cc-49d4-8e33-89dfffb4ed54">
      <Terms xmlns="http://schemas.microsoft.com/office/infopath/2007/PartnerControls"/>
    </lcf76f155ced4ddcb4097134ff3c332f>
    <TaxCatchAll xmlns="cf40fa3a-ca34-444b-baec-089d050d3c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2440-B922-4239-94BC-64A56E548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D81C8-0C58-4DD1-A98D-6DF2E9B36265}"/>
</file>

<file path=customXml/itemProps3.xml><?xml version="1.0" encoding="utf-8"?>
<ds:datastoreItem xmlns:ds="http://schemas.openxmlformats.org/officeDocument/2006/customXml" ds:itemID="{CAE5EC7D-0F8A-472F-8A83-D0E43CD7B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6F2E3-350F-4DCF-8BA4-305F7AFA1D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Andrew</dc:creator>
  <cp:keywords/>
  <dc:description/>
  <cp:lastModifiedBy>Smith, Andrew</cp:lastModifiedBy>
  <cp:revision>10</cp:revision>
  <dcterms:created xsi:type="dcterms:W3CDTF">2019-01-15T16:34:00Z</dcterms:created>
  <dcterms:modified xsi:type="dcterms:W3CDTF">2022-09-07T15:22:21Z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0x010100C3DA4F9BC48E6749B7F6096675E736D4</vt:lpwstr>
  </property>
  <property fmtid="{D5CDD505-2E9C-101B-9397-08002B2CF9AE}" pid="3" name="MediaServiceImageTags">
    <vt:lpwstr/>
  </property>
</Properties>
</file>