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C3BBE" w:rsidR="007F0782" w:rsidP="003C3BBE" w:rsidRDefault="003B13A8" w14:paraId="71B42431" w14:textId="57C5DD3F">
      <w:pPr>
        <w:spacing w:before="100" w:beforeAutospacing="1" w:after="100" w:afterAutospacing="1" w:line="240" w:lineRule="auto"/>
        <w:ind w:right="-1080" w:hanging="108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Play #28 – Annex </w:t>
      </w:r>
      <w:r w:rsidR="008B2F07">
        <w:rPr>
          <w:b/>
          <w:sz w:val="32"/>
          <w:u w:val="single"/>
        </w:rPr>
        <w:t>B</w:t>
      </w:r>
      <w:r>
        <w:rPr>
          <w:b/>
          <w:sz w:val="32"/>
          <w:u w:val="single"/>
        </w:rPr>
        <w:t xml:space="preserve"> –</w:t>
      </w:r>
      <w:r w:rsidR="00BA7CFE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Acquiring Competencies</w:t>
      </w:r>
      <w:r w:rsidR="00BA7CFE">
        <w:rPr>
          <w:b/>
          <w:sz w:val="32"/>
          <w:u w:val="single"/>
        </w:rPr>
        <w:t xml:space="preserve"> Plan</w:t>
      </w:r>
    </w:p>
    <w:p w:rsidR="007F0782" w:rsidP="53A8105C" w:rsidRDefault="00663618" w14:paraId="29146639" w14:textId="5E2E43CC">
      <w:pPr>
        <w:spacing w:after="0" w:line="240" w:lineRule="auto"/>
        <w:ind w:right="-1080"/>
        <w:contextualSpacing/>
        <w:rPr>
          <w:sz w:val="24"/>
          <w:szCs w:val="24"/>
        </w:rPr>
      </w:pPr>
      <w:r w:rsidRPr="53A8105C" w:rsidR="00663618">
        <w:rPr>
          <w:b w:val="1"/>
          <w:bCs w:val="1"/>
          <w:sz w:val="28"/>
          <w:szCs w:val="28"/>
          <w:u w:val="single"/>
        </w:rPr>
        <w:t>Acquiring Competencies Plan</w:t>
      </w:r>
      <w:r w:rsidRPr="53A8105C" w:rsidR="005448F8">
        <w:rPr>
          <w:b w:val="1"/>
          <w:bCs w:val="1"/>
          <w:sz w:val="28"/>
          <w:szCs w:val="28"/>
          <w:u w:val="single"/>
        </w:rPr>
        <w:t xml:space="preserve"> (OPTIONAL)</w:t>
      </w:r>
      <w:r w:rsidRPr="53A8105C" w:rsidR="00663618">
        <w:rPr>
          <w:b w:val="1"/>
          <w:bCs w:val="1"/>
          <w:sz w:val="28"/>
          <w:szCs w:val="28"/>
          <w:u w:val="single"/>
        </w:rPr>
        <w:t>:</w:t>
      </w:r>
      <w:r w:rsidRPr="53A8105C" w:rsidR="00663618">
        <w:rPr>
          <w:b w:val="1"/>
          <w:bCs w:val="1"/>
          <w:sz w:val="28"/>
          <w:szCs w:val="28"/>
        </w:rPr>
        <w:t xml:space="preserve"> </w:t>
      </w:r>
      <w:r w:rsidRPr="53A8105C" w:rsidR="00B54B04">
        <w:rPr>
          <w:sz w:val="24"/>
          <w:szCs w:val="24"/>
        </w:rPr>
        <w:t>Fill in the 1</w:t>
      </w:r>
      <w:r w:rsidRPr="53A8105C" w:rsidR="00B54B04">
        <w:rPr>
          <w:sz w:val="24"/>
          <w:szCs w:val="24"/>
          <w:vertAlign w:val="superscript"/>
        </w:rPr>
        <w:t>st</w:t>
      </w:r>
      <w:r w:rsidRPr="53A8105C" w:rsidR="00B54B04">
        <w:rPr>
          <w:sz w:val="24"/>
          <w:szCs w:val="24"/>
        </w:rPr>
        <w:t xml:space="preserve"> column by referring to those weaker skills</w:t>
      </w:r>
      <w:r w:rsidRPr="53A8105C" w:rsidR="00F5599D">
        <w:rPr>
          <w:sz w:val="24"/>
          <w:szCs w:val="24"/>
        </w:rPr>
        <w:t xml:space="preserve"> (</w:t>
      </w:r>
      <w:r w:rsidRPr="53A8105C" w:rsidR="00B54B04">
        <w:rPr>
          <w:sz w:val="24"/>
          <w:szCs w:val="24"/>
        </w:rPr>
        <w:t>required to achieve your goals</w:t>
      </w:r>
      <w:r w:rsidRPr="53A8105C" w:rsidR="00F5599D">
        <w:rPr>
          <w:sz w:val="24"/>
          <w:szCs w:val="24"/>
        </w:rPr>
        <w:t>)</w:t>
      </w:r>
      <w:r w:rsidRPr="53A8105C" w:rsidR="00B54B04">
        <w:rPr>
          <w:sz w:val="24"/>
          <w:szCs w:val="24"/>
        </w:rPr>
        <w:t xml:space="preserve"> in Annex A – Self Assessment.</w:t>
      </w:r>
      <w:r w:rsidRPr="53A8105C" w:rsidR="00B54B04">
        <w:rPr>
          <w:b w:val="1"/>
          <w:bCs w:val="1"/>
          <w:sz w:val="24"/>
          <w:szCs w:val="24"/>
        </w:rPr>
        <w:t xml:space="preserve"> </w:t>
      </w:r>
      <w:r w:rsidRPr="53A8105C" w:rsidR="00340BC9">
        <w:rPr>
          <w:sz w:val="24"/>
          <w:szCs w:val="24"/>
        </w:rPr>
        <w:t xml:space="preserve">Determine with your team who would like to </w:t>
      </w:r>
      <w:r w:rsidRPr="53A8105C" w:rsidR="00667593">
        <w:rPr>
          <w:sz w:val="24"/>
          <w:szCs w:val="24"/>
        </w:rPr>
        <w:t>pursue improving on</w:t>
      </w:r>
      <w:r w:rsidRPr="53A8105C" w:rsidR="00340BC9">
        <w:rPr>
          <w:sz w:val="24"/>
          <w:szCs w:val="24"/>
        </w:rPr>
        <w:t xml:space="preserve"> those</w:t>
      </w:r>
      <w:r w:rsidRPr="53A8105C" w:rsidR="00667593">
        <w:rPr>
          <w:sz w:val="24"/>
          <w:szCs w:val="24"/>
        </w:rPr>
        <w:t xml:space="preserve"> weaker</w:t>
      </w:r>
      <w:r w:rsidRPr="53A8105C" w:rsidR="00340BC9">
        <w:rPr>
          <w:sz w:val="24"/>
          <w:szCs w:val="24"/>
        </w:rPr>
        <w:t xml:space="preserve"> competencies </w:t>
      </w:r>
      <w:r w:rsidRPr="53A8105C" w:rsidR="00EF4C2F">
        <w:rPr>
          <w:sz w:val="24"/>
          <w:szCs w:val="24"/>
        </w:rPr>
        <w:t>and how they will acquire them. Note that employees may need some time (days) to reflect and develop a game plan to complete column 4 (if this is the case, please remember to follow up with them and finalize this table as well as their learning plan)</w:t>
      </w:r>
      <w:r w:rsidRPr="53A8105C" w:rsidR="53CF2092">
        <w:rPr>
          <w:sz w:val="24"/>
          <w:szCs w:val="24"/>
        </w:rPr>
        <w:t>.</w:t>
      </w:r>
      <w:bookmarkStart w:name="_GoBack" w:id="0"/>
      <w:bookmarkEnd w:id="0"/>
    </w:p>
    <w:p w:rsidRPr="00340BC9" w:rsidR="00252D4C" w:rsidP="002A4357" w:rsidRDefault="00340BC9" w14:paraId="0EA258ED" w14:textId="77777777">
      <w:pPr>
        <w:spacing w:before="100" w:beforeAutospacing="1" w:after="100" w:afterAutospacing="1" w:line="240" w:lineRule="auto"/>
        <w:ind w:right="-1080"/>
        <w:rPr>
          <w:sz w:val="24"/>
        </w:rPr>
      </w:pPr>
      <w:r>
        <w:rPr>
          <w:sz w:val="24"/>
        </w:rPr>
        <w:t>* Do not forget to communicate with HR, should</w:t>
      </w:r>
      <w:r w:rsidR="00EF4C2F">
        <w:rPr>
          <w:sz w:val="24"/>
        </w:rPr>
        <w:t xml:space="preserve"> you</w:t>
      </w:r>
      <w:r>
        <w:rPr>
          <w:sz w:val="24"/>
        </w:rPr>
        <w:t xml:space="preserve"> identify specific competencies requir</w:t>
      </w:r>
      <w:r w:rsidR="00EF4C2F">
        <w:rPr>
          <w:sz w:val="24"/>
        </w:rPr>
        <w:t>ing</w:t>
      </w:r>
      <w:r>
        <w:rPr>
          <w:sz w:val="24"/>
        </w:rPr>
        <w:t xml:space="preserve"> external resources.</w:t>
      </w:r>
    </w:p>
    <w:tbl>
      <w:tblPr>
        <w:tblStyle w:val="TableGrid"/>
        <w:tblW w:w="12844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6"/>
        <w:gridCol w:w="3339"/>
        <w:gridCol w:w="3249"/>
        <w:gridCol w:w="3120"/>
      </w:tblGrid>
      <w:tr w:rsidRPr="0004508D" w:rsidR="00E765F2" w:rsidTr="009B412A" w14:paraId="6D6BEF9C" w14:textId="77777777">
        <w:trPr>
          <w:trHeight w:val="281"/>
          <w:jc w:val="center"/>
        </w:trPr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E765F2" w:rsidP="00653345" w:rsidRDefault="006435CC" w14:paraId="053A22C4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Competencies</w:t>
            </w:r>
            <w:r w:rsidR="00653345">
              <w:rPr>
                <w:b/>
                <w:sz w:val="28"/>
              </w:rPr>
              <w:t xml:space="preserve"> Requiring</w:t>
            </w:r>
          </w:p>
          <w:p w:rsidRPr="0004508D" w:rsidR="00653345" w:rsidP="00653345" w:rsidRDefault="00653345" w14:paraId="22546231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Improvement</w:t>
            </w:r>
          </w:p>
        </w:tc>
        <w:tc>
          <w:tcPr>
            <w:tcW w:w="3339" w:type="dxa"/>
            <w:shd w:val="clear" w:color="auto" w:fill="D9D9D9" w:themeFill="background1" w:themeFillShade="D9"/>
            <w:vAlign w:val="center"/>
          </w:tcPr>
          <w:p w:rsidR="00E765F2" w:rsidP="00F64EDD" w:rsidRDefault="00A30966" w14:paraId="1A47B2FE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How it can be A</w:t>
            </w:r>
            <w:r w:rsidR="00F64EDD">
              <w:rPr>
                <w:b/>
                <w:sz w:val="28"/>
              </w:rPr>
              <w:t>chieved</w:t>
            </w:r>
          </w:p>
          <w:p w:rsidRPr="0004508D" w:rsidR="00F64EDD" w:rsidP="00A30966" w:rsidRDefault="00F64EDD" w14:paraId="4BAA6ECC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 w:rsidR="00A30966">
              <w:rPr>
                <w:b/>
                <w:sz w:val="28"/>
              </w:rPr>
              <w:t>Internal</w:t>
            </w:r>
            <w:r>
              <w:rPr>
                <w:b/>
                <w:sz w:val="28"/>
              </w:rPr>
              <w:t>, CSPS, College, University</w:t>
            </w:r>
            <w:r w:rsidR="00FF046E">
              <w:rPr>
                <w:b/>
                <w:sz w:val="28"/>
              </w:rPr>
              <w:t>?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3249" w:type="dxa"/>
            <w:shd w:val="clear" w:color="auto" w:fill="D9D9D9" w:themeFill="background1" w:themeFillShade="D9"/>
            <w:vAlign w:val="center"/>
          </w:tcPr>
          <w:p w:rsidRPr="0004508D" w:rsidR="00E765F2" w:rsidP="00A30966" w:rsidRDefault="00A30966" w14:paraId="64696E9C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Interested E</w:t>
            </w:r>
            <w:r w:rsidR="00F64EDD">
              <w:rPr>
                <w:b/>
                <w:sz w:val="28"/>
              </w:rPr>
              <w:t xml:space="preserve">mployee </w:t>
            </w:r>
            <w:r w:rsidR="00FF046E">
              <w:rPr>
                <w:b/>
                <w:sz w:val="28"/>
              </w:rPr>
              <w:t xml:space="preserve"> 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:rsidR="00F64EDD" w:rsidP="00F64EDD" w:rsidRDefault="00F64EDD" w14:paraId="3BC54318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Employee’s </w:t>
            </w:r>
            <w:r w:rsidR="00A30966">
              <w:rPr>
                <w:b/>
                <w:sz w:val="28"/>
              </w:rPr>
              <w:t>Plan F</w:t>
            </w:r>
            <w:r>
              <w:rPr>
                <w:b/>
                <w:sz w:val="28"/>
              </w:rPr>
              <w:t xml:space="preserve">or </w:t>
            </w:r>
          </w:p>
          <w:p w:rsidRPr="0004508D" w:rsidR="00E765F2" w:rsidP="00A30966" w:rsidRDefault="00A30966" w14:paraId="19ABC331" w14:textId="77777777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F64EDD">
              <w:rPr>
                <w:b/>
                <w:sz w:val="28"/>
              </w:rPr>
              <w:t xml:space="preserve">cquiring </w:t>
            </w:r>
            <w:r>
              <w:rPr>
                <w:b/>
                <w:sz w:val="28"/>
              </w:rPr>
              <w:t>C</w:t>
            </w:r>
            <w:r w:rsidR="00F64EDD">
              <w:rPr>
                <w:b/>
                <w:sz w:val="28"/>
              </w:rPr>
              <w:t xml:space="preserve">ompetency  </w:t>
            </w:r>
            <w:r w:rsidRPr="0004508D" w:rsidR="00E765F2">
              <w:rPr>
                <w:b/>
                <w:sz w:val="28"/>
              </w:rPr>
              <w:t xml:space="preserve"> </w:t>
            </w:r>
          </w:p>
        </w:tc>
      </w:tr>
      <w:tr w:rsidR="00E765F2" w:rsidTr="009B412A" w14:paraId="0EC51A16" w14:textId="77777777">
        <w:trPr>
          <w:trHeight w:val="1039"/>
          <w:jc w:val="center"/>
        </w:trPr>
        <w:tc>
          <w:tcPr>
            <w:tcW w:w="3136" w:type="dxa"/>
          </w:tcPr>
          <w:p w:rsidR="003D2EAD" w:rsidP="00FE6585" w:rsidRDefault="003D2EAD" w14:paraId="60D43871" w14:textId="77777777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339" w:type="dxa"/>
          </w:tcPr>
          <w:p w:rsidR="00E765F2" w:rsidP="00FE6585" w:rsidRDefault="00E765F2" w14:paraId="48864228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249" w:type="dxa"/>
          </w:tcPr>
          <w:p w:rsidR="00E765F2" w:rsidP="00FE6585" w:rsidRDefault="00E765F2" w14:paraId="61A4E314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E765F2" w:rsidP="00FE6585" w:rsidRDefault="00E765F2" w14:paraId="0DA85B59" w14:textId="77777777">
            <w:pPr>
              <w:ind w:right="-1080"/>
              <w:contextualSpacing/>
              <w:rPr>
                <w:b/>
              </w:rPr>
            </w:pPr>
          </w:p>
        </w:tc>
      </w:tr>
      <w:tr w:rsidR="00E765F2" w:rsidTr="009B412A" w14:paraId="0288620E" w14:textId="77777777">
        <w:trPr>
          <w:trHeight w:val="1039"/>
          <w:jc w:val="center"/>
        </w:trPr>
        <w:tc>
          <w:tcPr>
            <w:tcW w:w="3136" w:type="dxa"/>
          </w:tcPr>
          <w:p w:rsidR="003D2EAD" w:rsidP="00FE6585" w:rsidRDefault="003D2EAD" w14:paraId="3A866CAC" w14:textId="77777777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339" w:type="dxa"/>
          </w:tcPr>
          <w:p w:rsidR="00E765F2" w:rsidP="00FE6585" w:rsidRDefault="00E765F2" w14:paraId="5203E28B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249" w:type="dxa"/>
          </w:tcPr>
          <w:p w:rsidR="00E765F2" w:rsidP="00FE6585" w:rsidRDefault="00E765F2" w14:paraId="7A16C316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E765F2" w:rsidP="00FE6585" w:rsidRDefault="00E765F2" w14:paraId="564725F7" w14:textId="77777777">
            <w:pPr>
              <w:ind w:right="-1080"/>
              <w:contextualSpacing/>
              <w:rPr>
                <w:b/>
              </w:rPr>
            </w:pPr>
          </w:p>
        </w:tc>
      </w:tr>
      <w:tr w:rsidR="00E765F2" w:rsidTr="009B412A" w14:paraId="0ECBBA27" w14:textId="77777777">
        <w:trPr>
          <w:trHeight w:val="1039"/>
          <w:jc w:val="center"/>
        </w:trPr>
        <w:tc>
          <w:tcPr>
            <w:tcW w:w="3136" w:type="dxa"/>
          </w:tcPr>
          <w:p w:rsidR="00E765F2" w:rsidP="00FE6585" w:rsidRDefault="00E765F2" w14:paraId="45266716" w14:textId="77777777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339" w:type="dxa"/>
          </w:tcPr>
          <w:p w:rsidR="00E765F2" w:rsidP="00FE6585" w:rsidRDefault="00E765F2" w14:paraId="6D4D9314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249" w:type="dxa"/>
          </w:tcPr>
          <w:p w:rsidR="00E765F2" w:rsidP="00FE6585" w:rsidRDefault="00E765F2" w14:paraId="5410602C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E765F2" w:rsidP="00FE6585" w:rsidRDefault="00E765F2" w14:paraId="13466635" w14:textId="77777777">
            <w:pPr>
              <w:ind w:right="-1080"/>
              <w:contextualSpacing/>
              <w:rPr>
                <w:b/>
              </w:rPr>
            </w:pPr>
          </w:p>
        </w:tc>
      </w:tr>
      <w:tr w:rsidR="00E765F2" w:rsidTr="009B412A" w14:paraId="1CDA7FBD" w14:textId="77777777">
        <w:trPr>
          <w:trHeight w:val="1039"/>
          <w:jc w:val="center"/>
        </w:trPr>
        <w:tc>
          <w:tcPr>
            <w:tcW w:w="3136" w:type="dxa"/>
          </w:tcPr>
          <w:p w:rsidR="00E765F2" w:rsidP="00FE6585" w:rsidRDefault="00E765F2" w14:paraId="38B114CE" w14:textId="77777777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339" w:type="dxa"/>
          </w:tcPr>
          <w:p w:rsidR="00E765F2" w:rsidP="00FE6585" w:rsidRDefault="00E765F2" w14:paraId="7C77E3DF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249" w:type="dxa"/>
          </w:tcPr>
          <w:p w:rsidR="00E765F2" w:rsidP="00FE6585" w:rsidRDefault="00E765F2" w14:paraId="1E6DD554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E765F2" w:rsidP="00FE6585" w:rsidRDefault="00E765F2" w14:paraId="769DBFF8" w14:textId="77777777">
            <w:pPr>
              <w:ind w:right="-1080"/>
              <w:contextualSpacing/>
              <w:rPr>
                <w:b/>
              </w:rPr>
            </w:pPr>
          </w:p>
        </w:tc>
      </w:tr>
      <w:tr w:rsidR="00E765F2" w:rsidTr="009B412A" w14:paraId="4610F509" w14:textId="77777777">
        <w:trPr>
          <w:trHeight w:val="1039"/>
          <w:jc w:val="center"/>
        </w:trPr>
        <w:tc>
          <w:tcPr>
            <w:tcW w:w="3136" w:type="dxa"/>
          </w:tcPr>
          <w:p w:rsidR="00E765F2" w:rsidP="00FE6585" w:rsidRDefault="00E765F2" w14:paraId="056325D8" w14:textId="77777777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339" w:type="dxa"/>
          </w:tcPr>
          <w:p w:rsidR="00E765F2" w:rsidP="00FE6585" w:rsidRDefault="00E765F2" w14:paraId="47AF7B14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249" w:type="dxa"/>
          </w:tcPr>
          <w:p w:rsidR="00E765F2" w:rsidP="00FE6585" w:rsidRDefault="00E765F2" w14:paraId="32117D2B" w14:textId="77777777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E765F2" w:rsidP="00FE6585" w:rsidRDefault="00E765F2" w14:paraId="63FB985C" w14:textId="77777777">
            <w:pPr>
              <w:ind w:right="-1080"/>
              <w:contextualSpacing/>
              <w:rPr>
                <w:b/>
              </w:rPr>
            </w:pPr>
          </w:p>
        </w:tc>
      </w:tr>
    </w:tbl>
    <w:p w:rsidRPr="00FF046E" w:rsidR="007F0782" w:rsidP="00E67F02" w:rsidRDefault="007F0782" w14:paraId="13953E87" w14:textId="77777777">
      <w:pPr>
        <w:rPr>
          <w:b/>
        </w:rPr>
      </w:pPr>
    </w:p>
    <w:sectPr w:rsidRPr="00FF046E" w:rsidR="007F0782" w:rsidSect="00F514CE">
      <w:headerReference w:type="default" r:id="rId8"/>
      <w:footerReference w:type="default" r:id="rId9"/>
      <w:pgSz w:w="15840" w:h="12240" w:orient="landscape"/>
      <w:pgMar w:top="1110" w:right="1440" w:bottom="1080" w:left="1440" w:header="0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75" w:rsidP="005E6C75" w:rsidRDefault="005E6C75" w14:paraId="4D4B59D2" w14:textId="77777777">
      <w:pPr>
        <w:spacing w:after="0" w:line="240" w:lineRule="auto"/>
      </w:pPr>
      <w:r>
        <w:separator/>
      </w:r>
    </w:p>
  </w:endnote>
  <w:endnote w:type="continuationSeparator" w:id="0">
    <w:p w:rsidR="005E6C75" w:rsidP="005E6C75" w:rsidRDefault="005E6C75" w14:paraId="496E69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5E6C75" w:rsidP="00F514CE" w:rsidRDefault="009833B4" w14:paraId="7172ECDA" w14:textId="77777777">
    <w:pPr>
      <w:pStyle w:val="Footer"/>
      <w:tabs>
        <w:tab w:val="right" w:pos="12960"/>
      </w:tabs>
    </w:pPr>
    <w:r>
      <w:fldChar w:fldCharType="begin"/>
    </w:r>
    <w:r>
      <w:instrText xml:space="preserve"> PAGE   \* MERGEFORMAT </w:instrText>
    </w:r>
    <w:r>
      <w:fldChar w:fldCharType="separate"/>
    </w:r>
    <w:r w:rsidR="00F5599D">
      <w:rPr>
        <w:noProof/>
      </w:rPr>
      <w:t>1</w:t>
    </w:r>
    <w:r>
      <w:rPr>
        <w:noProof/>
      </w:rPr>
      <w:fldChar w:fldCharType="end"/>
    </w:r>
    <w:r w:rsidR="00F514CE">
      <w:tab/>
    </w:r>
    <w:r w:rsidR="00F514CE">
      <w:tab/>
    </w:r>
    <w:r w:rsidR="00F514CE">
      <w:tab/>
    </w:r>
    <w:r w:rsidRPr="005A6030" w:rsidR="009433C8">
      <w:rPr>
        <w:noProof/>
      </w:rPr>
      <w:drawing>
        <wp:inline distT="0" distB="0" distL="0" distR="0" wp14:anchorId="6843195A" wp14:editId="71307738">
          <wp:extent cx="1323975" cy="485775"/>
          <wp:effectExtent l="0" t="0" r="9525" b="9525"/>
          <wp:docPr id="4" name="Picture 4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ad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75" w:rsidP="005E6C75" w:rsidRDefault="005E6C75" w14:paraId="6FF00DD8" w14:textId="77777777">
      <w:pPr>
        <w:spacing w:after="0" w:line="240" w:lineRule="auto"/>
      </w:pPr>
      <w:r>
        <w:separator/>
      </w:r>
    </w:p>
  </w:footnote>
  <w:footnote w:type="continuationSeparator" w:id="0">
    <w:p w:rsidR="005E6C75" w:rsidP="005E6C75" w:rsidRDefault="005E6C75" w14:paraId="068C34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Pr="00264834" w:rsidR="005E6C75" w:rsidP="00264834" w:rsidRDefault="00264834" w14:paraId="7948316F" w14:textId="77777777">
    <w:pPr>
      <w:pStyle w:val="Header"/>
      <w:ind w:left="-1440"/>
    </w:pPr>
    <w:r>
      <w:rPr>
        <w:noProof/>
      </w:rPr>
      <w:drawing>
        <wp:inline distT="0" distB="0" distL="0" distR="0" wp14:anchorId="5B15B84D" wp14:editId="6B4C46C0">
          <wp:extent cx="10048875" cy="52197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43D50"/>
    <w:multiLevelType w:val="hybridMultilevel"/>
    <w:tmpl w:val="CA92DEEA"/>
    <w:lvl w:ilvl="0" w:tplc="5EC87C3E">
      <w:start w:val="4"/>
      <w:numFmt w:val="decimal"/>
      <w:lvlText w:val="%1"/>
      <w:lvlJc w:val="left"/>
      <w:pPr>
        <w:ind w:left="1620" w:hanging="201"/>
      </w:pPr>
      <w:rPr>
        <w:rFonts w:hint="default" w:ascii="Arial" w:hAnsi="Arial" w:eastAsia="Arial" w:cs="Arial"/>
        <w:color w:val="53585F"/>
        <w:spacing w:val="-1"/>
        <w:w w:val="100"/>
        <w:sz w:val="24"/>
        <w:szCs w:val="24"/>
        <w:lang w:val="en-US" w:eastAsia="en-US" w:bidi="en-US"/>
      </w:rPr>
    </w:lvl>
    <w:lvl w:ilvl="1" w:tplc="E26A7F86">
      <w:numFmt w:val="bullet"/>
      <w:lvlText w:val="•"/>
      <w:lvlJc w:val="left"/>
      <w:pPr>
        <w:ind w:left="3210" w:hanging="201"/>
      </w:pPr>
      <w:rPr>
        <w:rFonts w:hint="default"/>
        <w:lang w:val="en-US" w:eastAsia="en-US" w:bidi="en-US"/>
      </w:rPr>
    </w:lvl>
    <w:lvl w:ilvl="2" w:tplc="AF3877A4">
      <w:numFmt w:val="bullet"/>
      <w:lvlText w:val="•"/>
      <w:lvlJc w:val="left"/>
      <w:pPr>
        <w:ind w:left="4800" w:hanging="201"/>
      </w:pPr>
      <w:rPr>
        <w:rFonts w:hint="default"/>
        <w:lang w:val="en-US" w:eastAsia="en-US" w:bidi="en-US"/>
      </w:rPr>
    </w:lvl>
    <w:lvl w:ilvl="3" w:tplc="3EC0C732">
      <w:numFmt w:val="bullet"/>
      <w:lvlText w:val="•"/>
      <w:lvlJc w:val="left"/>
      <w:pPr>
        <w:ind w:left="6390" w:hanging="201"/>
      </w:pPr>
      <w:rPr>
        <w:rFonts w:hint="default"/>
        <w:lang w:val="en-US" w:eastAsia="en-US" w:bidi="en-US"/>
      </w:rPr>
    </w:lvl>
    <w:lvl w:ilvl="4" w:tplc="5D9A4750">
      <w:numFmt w:val="bullet"/>
      <w:lvlText w:val="•"/>
      <w:lvlJc w:val="left"/>
      <w:pPr>
        <w:ind w:left="7980" w:hanging="201"/>
      </w:pPr>
      <w:rPr>
        <w:rFonts w:hint="default"/>
        <w:lang w:val="en-US" w:eastAsia="en-US" w:bidi="en-US"/>
      </w:rPr>
    </w:lvl>
    <w:lvl w:ilvl="5" w:tplc="14B02C50">
      <w:numFmt w:val="bullet"/>
      <w:lvlText w:val="•"/>
      <w:lvlJc w:val="left"/>
      <w:pPr>
        <w:ind w:left="9570" w:hanging="201"/>
      </w:pPr>
      <w:rPr>
        <w:rFonts w:hint="default"/>
        <w:lang w:val="en-US" w:eastAsia="en-US" w:bidi="en-US"/>
      </w:rPr>
    </w:lvl>
    <w:lvl w:ilvl="6" w:tplc="6636855C">
      <w:numFmt w:val="bullet"/>
      <w:lvlText w:val="•"/>
      <w:lvlJc w:val="left"/>
      <w:pPr>
        <w:ind w:left="11160" w:hanging="201"/>
      </w:pPr>
      <w:rPr>
        <w:rFonts w:hint="default"/>
        <w:lang w:val="en-US" w:eastAsia="en-US" w:bidi="en-US"/>
      </w:rPr>
    </w:lvl>
    <w:lvl w:ilvl="7" w:tplc="A2123D42">
      <w:numFmt w:val="bullet"/>
      <w:lvlText w:val="•"/>
      <w:lvlJc w:val="left"/>
      <w:pPr>
        <w:ind w:left="12750" w:hanging="201"/>
      </w:pPr>
      <w:rPr>
        <w:rFonts w:hint="default"/>
        <w:lang w:val="en-US" w:eastAsia="en-US" w:bidi="en-US"/>
      </w:rPr>
    </w:lvl>
    <w:lvl w:ilvl="8" w:tplc="62F23C40">
      <w:numFmt w:val="bullet"/>
      <w:lvlText w:val="•"/>
      <w:lvlJc w:val="left"/>
      <w:pPr>
        <w:ind w:left="14340" w:hanging="201"/>
      </w:pPr>
      <w:rPr>
        <w:rFonts w:hint="default"/>
        <w:lang w:val="en-US" w:eastAsia="en-US" w:bidi="en-US"/>
      </w:rPr>
    </w:lvl>
  </w:abstractNum>
  <w:abstractNum w:abstractNumId="1" w15:restartNumberingAfterBreak="0">
    <w:nsid w:val="64903E54"/>
    <w:multiLevelType w:val="hybridMultilevel"/>
    <w:tmpl w:val="95602B60"/>
    <w:lvl w:ilvl="0" w:tplc="89A88E08">
      <w:numFmt w:val="decimal"/>
      <w:lvlText w:val="%1"/>
      <w:lvlJc w:val="left"/>
      <w:pPr>
        <w:ind w:left="1620" w:hanging="201"/>
      </w:pPr>
      <w:rPr>
        <w:rFonts w:hint="default" w:ascii="Arial" w:hAnsi="Arial" w:eastAsia="Arial" w:cs="Arial"/>
        <w:color w:val="53585F"/>
        <w:spacing w:val="-1"/>
        <w:w w:val="100"/>
        <w:sz w:val="24"/>
        <w:szCs w:val="24"/>
        <w:lang w:val="en-US" w:eastAsia="en-US" w:bidi="en-US"/>
      </w:rPr>
    </w:lvl>
    <w:lvl w:ilvl="1" w:tplc="751C302C">
      <w:numFmt w:val="bullet"/>
      <w:lvlText w:val="•"/>
      <w:lvlJc w:val="left"/>
      <w:pPr>
        <w:ind w:left="3210" w:hanging="201"/>
      </w:pPr>
      <w:rPr>
        <w:rFonts w:hint="default"/>
        <w:lang w:val="en-US" w:eastAsia="en-US" w:bidi="en-US"/>
      </w:rPr>
    </w:lvl>
    <w:lvl w:ilvl="2" w:tplc="5C86D520">
      <w:numFmt w:val="bullet"/>
      <w:lvlText w:val="•"/>
      <w:lvlJc w:val="left"/>
      <w:pPr>
        <w:ind w:left="4800" w:hanging="201"/>
      </w:pPr>
      <w:rPr>
        <w:rFonts w:hint="default"/>
        <w:lang w:val="en-US" w:eastAsia="en-US" w:bidi="en-US"/>
      </w:rPr>
    </w:lvl>
    <w:lvl w:ilvl="3" w:tplc="D2267BFA">
      <w:numFmt w:val="bullet"/>
      <w:lvlText w:val="•"/>
      <w:lvlJc w:val="left"/>
      <w:pPr>
        <w:ind w:left="6390" w:hanging="201"/>
      </w:pPr>
      <w:rPr>
        <w:rFonts w:hint="default"/>
        <w:lang w:val="en-US" w:eastAsia="en-US" w:bidi="en-US"/>
      </w:rPr>
    </w:lvl>
    <w:lvl w:ilvl="4" w:tplc="86388B8C">
      <w:numFmt w:val="bullet"/>
      <w:lvlText w:val="•"/>
      <w:lvlJc w:val="left"/>
      <w:pPr>
        <w:ind w:left="7980" w:hanging="201"/>
      </w:pPr>
      <w:rPr>
        <w:rFonts w:hint="default"/>
        <w:lang w:val="en-US" w:eastAsia="en-US" w:bidi="en-US"/>
      </w:rPr>
    </w:lvl>
    <w:lvl w:ilvl="5" w:tplc="01A43FBC">
      <w:numFmt w:val="bullet"/>
      <w:lvlText w:val="•"/>
      <w:lvlJc w:val="left"/>
      <w:pPr>
        <w:ind w:left="9570" w:hanging="201"/>
      </w:pPr>
      <w:rPr>
        <w:rFonts w:hint="default"/>
        <w:lang w:val="en-US" w:eastAsia="en-US" w:bidi="en-US"/>
      </w:rPr>
    </w:lvl>
    <w:lvl w:ilvl="6" w:tplc="93803BE8">
      <w:numFmt w:val="bullet"/>
      <w:lvlText w:val="•"/>
      <w:lvlJc w:val="left"/>
      <w:pPr>
        <w:ind w:left="11160" w:hanging="201"/>
      </w:pPr>
      <w:rPr>
        <w:rFonts w:hint="default"/>
        <w:lang w:val="en-US" w:eastAsia="en-US" w:bidi="en-US"/>
      </w:rPr>
    </w:lvl>
    <w:lvl w:ilvl="7" w:tplc="84B6A9F6">
      <w:numFmt w:val="bullet"/>
      <w:lvlText w:val="•"/>
      <w:lvlJc w:val="left"/>
      <w:pPr>
        <w:ind w:left="12750" w:hanging="201"/>
      </w:pPr>
      <w:rPr>
        <w:rFonts w:hint="default"/>
        <w:lang w:val="en-US" w:eastAsia="en-US" w:bidi="en-US"/>
      </w:rPr>
    </w:lvl>
    <w:lvl w:ilvl="8" w:tplc="D13ED028">
      <w:numFmt w:val="bullet"/>
      <w:lvlText w:val="•"/>
      <w:lvlJc w:val="left"/>
      <w:pPr>
        <w:ind w:left="14340" w:hanging="20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1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144AD"/>
    <w:rsid w:val="0004508D"/>
    <w:rsid w:val="0004684B"/>
    <w:rsid w:val="00076A77"/>
    <w:rsid w:val="000E1F9C"/>
    <w:rsid w:val="000F664C"/>
    <w:rsid w:val="001268A0"/>
    <w:rsid w:val="001B2D81"/>
    <w:rsid w:val="001B6DB4"/>
    <w:rsid w:val="001D7ACF"/>
    <w:rsid w:val="001E3615"/>
    <w:rsid w:val="002108DB"/>
    <w:rsid w:val="00220436"/>
    <w:rsid w:val="00237760"/>
    <w:rsid w:val="00252D4C"/>
    <w:rsid w:val="00264834"/>
    <w:rsid w:val="002A3FB0"/>
    <w:rsid w:val="002A4357"/>
    <w:rsid w:val="002E2A91"/>
    <w:rsid w:val="00340BC9"/>
    <w:rsid w:val="00342672"/>
    <w:rsid w:val="003A3E7C"/>
    <w:rsid w:val="003A4B17"/>
    <w:rsid w:val="003B13A8"/>
    <w:rsid w:val="003C3BBE"/>
    <w:rsid w:val="003D2EAD"/>
    <w:rsid w:val="003F34AD"/>
    <w:rsid w:val="00422F0F"/>
    <w:rsid w:val="00451671"/>
    <w:rsid w:val="00452C9C"/>
    <w:rsid w:val="0046491B"/>
    <w:rsid w:val="00500FA8"/>
    <w:rsid w:val="005448F8"/>
    <w:rsid w:val="00551A7A"/>
    <w:rsid w:val="00566F71"/>
    <w:rsid w:val="00595E03"/>
    <w:rsid w:val="00597100"/>
    <w:rsid w:val="005A54E3"/>
    <w:rsid w:val="005E6C75"/>
    <w:rsid w:val="005F2884"/>
    <w:rsid w:val="005F6BF8"/>
    <w:rsid w:val="005F6E35"/>
    <w:rsid w:val="00614D18"/>
    <w:rsid w:val="00621129"/>
    <w:rsid w:val="006435CC"/>
    <w:rsid w:val="006458C9"/>
    <w:rsid w:val="0065049B"/>
    <w:rsid w:val="00653345"/>
    <w:rsid w:val="0066268B"/>
    <w:rsid w:val="00663618"/>
    <w:rsid w:val="00667593"/>
    <w:rsid w:val="006B0F81"/>
    <w:rsid w:val="006B51DF"/>
    <w:rsid w:val="006F0EDD"/>
    <w:rsid w:val="00723C87"/>
    <w:rsid w:val="00744648"/>
    <w:rsid w:val="00773304"/>
    <w:rsid w:val="0077471A"/>
    <w:rsid w:val="007D4986"/>
    <w:rsid w:val="007F0782"/>
    <w:rsid w:val="00894E7C"/>
    <w:rsid w:val="008B2F07"/>
    <w:rsid w:val="00915202"/>
    <w:rsid w:val="009433C8"/>
    <w:rsid w:val="00965EC0"/>
    <w:rsid w:val="009833B4"/>
    <w:rsid w:val="009B412A"/>
    <w:rsid w:val="009B45B0"/>
    <w:rsid w:val="00A14B91"/>
    <w:rsid w:val="00A15693"/>
    <w:rsid w:val="00A223D4"/>
    <w:rsid w:val="00A30966"/>
    <w:rsid w:val="00A60E09"/>
    <w:rsid w:val="00A62CB3"/>
    <w:rsid w:val="00A74B06"/>
    <w:rsid w:val="00A92D7D"/>
    <w:rsid w:val="00B00754"/>
    <w:rsid w:val="00B00B1C"/>
    <w:rsid w:val="00B5409E"/>
    <w:rsid w:val="00B54B04"/>
    <w:rsid w:val="00B758C1"/>
    <w:rsid w:val="00BA7CFE"/>
    <w:rsid w:val="00BB65A8"/>
    <w:rsid w:val="00C50CE4"/>
    <w:rsid w:val="00C53B61"/>
    <w:rsid w:val="00C547B2"/>
    <w:rsid w:val="00C673C6"/>
    <w:rsid w:val="00C827E2"/>
    <w:rsid w:val="00CB1691"/>
    <w:rsid w:val="00CE6536"/>
    <w:rsid w:val="00D07724"/>
    <w:rsid w:val="00D1271D"/>
    <w:rsid w:val="00D63F0E"/>
    <w:rsid w:val="00D6656F"/>
    <w:rsid w:val="00D83613"/>
    <w:rsid w:val="00D91D2C"/>
    <w:rsid w:val="00DB5AF3"/>
    <w:rsid w:val="00DD14F5"/>
    <w:rsid w:val="00E55105"/>
    <w:rsid w:val="00E62309"/>
    <w:rsid w:val="00E67F02"/>
    <w:rsid w:val="00E7607D"/>
    <w:rsid w:val="00E765F2"/>
    <w:rsid w:val="00EE1887"/>
    <w:rsid w:val="00EF4C2F"/>
    <w:rsid w:val="00F443B6"/>
    <w:rsid w:val="00F514CE"/>
    <w:rsid w:val="00F5599D"/>
    <w:rsid w:val="00F64EDD"/>
    <w:rsid w:val="00F83FB0"/>
    <w:rsid w:val="00FC339A"/>
    <w:rsid w:val="00FE6585"/>
    <w:rsid w:val="00FF046E"/>
    <w:rsid w:val="53A8105C"/>
    <w:rsid w:val="53C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F5CA789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1"/>
    <w:qFormat/>
    <w:rsid w:val="00E62309"/>
    <w:pPr>
      <w:widowControl w:val="0"/>
      <w:autoSpaceDE w:val="0"/>
      <w:autoSpaceDN w:val="0"/>
      <w:spacing w:before="84" w:after="0" w:line="240" w:lineRule="auto"/>
      <w:ind w:left="1620" w:hanging="201"/>
    </w:pPr>
    <w:rPr>
      <w:rFonts w:ascii="Arial" w:hAnsi="Arial" w:eastAsia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773304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5AF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3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E7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A3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E7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A3E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A3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10" ma:contentTypeDescription="Create a new document." ma:contentTypeScope="" ma:versionID="95d27495968a9f5c0e798ea17b2bf135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a0f9fb0098a877e0f45e68373ce477c1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4C6D7-9138-4119-8F71-5FBB0E10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99BC62-8E3C-49DA-B484-52207DC93343}"/>
</file>

<file path=customXml/itemProps3.xml><?xml version="1.0" encoding="utf-8"?>
<ds:datastoreItem xmlns:ds="http://schemas.openxmlformats.org/officeDocument/2006/customXml" ds:itemID="{6AAB1395-5048-4A32-8FD2-F57491B209DC}"/>
</file>

<file path=customXml/itemProps4.xml><?xml version="1.0" encoding="utf-8"?>
<ds:datastoreItem xmlns:ds="http://schemas.openxmlformats.org/officeDocument/2006/customXml" ds:itemID="{A4585001-BBB9-4219-B798-838DDD4D8B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Transport Canada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DesRoches, Michael</dc:creator>
  <keywords/>
  <dc:description/>
  <lastModifiedBy>Pierre-Luc Pilon</lastModifiedBy>
  <revision>3</revision>
  <dcterms:created xsi:type="dcterms:W3CDTF">2020-03-10T17:39:00.0000000Z</dcterms:created>
  <dcterms:modified xsi:type="dcterms:W3CDTF">2020-03-24T12:53:04.8921840Z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