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a="http://schemas.openxmlformats.org/draw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pPr>
    </w:p>
    <w:p>
      <w:pPr>
        <w:pStyle w:val="3"/>
        <w:jc w:val="left"/>
      </w:pPr>
      <w:r>
        <w:rPr/>
        <w:t>Liblib AI 平台汇报</w:t>
      </w:r>
    </w:p>
    <w:p>
      <w:pPr>
        <w:pStyle w:val="4"/>
        <w:jc w:val="left"/>
      </w:pPr>
      <w:r>
        <w:rPr/>
        <w:t>平台概述</w:t>
      </w:r>
    </w:p>
    <w:p>
      <w:pPr>
        <w:jc w:val="left"/>
      </w:pPr>
      <w:r>
        <w:rPr/>
        <w:t>Liblib AI 是国内领先的以 “社区 + 工具” 双轮驱动的 AI 图像生成与创作平台，由北京奇点星宇科技有限公司运营。自 2023 年 5 月创立以来，致力于通过技术优化与社区互动，帮助设计师、插画师、自媒体创作者等各类用户进入 “创作心流” 状态，实现从灵感激发到作品落地的全流程支持，改变原有创作方式，成为内容创意行业的 AI 新质生产力。</w:t>
      </w:r>
    </w:p>
    <w:p>
      <w:pPr>
        <w:pStyle w:val="4"/>
        <w:jc w:val="left"/>
      </w:pPr>
      <w:r>
        <w:rPr/>
        <w:t>核心功能</w:t>
      </w:r>
    </w:p>
    <w:p>
      <w:pPr>
        <w:pStyle w:val="5"/>
        <w:jc w:val="left"/>
      </w:pPr>
      <w:r>
        <w:rPr/>
        <w:t>文生图与图生图</w:t>
      </w:r>
    </w:p>
    <w:p>
      <w:pPr>
        <w:jc w:val="left"/>
      </w:pPr>
      <w:r>
        <w:rPr/>
        <w:t>支持中英文输入描述生成图像，其本地化界面设计极大降低了语言障碍。在生成速度与效果稳定性方面优于同类产品如 Civitai。用户输入文字描述，AI 即可依据描述生成相应图像；上传一张图片，AI 能在此基础上生成新图像，保留原有图片风格或元素 。与 Stable Diffusion（SD）相比，SD 虽然同样具备强大的文生图与图生图能力，但其本地化部署难度较大，对于普通用户尤其是电脑配置不高的用户而言，要搭建起可顺畅运行的环境颇具挑战。而 Liblib AI 直接提供在线服务，用户无需复杂部署，打开网页就能使用，极大降低了使用门槛。</w:t>
      </w:r>
    </w:p>
    <w:p>
      <w:pPr>
        <w:pStyle w:val="5"/>
        <w:jc w:val="left"/>
      </w:pPr>
      <w:r>
        <w:rPr/>
        <w:t>图像后期处理</w:t>
      </w:r>
    </w:p>
    <w:p>
      <w:pPr>
        <w:jc w:val="left"/>
      </w:pPr>
      <w:r>
        <w:rPr/>
        <w:t>为用户提供对生成图像的编辑和优化功能，例如调整风格、尺寸、分辨率等，满足多样化的图像完善需求。SD 在图像后期处理方面依赖众多插件来拓展功能，用户需要自行寻找、安装和配置插件，这对于新手而言操作难度大。Liblib AI 则将常用的图像后期处理功能进行整合，以简洁易用的界面呈现给用户，用户无需额外操作即可便捷使用这些功能，大大节省了时间和精力。</w:t>
      </w:r>
    </w:p>
    <w:p>
      <w:pPr>
        <w:pStyle w:val="5"/>
        <w:jc w:val="left"/>
      </w:pPr>
      <w:r>
        <w:rPr/>
        <w:t>模型库与风格适配</w:t>
      </w:r>
    </w:p>
    <w:p>
      <w:pPr>
        <w:jc w:val="left"/>
      </w:pPr>
      <w:r>
        <w:rPr/>
        <w:t>平台拥有超过 10 万 + 的庞大模型资源库，其中涵盖 Checkpoint、LoRA 等多种类型，风格覆盖写实、二次元、3D 艺术、插画、摄影、建筑、工业设计等多元领域。并搭载 “Star-3” 通用模型，可智能匹配用户需求，减少用户尝试不同模型的试错成本 。SD 的模型资源虽然丰富，但分散在各个网站，用户收集、筛选合适的模型耗时费力。Liblib AI 将海量模型汇聚在一个平台，且通过 “Star-3” 通用模型智能推荐，帮助用户快速找到契合自身需求的模型，极大提升了创作效率。</w:t>
      </w:r>
    </w:p>
    <w:p>
      <w:pPr>
        <w:pStyle w:val="5"/>
        <w:jc w:val="left"/>
      </w:pPr>
      <w:r>
        <w:rPr/>
        <w:t>个人专属自定义 LoRA 模型训练</w:t>
      </w:r>
    </w:p>
    <w:p>
      <w:pPr>
        <w:jc w:val="left"/>
      </w:pPr>
      <w:r>
        <w:rPr/>
        <w:t>用户能够上传图片训练专属的 LoRA 模型，平台提供多种预设模式，充分满足个性化的创作需求。训练完成的模型还可直接发布至社区，形成 “创作 - 分享 - 激励” 闭环，增强平台内容生态 。在 LoRA 模型训练方面，SD 原生训练流程较为复杂，需要用户具备一定的技术知识和算力支持。Liblib AI 简化了训练流程，提供多种预设模式，即使用户没有深厚技术背景，也能轻松上手训练出专属模型，并且能够方便地在社区分享，促进了模型的交流与创新。</w:t>
      </w:r>
    </w:p>
    <w:p>
      <w:pPr>
        <w:pStyle w:val="5"/>
        <w:jc w:val="left"/>
      </w:pPr>
      <w:r>
        <w:rPr/>
        <w:t>跨端同步</w:t>
      </w:r>
    </w:p>
    <w:p>
      <w:pPr>
        <w:jc w:val="left"/>
      </w:pPr>
      <w:r>
        <w:rPr/>
        <w:t>平台为用户提供云端存储空间（免费 3GB，VIP 最高 50GB），支持作品、模型在多端同步，显著提升协作效率，方便用户随时随地进行创作与管理。SD 本身并不自带跨端同步功能，若要实现类似效果，需借助第三方云存储服务并进行复杂的配置。Liblib AI 则一站式解决跨端同步问题，用户在电脑端创作的作品和模型，在移动端也能随时访问和继续创作，为用户带来极大便利。</w:t>
      </w:r>
    </w:p>
    <w:tbl>
      <w:tblPr>
        <w:tblStyle w:val="9"/>
        <w:tblW w:w="9000" w:type="dxa"/>
        <w:tblLayout w:type="fixed"/>
      </w:tblPr>
      <w:tblGrid>
        <w:gridCol w:w="3000"/>
        <w:gridCol w:w="3000"/>
        <w:gridCol w:w="3000"/>
      </w:tblGrid>
      <w:tr>
        <w:tblPrEx/>
        <w:trPr>
          <w:trHeight w:val="600"/>
        </w:trPr>
        <w:tc>
          <w:tcPr>
            <w:tcW w:w="3000" w:type="dxa"/>
            <w:vAlign w:val="top"/>
          </w:tcPr>
          <w:p>
            <w:pPr>
              <w:jc w:val="left"/>
            </w:pPr>
            <w:r>
              <w:rPr/>
              <w:t>对比维度</w:t>
            </w:r>
          </w:p>
        </w:tc>
        <w:tc>
          <w:tcPr>
            <w:tcW w:w="3000" w:type="dxa"/>
            <w:vAlign w:val="top"/>
          </w:tcPr>
          <w:p>
            <w:pPr>
              <w:jc w:val="left"/>
            </w:pPr>
            <w:r>
              <w:rPr/>
              <w:t>Liblib AI</w:t>
            </w:r>
          </w:p>
        </w:tc>
        <w:tc>
          <w:tcPr>
            <w:tcW w:w="3000" w:type="dxa"/>
            <w:vAlign w:val="top"/>
          </w:tcPr>
          <w:p>
            <w:pPr>
              <w:jc w:val="left"/>
            </w:pPr>
            <w:r>
              <w:rPr/>
              <w:t>Stable Diffusion</w:t>
            </w:r>
          </w:p>
        </w:tc>
      </w:tr>
      <w:tr>
        <w:tblPrEx/>
        <w:trPr>
          <w:trHeight w:val="600"/>
        </w:trPr>
        <w:tc>
          <w:tcPr>
            <w:tcW w:w="3000" w:type="dxa"/>
            <w:vAlign w:val="top"/>
          </w:tcPr>
          <w:p>
            <w:pPr>
              <w:jc w:val="left"/>
            </w:pPr>
            <w:r>
              <w:rPr>
                <w:b/>
                <w:bCs/>
              </w:rPr>
              <w:t>部署方式</w:t>
            </w:r>
          </w:p>
        </w:tc>
        <w:tc>
          <w:tcPr>
            <w:tcW w:w="3000" w:type="dxa"/>
            <w:vAlign w:val="top"/>
          </w:tcPr>
          <w:p>
            <w:pPr>
              <w:jc w:val="left"/>
            </w:pPr>
            <w:r>
              <w:rPr/>
              <w:t>在线服务，无需本地部署，打开网页即可使用，零技术门槛</w:t>
            </w:r>
          </w:p>
        </w:tc>
        <w:tc>
          <w:tcPr>
            <w:tcW w:w="3000" w:type="dxa"/>
            <w:vAlign w:val="top"/>
          </w:tcPr>
          <w:p>
            <w:pPr>
              <w:jc w:val="left"/>
            </w:pPr>
            <w:r>
              <w:rPr/>
              <w:t>需本地部署，对电脑配置有要求，部署流程复杂，普通用户上手难度大</w:t>
            </w:r>
          </w:p>
        </w:tc>
      </w:tr>
      <w:tr>
        <w:tblPrEx/>
        <w:trPr>
          <w:trHeight w:val="600"/>
        </w:trPr>
        <w:tc>
          <w:tcPr>
            <w:tcW w:w="3000" w:type="dxa"/>
            <w:vAlign w:val="top"/>
          </w:tcPr>
          <w:p>
            <w:pPr>
              <w:jc w:val="left"/>
            </w:pPr>
            <w:r>
              <w:rPr>
                <w:b/>
                <w:bCs/>
              </w:rPr>
              <w:t>文生图 / 图生图</w:t>
            </w:r>
          </w:p>
        </w:tc>
        <w:tc>
          <w:tcPr>
            <w:tcW w:w="3000" w:type="dxa"/>
            <w:vAlign w:val="top"/>
          </w:tcPr>
          <w:p>
            <w:pPr>
              <w:jc w:val="left"/>
            </w:pPr>
            <w:r>
              <w:rPr/>
              <w:t>支持中英文输入，生成速度与稳定性佳，界面本地化，操作便捷</w:t>
            </w:r>
          </w:p>
        </w:tc>
        <w:tc>
          <w:tcPr>
            <w:tcW w:w="3000" w:type="dxa"/>
            <w:vAlign w:val="top"/>
          </w:tcPr>
          <w:p>
            <w:pPr>
              <w:jc w:val="left"/>
            </w:pPr>
            <w:r>
              <w:rPr/>
              <w:t>功能强大，但需配置参数，新手易出现生成效果不佳的情况</w:t>
            </w:r>
          </w:p>
        </w:tc>
      </w:tr>
      <w:tr>
        <w:tblPrEx/>
        <w:trPr>
          <w:trHeight w:val="600"/>
        </w:trPr>
        <w:tc>
          <w:tcPr>
            <w:tcW w:w="3000" w:type="dxa"/>
            <w:vAlign w:val="top"/>
          </w:tcPr>
          <w:p>
            <w:pPr>
              <w:jc w:val="left"/>
            </w:pPr>
            <w:r>
              <w:rPr>
                <w:b/>
                <w:bCs/>
              </w:rPr>
              <w:t>图像后期处理</w:t>
            </w:r>
          </w:p>
        </w:tc>
        <w:tc>
          <w:tcPr>
            <w:tcW w:w="3000" w:type="dxa"/>
            <w:vAlign w:val="top"/>
          </w:tcPr>
          <w:p>
            <w:pPr>
              <w:jc w:val="left"/>
            </w:pPr>
            <w:r>
              <w:rPr/>
              <w:t>集成常用编辑功能，界面简洁，一键操作</w:t>
            </w:r>
          </w:p>
        </w:tc>
        <w:tc>
          <w:tcPr>
            <w:tcW w:w="3000" w:type="dxa"/>
            <w:vAlign w:val="top"/>
          </w:tcPr>
          <w:p>
            <w:pPr>
              <w:jc w:val="left"/>
            </w:pPr>
            <w:r>
              <w:rPr/>
              <w:t>依赖插件拓展功能，插件安装、配置繁琐，新手不易掌握</w:t>
            </w:r>
          </w:p>
        </w:tc>
      </w:tr>
      <w:tr>
        <w:tblPrEx/>
        <w:trPr>
          <w:trHeight w:val="600"/>
        </w:trPr>
        <w:tc>
          <w:tcPr>
            <w:tcW w:w="3000" w:type="dxa"/>
            <w:vAlign w:val="top"/>
          </w:tcPr>
          <w:p>
            <w:pPr>
              <w:jc w:val="left"/>
            </w:pPr>
            <w:r>
              <w:rPr>
                <w:b/>
                <w:bCs/>
              </w:rPr>
              <w:t>模型资源</w:t>
            </w:r>
          </w:p>
        </w:tc>
        <w:tc>
          <w:tcPr>
            <w:tcW w:w="3000" w:type="dxa"/>
            <w:vAlign w:val="top"/>
          </w:tcPr>
          <w:p>
            <w:pPr>
              <w:jc w:val="left"/>
            </w:pPr>
            <w:r>
              <w:rPr/>
              <w:t>超 10 万 + 模型库，涵盖多种类型，“Star-3” 通用模型智能推荐</w:t>
            </w:r>
          </w:p>
        </w:tc>
        <w:tc>
          <w:tcPr>
            <w:tcW w:w="3000" w:type="dxa"/>
            <w:vAlign w:val="top"/>
          </w:tcPr>
          <w:p>
            <w:pPr>
              <w:jc w:val="left"/>
            </w:pPr>
            <w:r>
              <w:rPr/>
              <w:t>模型资源分散于各网站，需用户自行收集筛选，耗费时间精力</w:t>
            </w:r>
          </w:p>
        </w:tc>
      </w:tr>
      <w:tr>
        <w:tblPrEx/>
        <w:trPr>
          <w:trHeight w:val="600"/>
        </w:trPr>
        <w:tc>
          <w:tcPr>
            <w:tcW w:w="3000" w:type="dxa"/>
            <w:vAlign w:val="top"/>
          </w:tcPr>
          <w:p>
            <w:pPr>
              <w:jc w:val="left"/>
            </w:pPr>
            <w:r>
              <w:rPr>
                <w:b/>
                <w:bCs/>
              </w:rPr>
              <w:t>LoRA 模型训练</w:t>
            </w:r>
          </w:p>
        </w:tc>
        <w:tc>
          <w:tcPr>
            <w:tcW w:w="3000" w:type="dxa"/>
            <w:vAlign w:val="top"/>
          </w:tcPr>
          <w:p>
            <w:pPr>
              <w:jc w:val="left"/>
            </w:pPr>
            <w:r>
              <w:rPr/>
              <w:t>简化训练流程，提供预设模式，零基础用户也能轻松训练，支持社区分享</w:t>
            </w:r>
          </w:p>
        </w:tc>
        <w:tc>
          <w:tcPr>
            <w:tcW w:w="3000" w:type="dxa"/>
            <w:vAlign w:val="top"/>
          </w:tcPr>
          <w:p>
            <w:pPr>
              <w:jc w:val="left"/>
            </w:pPr>
            <w:r>
              <w:rPr/>
              <w:t>原生训练流程复杂，需技术知识与算力支持，训练成果分享不便</w:t>
            </w:r>
          </w:p>
        </w:tc>
      </w:tr>
      <w:tr>
        <w:tblPrEx/>
        <w:trPr>
          <w:trHeight w:val="600"/>
        </w:trPr>
        <w:tc>
          <w:tcPr>
            <w:tcW w:w="3000" w:type="dxa"/>
            <w:vAlign w:val="top"/>
          </w:tcPr>
          <w:p>
            <w:pPr>
              <w:jc w:val="left"/>
            </w:pPr>
            <w:r>
              <w:rPr>
                <w:b/>
                <w:bCs/>
              </w:rPr>
              <w:t>跨端同步</w:t>
            </w:r>
          </w:p>
        </w:tc>
        <w:tc>
          <w:tcPr>
            <w:tcW w:w="3000" w:type="dxa"/>
            <w:vAlign w:val="top"/>
          </w:tcPr>
          <w:p>
            <w:pPr>
              <w:jc w:val="left"/>
            </w:pPr>
            <w:r>
              <w:rPr/>
              <w:t>提供云端存储（免费 3GB，VIP 最高 50GB），支持多端同步，创作无缝衔接</w:t>
            </w:r>
          </w:p>
        </w:tc>
        <w:tc>
          <w:tcPr>
            <w:tcW w:w="3000" w:type="dxa"/>
            <w:vAlign w:val="top"/>
          </w:tcPr>
          <w:p>
            <w:pPr>
              <w:jc w:val="left"/>
            </w:pPr>
            <w:r>
              <w:rPr/>
              <w:t>无自带跨端同步功能，需借助第三方云存储并复杂配置</w:t>
            </w:r>
          </w:p>
        </w:tc>
      </w:tr>
      <w:tr>
        <w:tblPrEx/>
        <w:trPr>
          <w:trHeight w:val="600"/>
        </w:trPr>
        <w:tc>
          <w:tcPr>
            <w:tcW w:w="3000" w:type="dxa"/>
            <w:vAlign w:val="top"/>
          </w:tcPr>
          <w:p>
            <w:pPr>
              <w:jc w:val="left"/>
            </w:pPr>
            <w:r>
              <w:rPr>
                <w:b/>
                <w:bCs/>
              </w:rPr>
              <w:t>社区生态</w:t>
            </w:r>
          </w:p>
        </w:tc>
        <w:tc>
          <w:tcPr>
            <w:tcW w:w="3000" w:type="dxa"/>
            <w:vAlign w:val="top"/>
          </w:tcPr>
          <w:p>
            <w:pPr>
              <w:jc w:val="left"/>
            </w:pPr>
            <w:r>
              <w:rPr/>
              <w:t>集作品展示、模型分享、交流互动、版权保护与作品售卖于一体的完整生态链</w:t>
            </w:r>
          </w:p>
        </w:tc>
        <w:tc>
          <w:tcPr>
            <w:tcW w:w="3000" w:type="dxa"/>
            <w:vAlign w:val="top"/>
          </w:tcPr>
          <w:p>
            <w:pPr>
              <w:jc w:val="left"/>
            </w:pPr>
            <w:r>
              <w:rPr/>
              <w:t>社区以模型分享为主，生态完整性与商业化支持较弱</w:t>
            </w:r>
          </w:p>
        </w:tc>
      </w:tr>
    </w:tbl>
    <w:p>
      <w:pPr>
        <w:pStyle w:val="4"/>
        <w:jc w:val="left"/>
      </w:pPr>
      <w:r>
        <w:rPr/>
        <w:t>社区生态</w:t>
      </w:r>
    </w:p>
    <w:p>
      <w:pPr>
        <w:pStyle w:val="5"/>
        <w:jc w:val="left"/>
      </w:pPr>
      <w:r>
        <w:rPr/>
        <w:t>丰富的作品灵感和模型社区</w:t>
      </w:r>
    </w:p>
    <w:p>
      <w:pPr>
        <w:jc w:val="left"/>
      </w:pPr>
      <w:r>
        <w:rPr/>
        <w:t>平台汇聚了海量的 AI 模型和创作作品，涵盖多种风格和领域，为用户提供源源不断的创作灵感和丰富资源，助力用户激发创作灵感。</w:t>
      </w:r>
    </w:p>
    <w:p>
      <w:pPr>
        <w:pStyle w:val="5"/>
        <w:jc w:val="left"/>
      </w:pPr>
      <w:r>
        <w:rPr/>
        <w:t>社区互动与分享</w:t>
      </w:r>
    </w:p>
    <w:p>
      <w:pPr>
        <w:jc w:val="left"/>
      </w:pPr>
      <w:r>
        <w:rPr/>
        <w:t>用户可在平台上自由分享自己的作品和模型，与其他创作者交流心得、互相学习，共同探索 AI 绘画的无限潜力，形成活跃的技术交流与内容共创氛围。例如用户可以评论、收藏、复现他人工作流 。</w:t>
      </w:r>
    </w:p>
    <w:p>
      <w:pPr>
        <w:pStyle w:val="5"/>
        <w:jc w:val="left"/>
      </w:pPr>
      <w:r>
        <w:rPr/>
        <w:t>版权和售卖生态链</w:t>
      </w:r>
    </w:p>
    <w:p>
      <w:pPr>
        <w:jc w:val="left"/>
      </w:pPr>
      <w:r>
        <w:rPr/>
        <w:t>不仅提供创作和分享服务，还构建了包括版权保护和作品售卖在内的完整生态链，切实保障创作者的合法权益，激励创作者积极产出优质内容 。</w:t>
      </w:r>
    </w:p>
    <w:p>
      <w:pPr>
        <w:pStyle w:val="4"/>
        <w:jc w:val="left"/>
      </w:pPr>
      <w:r>
        <w:rPr/>
        <w:t>发展历程与融资情况</w:t>
      </w:r>
    </w:p>
    <w:p>
      <w:pPr>
        <w:jc w:val="left"/>
      </w:pPr>
      <w:r>
        <w:rPr/>
        <w:t>Liblib AI 在一年内已完成三轮融资，总金额达数亿元人民币，此融资规模为国内 AI 图像赛道最大。天使轮由源码资本、高榕创投和金沙江创投投资；第二轮由战略投资方领投；最新一轮由明势资本领投，老股东持续多轮加持，远识资本担任多轮融资的独家财务顾问。融资主要用于构建大规模算力中台，支撑海量用户推理和训练算力需求；基于图像模型的插件、微调模型和控制能力的研发；开发者生态和原创模型作者的支持和运营 。2024 年 2 月，LiblibAI 通过了国家互联网信息办公室第四批深度合成服务算法备案；同年 3 月，成为国内首家通过国家《生成式人工智能服务管理暂行办法》备案的 AI 社区 。</w:t>
      </w:r>
    </w:p>
    <w:p>
      <w:pPr>
        <w:pStyle w:val="4"/>
        <w:jc w:val="left"/>
      </w:pPr>
      <w:r>
        <w:rPr/>
        <w:t>市场地位与用户规模</w:t>
      </w:r>
    </w:p>
    <w:p>
      <w:pPr>
        <w:jc w:val="left"/>
      </w:pPr>
      <w:r>
        <w:rPr/>
        <w:t>在短短一年时间内，LiblibAI 已经积累了近 1000 万专业的 AI 图像创作者，用户量位居国内第一；社区的原创模型数超过 10 万，生产并分享了超过 2.3 亿张 AI 图片，成为中国最大的 AI 图像生成平台 。凭借 “工具 + 社区” 的差异化定位，在 AI 创作赛道中展现出强劲竞争力，通过云端算力与本地化工具结合，降低专业创作门槛，其中文界面与本土风格模型库精准契合国内市场 。</w:t>
      </w:r>
    </w:p>
    <w:p>
      <w:pPr>
        <w:jc w:val="left"/>
      </w:pPr>
    </w:p>
    <w:p>
      <w:pPr>
        <w:pStyle w:val="4"/>
        <w:jc w:val="left"/>
      </w:pPr>
      <w:r>
        <w:rPr/>
        <w:t>总结</w:t>
      </w:r>
    </w:p>
    <w:p>
      <w:pPr>
        <w:jc w:val="left"/>
      </w:pPr>
      <w:r>
        <w:rPr/>
        <w:t>Liblib AI 凭借其强大的功能、活跃的社区生态、雄厚的资金支持以及领先的市场地位，已成为国内 AI 图像创作领域的佼佼者。未来，随着技术的持续创新和生态的不断完善，有望在推动 AI 在内容创意行业的广泛应用与发展中发挥更为重要的作用 。</w:t>
      </w:r>
    </w:p>
    <w:p>
      <w:pPr>
        <w:jc w:val="left"/>
      </w:pPr>
    </w:p>
    <w:p>
      <w:pPr>
        <w:pStyle w:val="4"/>
        <w:jc w:val="left"/>
      </w:pPr>
      <w:r>
        <w:rPr/>
        <w:t>liblib网址：</w:t>
      </w:r>
    </w:p>
    <w:p>
      <w:pPr>
        <w:jc w:val="left"/>
      </w:pPr>
      <w:r>
        <w:rPr/>
        <w:fldChar w:fldCharType="begin"/>
      </w:r>
      <w:r>
        <w:rPr/>
        <w:instrText xml:space="preserve"> HYPERLINK "https://www.liblib.art" </w:instrText>
      </w:r>
      <w:r>
        <w:rPr/>
        <w:fldChar w:fldCharType="separate"/>
      </w:r>
      <w:r>
        <w:rPr>
          <w:rStyle w:val="10"/>
        </w:rPr>
        <w:t>https://www.liblib.art</w:t>
      </w:r>
      <w:r>
        <w:rPr/>
        <w:fldChar w:fldCharType="end"/>
      </w:r>
    </w:p>
    <w:p>
      <w:pPr>
        <w:pStyle w:val="4"/>
        <w:jc w:val="left"/>
      </w:pPr>
      <w:r>
        <w:rPr/>
        <w:t>敦煌风格提示词：</w:t>
      </w:r>
    </w:p>
    <w:p>
      <w:pPr>
        <w:jc w:val="left"/>
      </w:pPr>
      <w:r>
        <w:rPr/>
        <w:t>{Dunhuang frescoes of immortals seem to come out of the paintings,emitting light,flying between the frescoes. Typical Dunhuang color scheme,very colorful,flat view perspective,embellished with gold leaf,classical Chinese style,very aesthetic,simple picture subject highlights,high resolution,there are many traditional Chinese elements,ink style,heavy feeling.},</w:t>
      </w:r>
    </w:p>
    <w:sectPr>
      <w:pgSz w:w="12606" w:h="16838" w:orient="portrait"/>
      <w:pgMar w:top="1440" w:right="2503" w:bottom="1440" w:left="1803" w:header="13" w:footer="13" w:gutter="0"/>
      <w:cols w:space="0" w:num="1"/>
      <w:docGrid w:type="lines"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auto"/>
    <w:pitch w:val="default"/>
    <w:sig w:usb0="80000287" w:usb1="2ACF3C50" w:usb2="00000016" w:usb3="00000000" w:csb0="0004001F" w:csb1="00000000"/>
  </w:font>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Segoe UI Emoji">
    <w:altName w:val="Noto Color Emoji"/>
    <w:panose1 w:val="020B0502040204020203"/>
    <w:charset w:val="00"/>
    <w:family w:val="auto"/>
    <w:pitch w:val="default"/>
    <w:sig w:usb0="00000001" w:usb1="02000000" w:usb2="00000000" w:usb3="00000000" w:csb0="00000001" w:csb1="00000000"/>
  </w:font>
</w:fonts>
</file>

<file path=word/numbering.xml><?xml version="1.0" encoding="utf-8"?>
<w:numbering xmlns:r="http://schemas.openxmlformats.org/officeDocument/2006/relationships" xmlns:w="http://schemas.openxmlformats.org/wordprocessingml/2006/main">
  <w:abstractNum w:abstractNumId="1">
    <w:nsid w:val="20000001"/>
    <w:multiLevelType w:val="singleLevel"/>
    <w:tmpl w:val="20000001"/>
    <w:lvl w:ilvl="0" w:tentative="0">
      <w:start w:val="1"/>
      <w:numFmt w:val="decimal"/>
      <w:pStyle w:val="15"/>
      <w:suff w:val="space"/>
      <w:lvlText w:val="%1 "/>
      <w:lvlJc w:val="right"/>
      <w:pPr/>
      <w:rPr>
        <w:rFonts w:ascii="微软雅黑" w:hAnsi="微软雅黑" w:eastAsia="微软雅黑" w:cs="微软雅黑"/>
        <w:color w:val="C0C6CF"/>
        <w:sz w:val="16"/>
      </w:rPr>
    </w:lvl>
  </w:abstractNum>
  <w:abstractNum w:abstractNumId="2">
    <w:nsid w:val="20000002"/>
    <w:multiLevelType w:val="multilevel"/>
    <w:tmpl w:val="20000002"/>
    <w:lvl w:ilvl="0" w:tentative="0">
      <w:start w:val="1"/>
      <w:numFmt w:val="bullet"/>
      <w:lvlText w:val=""/>
      <w:pPr>
        <w:ind w:left="420" w:hanging="420"/>
      </w:pPr>
      <w:rPr>
        <w:rFonts w:ascii="Wingdings" w:hAnsi="Wingdings" w:eastAsia="Wingdings" w:cs="Wingdings"/>
      </w:rPr>
    </w:lvl>
    <w:lvl w:ilvl="1" w:tentative="0">
      <w:start w:val="1"/>
      <w:numFmt w:val="bullet"/>
      <w:lvlText w:val="¢"/>
      <w:pPr>
        <w:ind w:left="840" w:hanging="420"/>
      </w:pPr>
      <w:rPr>
        <w:rFonts w:ascii="Wingdings" w:hAnsi="Wingdings" w:eastAsia="Wingdings" w:cs="Wingdings"/>
      </w:rPr>
    </w:lvl>
    <w:lvl w:ilvl="2" w:tentative="0">
      <w:start w:val="1"/>
      <w:numFmt w:val="bullet"/>
      <w:lvlText w:val=""/>
      <w:pPr>
        <w:ind w:left="1260" w:hanging="420"/>
      </w:pPr>
      <w:rPr>
        <w:rFonts w:ascii="Wingdings" w:hAnsi="Wingdings" w:eastAsia="Wingdings" w:cs="Wingdings"/>
      </w:rPr>
    </w:lvl>
    <w:lvl w:ilvl="3" w:tentative="0">
      <w:start w:val="1"/>
      <w:numFmt w:val="bullet"/>
      <w:lvlText w:val=""/>
      <w:pPr>
        <w:ind w:left="1680" w:hanging="420"/>
      </w:pPr>
      <w:rPr>
        <w:rFonts w:ascii="Wingdings" w:hAnsi="Wingdings" w:eastAsia="Wingdings" w:cs="Wingdings"/>
      </w:rPr>
    </w:lvl>
    <w:lvl w:ilvl="4" w:tentative="0">
      <w:start w:val="1"/>
      <w:numFmt w:val="bullet"/>
      <w:lvlText w:val="¢"/>
      <w:pPr>
        <w:ind w:left="2100" w:hanging="420"/>
      </w:pPr>
      <w:rPr>
        <w:rFonts w:ascii="Wingdings" w:hAnsi="Wingdings" w:eastAsia="Wingdings" w:cs="Wingdings"/>
      </w:rPr>
    </w:lvl>
    <w:lvl w:ilvl="5" w:tentative="0">
      <w:start w:val="1"/>
      <w:numFmt w:val="bullet"/>
      <w:lvlText w:val=""/>
      <w:pPr>
        <w:ind w:left="2520" w:hanging="420"/>
      </w:pPr>
      <w:rPr>
        <w:rFonts w:ascii="Wingdings" w:hAnsi="Wingdings" w:eastAsia="Wingdings" w:cs="Wingdings"/>
      </w:rPr>
    </w:lvl>
    <w:lvl w:ilvl="6" w:tentative="0">
      <w:start w:val="1"/>
      <w:numFmt w:val="bullet"/>
      <w:lvlText w:val=""/>
      <w:pPr>
        <w:ind w:left="2940" w:hanging="420"/>
      </w:pPr>
      <w:rPr>
        <w:rFonts w:ascii="Wingdings" w:hAnsi="Wingdings" w:eastAsia="Wingdings" w:cs="Wingdings"/>
      </w:rPr>
    </w:lvl>
    <w:lvl w:ilvl="7" w:tentative="0">
      <w:start w:val="1"/>
      <w:numFmt w:val="bullet"/>
      <w:lvlText w:val="¢"/>
      <w:pPr>
        <w:ind w:left="3360" w:hanging="420"/>
      </w:pPr>
      <w:rPr>
        <w:rFonts w:ascii="Wingdings" w:hAnsi="Wingdings" w:eastAsia="Wingdings" w:cs="Wingding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42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name w:val="Normal"/>
    <w:uiPriority w:val="0"/>
    <w:qFormat/>
    <w:pPr>
      <w:textAlignment w:val="baseline"/>
    </w:pPr>
    <w:rPr>
      <w:rFonts w:ascii="微软雅黑" w:hAnsi="微软雅黑" w:eastAsia="微软雅黑" w:cs="微软雅黑"/>
      <w:color w:val="080f17"/>
      <w:sz w:val="22"/>
    </w:rPr>
  </w:style>
  <w:style w:type="paragraph" w:styleId="2">
    <w:name w:val="MainTitle"/>
    <w:basedOn w:val="1"/>
    <w:uiPriority w:val="0"/>
    <w:qFormat/>
    <w:pPr>
      <w:pBdr>
        <w:bottom w:val="single" w:color="e2e6ed" w:sz="6" w:space="5"/>
      </w:pBdr>
      <w:spacing w:before="180" w:after="480" w:line="780" w:lineRule="exact"/>
    </w:pPr>
    <w:rPr>
      <w:b/>
      <w:sz w:val="44"/>
    </w:rPr>
  </w:style>
  <w:style w:type="paragraph" w:styleId="3">
    <w:name w:val="heading 1"/>
    <w:basedOn w:val="1"/>
    <w:uiPriority w:val="0"/>
    <w:qFormat/>
    <w:pPr>
      <w:spacing w:before="390" w:after="120" w:line="634" w:lineRule="exact"/>
      <w:outlineLvl w:val="0"/>
    </w:pPr>
    <w:rPr>
      <w:b/>
      <w:sz w:val="38"/>
    </w:rPr>
  </w:style>
  <w:style w:type="paragraph" w:styleId="4">
    <w:name w:val="heading 2"/>
    <w:basedOn w:val="1"/>
    <w:uiPriority w:val="0"/>
    <w:qFormat/>
    <w:pPr>
      <w:spacing w:before="330" w:after="120" w:line="536" w:lineRule="exact"/>
      <w:outlineLvl w:val="1"/>
    </w:pPr>
    <w:rPr>
      <w:b/>
      <w:sz w:val="32"/>
    </w:rPr>
  </w:style>
  <w:style w:type="paragraph" w:styleId="5">
    <w:name w:val="heading 3"/>
    <w:basedOn w:val="1"/>
    <w:uiPriority w:val="0"/>
    <w:qFormat/>
    <w:pPr>
      <w:spacing w:before="300" w:after="120" w:line="488" w:lineRule="exact"/>
      <w:outlineLvl w:val="2"/>
    </w:pPr>
    <w:rPr>
      <w:b/>
      <w:sz w:val="30"/>
    </w:rPr>
  </w:style>
  <w:style w:type="paragraph" w:styleId="6">
    <w:name w:val="heading 4"/>
    <w:basedOn w:val="1"/>
    <w:uiPriority w:val="0"/>
    <w:qFormat/>
    <w:pPr>
      <w:spacing w:before="270" w:after="120" w:line="439" w:lineRule="exact"/>
      <w:outlineLvl w:val="3"/>
    </w:pPr>
    <w:rPr>
      <w:b/>
      <w:sz w:val="26"/>
    </w:rPr>
  </w:style>
  <w:style w:type="paragraph" w:styleId="7">
    <w:name w:val="heading 5"/>
    <w:basedOn w:val="1"/>
    <w:uiPriority w:val="0"/>
    <w:qFormat/>
    <w:pPr>
      <w:spacing w:before="240" w:after="120" w:line="390" w:lineRule="exact"/>
      <w:outlineLvl w:val="4"/>
    </w:pPr>
    <w:rPr>
      <w:b/>
      <w:sz w:val="22"/>
    </w:rPr>
  </w:style>
  <w:style w:type="paragraph" w:styleId="8">
    <w:name w:val="heading 6"/>
    <w:basedOn w:val="1"/>
    <w:uiPriority w:val="0"/>
    <w:qFormat/>
    <w:pPr>
      <w:spacing w:before="240" w:after="120" w:line="390" w:lineRule="exact"/>
      <w:outlineLvl w:val="5"/>
    </w:pPr>
    <w:rPr>
      <w:b/>
      <w:sz w:val="22"/>
    </w:rPr>
  </w:style>
  <w:style w:type="table" w:styleId="9">
    <w:name w:val="Table Grid"/>
    <w:basedOn w:val="1"/>
    <w:uiPriority w:val="0"/>
    <w:qFormat/>
    <w:rPr/>
    <w:tblPr>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left w:w="108" w:type="dxa"/>
        <w:right w:w="108" w:type="dxa"/>
      </w:tblCellMar>
    </w:tblPr>
  </w:style>
  <w:style w:type="character" w:styleId="10">
    <w:name w:val="Hyperlink"/>
    <w:uiPriority w:val="0"/>
    <w:qFormat/>
    <w:rPr>
      <w:color w:val="0A6CFF"/>
      <w:u w:val="single" w:color="0A6CFF"/>
    </w:rPr>
  </w:style>
  <w:style w:type="character" w:styleId="11">
    <w:name w:val="DateTime"/>
    <w:uiPriority w:val="0"/>
    <w:qFormat/>
    <w:rPr>
      <w:color w:val="0A6CFF"/>
    </w:rPr>
  </w:style>
  <w:style w:type="paragraph" w:styleId="12">
    <w:name w:val="Blockquote"/>
    <w:basedOn w:val="1"/>
    <w:uiPriority w:val="0"/>
    <w:qFormat/>
    <w:pPr>
      <w:pBdr>
        <w:left w:val="single" w:color="e2e6ed" w:sz="36" w:space="12"/>
      </w:pBdr>
      <w:ind w:left="330" w:firstLine="0"/>
    </w:pPr>
    <w:rPr>
      <w:color w:val="767c85"/>
      <w:sz w:val="22"/>
    </w:rPr>
  </w:style>
  <w:style w:type="character" w:styleId="13">
    <w:name w:val="Code"/>
    <w:uiPriority w:val="0"/>
    <w:qFormat/>
    <w:rPr>
      <w:bdr w:val="single" w:color="e2e6ed" w:sz="6"/>
    </w:rPr>
  </w:style>
  <w:style w:type="character" w:styleId="14">
    <w:name w:val="Emoji"/>
    <w:uiPriority w:val="0"/>
    <w:qFormat/>
    <w:rPr>
      <w:rFonts w:ascii="Segoe UI Emoji" w:hAnsi="Segoe UI Emoji" w:eastAsia="Segoe UI Emoji" w:cs="Segoe UI Emoji"/>
    </w:rPr>
  </w:style>
  <w:style w:type="paragraph" w:styleId="15">
    <w:name w:val="CodeBlock"/>
    <w:basedOn w:val="1"/>
    <w:uiPriority w:val="0"/>
    <w:qFormat/>
    <w:pPr>
      <w:numPr>
        <w:ilvl w:val="0"/>
        <w:numId w:val="1"/>
      </w:numPr>
      <w:pBdr>
        <w:top w:val="single" w:color="e2e6ed" w:sz="6" w:space="8"/>
        <w:left w:val="single" w:color="e2e6ed" w:sz="6" w:space="26"/>
        <w:bottom w:val="single" w:color="e2e6ed" w:sz="6" w:space="8"/>
        <w:right w:val="single" w:color="e2e6ed" w:sz="6" w:space="0"/>
      </w:pBdr>
      <w:shd w:val="clear" w:color="ffffff" w:fill="f5f7f9"/>
      <w:spacing w:before="0" w:after="0" w:line="300" w:lineRule="exact"/>
      <w:ind w:left="540" w:firstLine="0"/>
    </w:pPr>
    <w:rPr>
      <w:sz w:val="18"/>
    </w:rPr>
  </w:style>
  <w:style w:type="table" w:styleId="16">
    <w:name w:val="HighlightBlock"/>
    <w:basedOn w:val="1"/>
    <w:uiPriority w:val="0"/>
    <w:qFormat/>
    <w:rPr/>
    <w:tblPr>
      <w:tblInd w:w="120" w:type="dxa"/>
      <w:tblBorders>
        <w:top w:val="single" w:color="FEC794" w:sz="6" w:space="0"/>
        <w:left w:val="single" w:color="FEC794" w:sz="6" w:space="0"/>
        <w:bottom w:val="single" w:color="FEC794" w:sz="6" w:space="0"/>
        <w:right w:val="single" w:color="FEC794" w:sz="6" w:space="0"/>
        <w:insideH w:val="single" w:color="FEC794" w:sz="6" w:space="0"/>
        <w:insideV w:val="single" w:color="FEC794" w:sz="6" w:space="0"/>
      </w:tblBorders>
      <w:shd w:val="clear" w:color="ffffff" w:fill="FAF1E6"/>
      <w:tblCellMar>
        <w:left w:w="108" w:type="dxa"/>
        <w:right w:w="108" w:type="dxa"/>
      </w:tblCellMar>
    </w:tblPr>
  </w:style>
  <w:style w:type="paragraph" w:styleId="17">
    <w:name w:val="Seperate"/>
    <w:basedOn w:val="1"/>
    <w:uiPriority w:val="0"/>
    <w:qFormat/>
    <w:pPr>
      <w:spacing w:before="0" w:after="0" w:line="120" w:lineRule="exact"/>
    </w:pPr>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LinksUpToDate>false</LinksUpToDate>
  <Application>WPS Office</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webotl</dc:creator>
  <cp:lastModifiedBy>webotl</cp:lastModifiedBy>
  <dcterms:created xsi:type="dcterms:W3CDTF">2025-05-17T16:35:33Z</dcterms:created>
  <dcterms:modified xsi:type="dcterms:W3CDTF">2025-05-17T16:35:33Z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webotl</vt:lpwstr>
  </property>
</Properties>
</file>