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FACC" w14:textId="77777777" w:rsidR="00793C09" w:rsidRPr="00793C09" w:rsidRDefault="00793C09" w:rsidP="007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AN ADAPTED EVIDENCE-BASED CLINICAL PRACTICE GUIDELINE</w:t>
      </w:r>
    </w:p>
    <w:p w14:paraId="43DA62F7" w14:textId="77777777" w:rsidR="00793C09" w:rsidRDefault="00793C09" w:rsidP="007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ON</w:t>
      </w:r>
    </w:p>
    <w:p w14:paraId="356E5D19" w14:textId="64691611" w:rsidR="00793C09" w:rsidRPr="00793C09" w:rsidRDefault="00793C09" w:rsidP="00793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right="26"/>
        <w:contextualSpacing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793C09">
        <w:rPr>
          <w:rFonts w:ascii="Calibri" w:eastAsia="Calibri" w:hAnsi="Calibri" w:cs="Calibri"/>
          <w:b/>
          <w:bCs/>
          <w:sz w:val="32"/>
          <w:szCs w:val="32"/>
        </w:rPr>
        <w:t>PRETERM PRELABOR RUPTURE OF MEMBRANES</w:t>
      </w:r>
    </w:p>
    <w:p w14:paraId="0F0B194F" w14:textId="77777777" w:rsid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</w:p>
    <w:p w14:paraId="7F1BCD86" w14:textId="2E806763" w:rsidR="00793C09" w:rsidRP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Overview</w:t>
      </w:r>
    </w:p>
    <w:p w14:paraId="68A87767" w14:textId="77777777" w:rsidR="00793C09" w:rsidRPr="00793C09" w:rsidRDefault="00793C09" w:rsidP="00793C09">
      <w:pPr>
        <w:spacing w:after="120" w:line="276" w:lineRule="auto"/>
        <w:ind w:right="-390"/>
        <w:jc w:val="lowKashida"/>
        <w:rPr>
          <w:rFonts w:ascii="Calibri" w:eastAsia="Calibri" w:hAnsi="Calibri" w:cs="Calibri"/>
          <w:color w:val="FF0000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is an adapted evidence-based clinical practice guideline for the management of antepartum hemorrhage</w:t>
      </w:r>
      <w:r w:rsidRPr="00793C09">
        <w:rPr>
          <w:rFonts w:ascii="Calibri" w:eastAsia="Calibri" w:hAnsi="Calibri" w:cs="Calibri"/>
          <w:color w:val="FF0000"/>
          <w:sz w:val="22"/>
          <w:szCs w:val="22"/>
        </w:rPr>
        <w:t>.</w:t>
      </w:r>
    </w:p>
    <w:p w14:paraId="21F98FA6" w14:textId="77777777" w:rsidR="00793C09" w:rsidRP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adapter</w:t>
      </w:r>
    </w:p>
    <w:p w14:paraId="7E0895FD" w14:textId="77777777" w:rsidR="00793C09" w:rsidRPr="00793C09" w:rsidRDefault="00793C09" w:rsidP="00793C09">
      <w:pPr>
        <w:widowControl w:val="0"/>
        <w:autoSpaceDE w:val="0"/>
        <w:autoSpaceDN w:val="0"/>
        <w:adjustRightInd w:val="0"/>
        <w:spacing w:after="120" w:line="276" w:lineRule="auto"/>
        <w:ind w:right="-390"/>
        <w:jc w:val="lowKashida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has been adapted by the Egyptian Universities Obstetrics &amp; Gynecology Guideline Working Group (EUOBGYN-GWG).</w:t>
      </w:r>
    </w:p>
    <w:p w14:paraId="2A6EFE14" w14:textId="77777777" w:rsidR="00793C09" w:rsidRP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 xml:space="preserve">Release date </w:t>
      </w:r>
    </w:p>
    <w:p w14:paraId="7F15FFC8" w14:textId="77777777" w:rsidR="00793C09" w:rsidRPr="00793C09" w:rsidRDefault="00793C09" w:rsidP="00793C09">
      <w:pPr>
        <w:spacing w:after="120" w:line="276" w:lineRule="auto"/>
        <w:ind w:right="-390"/>
        <w:jc w:val="lowKashida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July 2023</w:t>
      </w:r>
    </w:p>
    <w:p w14:paraId="0A02968B" w14:textId="77777777" w:rsidR="00793C09" w:rsidRP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GUIDELINE ADAPTATION METHODOLOGY</w:t>
      </w:r>
    </w:p>
    <w:p w14:paraId="205601C7" w14:textId="77777777" w:rsidR="00793C09" w:rsidRPr="00793C09" w:rsidRDefault="00793C09" w:rsidP="00793C09">
      <w:pPr>
        <w:spacing w:after="120" w:line="276" w:lineRule="auto"/>
        <w:ind w:right="-390"/>
        <w:jc w:val="lowKashida"/>
        <w:rPr>
          <w:rFonts w:ascii="Calibri" w:eastAsia="Calibri" w:hAnsi="Calibri" w:cs="Calibri"/>
          <w:sz w:val="22"/>
          <w:szCs w:val="22"/>
        </w:rPr>
      </w:pPr>
      <w:r w:rsidRPr="00793C09">
        <w:rPr>
          <w:rFonts w:ascii="Calibri" w:eastAsia="Calibri" w:hAnsi="Calibri" w:cs="Calibri"/>
          <w:sz w:val="22"/>
          <w:szCs w:val="22"/>
        </w:rPr>
        <w:t>This guideline was produced in accordance with the ADAPTE methodology and procedure for the adaptation of evidence-based clinical practice guidelines published by the ADAPTE Group (Fervers B, et al., Adaptation of clinical guidelines: literature review and proposition for a framework and procedure.  Int J Qual Health Care 2006; 18(3): 167-176).</w:t>
      </w:r>
    </w:p>
    <w:p w14:paraId="1E8EFA60" w14:textId="77777777" w:rsidR="00793C09" w:rsidRPr="00793C09" w:rsidRDefault="00793C09" w:rsidP="00793C09">
      <w:pPr>
        <w:autoSpaceDE w:val="0"/>
        <w:autoSpaceDN w:val="0"/>
        <w:adjustRightInd w:val="0"/>
        <w:spacing w:before="240" w:after="120" w:line="276" w:lineRule="auto"/>
        <w:ind w:right="-390"/>
        <w:jc w:val="lowKashida"/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</w:pPr>
      <w:r w:rsidRPr="00793C09">
        <w:rPr>
          <w:rFonts w:ascii="Calibri" w:eastAsia="Calibri" w:hAnsi="Calibri" w:cs="Calibri"/>
          <w:b/>
          <w:bCs/>
          <w:caps/>
          <w:sz w:val="24"/>
          <w:szCs w:val="24"/>
          <w:lang w:bidi="ar-EG"/>
        </w:rPr>
        <w:t>sources of the guideline</w:t>
      </w:r>
    </w:p>
    <w:p w14:paraId="6E27E880" w14:textId="77777777" w:rsidR="00793C09" w:rsidRDefault="00793C09" w:rsidP="00793C09">
      <w:pPr>
        <w:autoSpaceDE w:val="0"/>
        <w:autoSpaceDN w:val="0"/>
        <w:adjustRightInd w:val="0"/>
        <w:spacing w:after="120" w:line="276" w:lineRule="auto"/>
        <w:ind w:right="-390"/>
        <w:jc w:val="lowKashida"/>
        <w:rPr>
          <w:rFonts w:ascii="Calibri" w:eastAsia="Calibri" w:hAnsi="Calibri" w:cs="Calibri"/>
          <w:b/>
          <w:bCs/>
          <w:sz w:val="22"/>
          <w:szCs w:val="22"/>
          <w:lang w:bidi="ar-EG"/>
        </w:rPr>
      </w:pPr>
      <w:r w:rsidRPr="00793C09">
        <w:rPr>
          <w:rFonts w:ascii="Calibri" w:eastAsia="Calibri" w:hAnsi="Calibri" w:cs="Calibri"/>
          <w:b/>
          <w:bCs/>
          <w:sz w:val="22"/>
          <w:szCs w:val="22"/>
          <w:lang w:bidi="ar-EG"/>
        </w:rPr>
        <w:t>This guideline was adapted from:</w:t>
      </w:r>
    </w:p>
    <w:p w14:paraId="6A974240" w14:textId="77777777" w:rsidR="001E3D20" w:rsidRDefault="001E3D20" w:rsidP="001E3D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rPr>
          <w:rFonts w:asciiTheme="minorHAnsi" w:hAnsiTheme="minorHAnsi" w:cstheme="minorHAnsi"/>
          <w:sz w:val="22"/>
          <w:szCs w:val="22"/>
        </w:rPr>
      </w:pPr>
      <w:r w:rsidRPr="00F4460D">
        <w:rPr>
          <w:rFonts w:asciiTheme="minorHAnsi" w:hAnsiTheme="minorHAnsi" w:cstheme="minorHAnsi"/>
          <w:sz w:val="22"/>
          <w:szCs w:val="22"/>
        </w:rPr>
        <w:t>National Institute for Health and Care Excellence. (20</w:t>
      </w:r>
      <w:r>
        <w:rPr>
          <w:rFonts w:asciiTheme="minorHAnsi" w:hAnsiTheme="minorHAnsi" w:cstheme="minorHAnsi"/>
          <w:sz w:val="22"/>
          <w:szCs w:val="22"/>
        </w:rPr>
        <w:t>22</w:t>
      </w:r>
      <w:r w:rsidRPr="00F4460D">
        <w:rPr>
          <w:rFonts w:asciiTheme="minorHAnsi" w:hAnsiTheme="minorHAnsi" w:cstheme="minorHAnsi"/>
          <w:sz w:val="22"/>
          <w:szCs w:val="22"/>
        </w:rPr>
        <w:t>). Preterm labour and birth [N</w:t>
      </w:r>
      <w:r>
        <w:rPr>
          <w:rFonts w:asciiTheme="minorHAnsi" w:hAnsiTheme="minorHAnsi" w:cstheme="minorHAnsi"/>
          <w:sz w:val="22"/>
          <w:szCs w:val="22"/>
        </w:rPr>
        <w:t>G</w:t>
      </w:r>
      <w:r w:rsidRPr="00F4460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25</w:t>
      </w:r>
      <w:r w:rsidRPr="00F4460D">
        <w:rPr>
          <w:rFonts w:asciiTheme="minorHAnsi" w:hAnsiTheme="minorHAnsi" w:cstheme="minorHAnsi"/>
          <w:sz w:val="22"/>
          <w:szCs w:val="22"/>
        </w:rPr>
        <w:t>].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5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https://www.nice.org.uk/guidance/ng143</w:t>
        </w:r>
      </w:hyperlink>
    </w:p>
    <w:p w14:paraId="2D069173" w14:textId="77777777" w:rsidR="001E3D20" w:rsidRDefault="001E3D20" w:rsidP="001E3D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Queensland clinical guidelines (2022). </w:t>
      </w:r>
      <w:r w:rsidRPr="00CA3201">
        <w:rPr>
          <w:rFonts w:asciiTheme="minorHAnsi" w:hAnsiTheme="minorHAnsi" w:cstheme="minorHAnsi"/>
          <w:sz w:val="22"/>
          <w:szCs w:val="22"/>
        </w:rPr>
        <w:t xml:space="preserve">Preterm </w:t>
      </w:r>
      <w:proofErr w:type="spellStart"/>
      <w:r w:rsidRPr="00CA3201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A3201">
        <w:rPr>
          <w:rFonts w:asciiTheme="minorHAnsi" w:hAnsiTheme="minorHAnsi" w:cstheme="minorHAnsi"/>
          <w:sz w:val="22"/>
          <w:szCs w:val="22"/>
        </w:rPr>
        <w:t xml:space="preserve"> rupture of membranes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</w:r>
      <w:hyperlink r:id="rId6" w:history="1">
        <w:r w:rsidRPr="0053605A">
          <w:rPr>
            <w:rStyle w:val="Hyperlink"/>
            <w:rFonts w:asciiTheme="minorHAnsi" w:hAnsiTheme="minorHAnsi" w:cstheme="minorHAnsi"/>
            <w:sz w:val="22"/>
            <w:szCs w:val="22"/>
          </w:rPr>
          <w:t>https://www.health.qld.gov.au/__data/assets/pdf_file/0035/736964/g-pprom.pdf</w:t>
        </w:r>
      </w:hyperlink>
    </w:p>
    <w:p w14:paraId="2A657A9D" w14:textId="77777777" w:rsidR="001E3D20" w:rsidRDefault="001E3D20" w:rsidP="001E3D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rPr>
          <w:rFonts w:asciiTheme="minorHAnsi" w:hAnsiTheme="minorHAnsi" w:cstheme="minorHAnsi"/>
          <w:sz w:val="22"/>
          <w:szCs w:val="22"/>
        </w:rPr>
      </w:pPr>
      <w:r w:rsidRPr="00C17A02">
        <w:rPr>
          <w:rFonts w:asciiTheme="minorHAnsi" w:hAnsiTheme="minorHAnsi" w:cstheme="minorHAnsi"/>
          <w:sz w:val="22"/>
          <w:szCs w:val="22"/>
        </w:rPr>
        <w:t xml:space="preserve">Ronzoni S,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Boucoiran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I, Yudin MH, </w:t>
      </w:r>
      <w:r>
        <w:rPr>
          <w:rFonts w:asciiTheme="minorHAnsi" w:hAnsiTheme="minorHAnsi" w:cstheme="minorHAnsi"/>
          <w:sz w:val="22"/>
          <w:szCs w:val="22"/>
        </w:rPr>
        <w:t>et al.</w:t>
      </w:r>
      <w:r w:rsidRPr="00C17A0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SOGC Maternal Fetal Medicine Committee, </w:t>
      </w:r>
      <w:r w:rsidRPr="00C17A02">
        <w:rPr>
          <w:rFonts w:asciiTheme="minorHAnsi" w:hAnsiTheme="minorHAnsi" w:cstheme="minorHAnsi"/>
          <w:sz w:val="22"/>
          <w:szCs w:val="22"/>
        </w:rPr>
        <w:t xml:space="preserve">Guideline No. 430: Diagnosis and management of preterm </w:t>
      </w:r>
      <w:proofErr w:type="spellStart"/>
      <w:r w:rsidRPr="00C17A02">
        <w:rPr>
          <w:rFonts w:asciiTheme="minorHAnsi" w:hAnsiTheme="minorHAnsi" w:cstheme="minorHAnsi"/>
          <w:sz w:val="22"/>
          <w:szCs w:val="22"/>
        </w:rPr>
        <w:t>prelabour</w:t>
      </w:r>
      <w:proofErr w:type="spellEnd"/>
      <w:r w:rsidRPr="00C17A02">
        <w:rPr>
          <w:rFonts w:asciiTheme="minorHAnsi" w:hAnsiTheme="minorHAnsi" w:cstheme="minorHAnsi"/>
          <w:sz w:val="22"/>
          <w:szCs w:val="22"/>
        </w:rPr>
        <w:t xml:space="preserve"> rupture of membranes. J Obstet Gynaecol Can. 2022 Nov;44(11):1193-1208.e1</w:t>
      </w:r>
    </w:p>
    <w:p w14:paraId="56560D8C" w14:textId="77777777" w:rsidR="001E3D20" w:rsidRDefault="001E3D20" w:rsidP="001E3D2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rPr>
          <w:rFonts w:asciiTheme="minorHAnsi" w:hAnsiTheme="minorHAnsi" w:cstheme="minorHAnsi"/>
          <w:sz w:val="22"/>
          <w:szCs w:val="22"/>
        </w:rPr>
      </w:pPr>
      <w:r w:rsidRPr="00C17A02">
        <w:rPr>
          <w:rFonts w:asciiTheme="minorHAnsi" w:hAnsiTheme="minorHAnsi" w:cstheme="minorHAnsi"/>
          <w:sz w:val="22"/>
          <w:szCs w:val="22"/>
        </w:rPr>
        <w:t>Prelabor Rupture of Membranes: ACOG Practice Bulletin, Number 217. Obstet Gynecol. 2020 Mar;135(3):e80-e97</w:t>
      </w:r>
    </w:p>
    <w:p w14:paraId="6E041541" w14:textId="3F545D62" w:rsidR="00696E26" w:rsidRPr="00F4460D" w:rsidRDefault="00696E26" w:rsidP="00F4460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20" w:line="276" w:lineRule="auto"/>
        <w:ind w:right="-390"/>
        <w:rPr>
          <w:rFonts w:asciiTheme="minorHAnsi" w:eastAsia="Calibri" w:hAnsiTheme="minorHAnsi" w:cstheme="minorHAnsi"/>
          <w:b/>
          <w:bCs/>
          <w:sz w:val="24"/>
          <w:szCs w:val="24"/>
          <w:lang w:bidi="ar-EG"/>
        </w:rPr>
      </w:pPr>
      <w:r w:rsidRPr="00696E26">
        <w:rPr>
          <w:rFonts w:asciiTheme="minorHAnsi" w:hAnsiTheme="minorHAnsi" w:cstheme="minorHAnsi"/>
          <w:sz w:val="22"/>
          <w:szCs w:val="22"/>
        </w:rPr>
        <w:t xml:space="preserve">Royal College of Obstetricians and </w:t>
      </w:r>
      <w:proofErr w:type="spellStart"/>
      <w:r w:rsidRPr="00696E26">
        <w:rPr>
          <w:rFonts w:asciiTheme="minorHAnsi" w:hAnsiTheme="minorHAnsi" w:cstheme="minorHAnsi"/>
          <w:sz w:val="22"/>
          <w:szCs w:val="22"/>
        </w:rPr>
        <w:t>Gynaecologists</w:t>
      </w:r>
      <w:proofErr w:type="spellEnd"/>
      <w:r w:rsidRPr="00696E26">
        <w:rPr>
          <w:rFonts w:asciiTheme="minorHAnsi" w:hAnsiTheme="minorHAnsi" w:cstheme="minorHAnsi"/>
          <w:sz w:val="22"/>
          <w:szCs w:val="22"/>
        </w:rPr>
        <w:t xml:space="preserve">. </w:t>
      </w:r>
      <w:r w:rsidR="00F4460D" w:rsidRPr="00F4460D">
        <w:rPr>
          <w:rFonts w:asciiTheme="minorHAnsi" w:hAnsiTheme="minorHAnsi" w:cstheme="minorHAnsi"/>
          <w:sz w:val="22"/>
          <w:szCs w:val="22"/>
        </w:rPr>
        <w:t>PROM after 24th weeks’ gestation</w:t>
      </w:r>
      <w:r w:rsidRPr="00696E26">
        <w:rPr>
          <w:rFonts w:asciiTheme="minorHAnsi" w:hAnsiTheme="minorHAnsi" w:cstheme="minorHAnsi"/>
          <w:sz w:val="22"/>
          <w:szCs w:val="22"/>
        </w:rPr>
        <w:t xml:space="preserve">. Green-top Guideline No. </w:t>
      </w:r>
      <w:r w:rsidR="00F4460D">
        <w:rPr>
          <w:rFonts w:asciiTheme="minorHAnsi" w:hAnsiTheme="minorHAnsi" w:cstheme="minorHAnsi"/>
          <w:sz w:val="22"/>
          <w:szCs w:val="22"/>
        </w:rPr>
        <w:t>1</w:t>
      </w:r>
      <w:r w:rsidRPr="00696E26">
        <w:rPr>
          <w:rFonts w:asciiTheme="minorHAnsi" w:hAnsiTheme="minorHAnsi" w:cstheme="minorHAnsi"/>
          <w:sz w:val="22"/>
          <w:szCs w:val="22"/>
        </w:rPr>
        <w:t>. London: RCOG; 201</w:t>
      </w:r>
      <w:r w:rsidR="00F4460D">
        <w:rPr>
          <w:rFonts w:asciiTheme="minorHAnsi" w:hAnsiTheme="minorHAnsi" w:cstheme="minorHAnsi"/>
          <w:sz w:val="22"/>
          <w:szCs w:val="22"/>
        </w:rPr>
        <w:t>9.</w:t>
      </w:r>
    </w:p>
    <w:p w14:paraId="40AF94D8" w14:textId="77777777" w:rsidR="001E3D20" w:rsidRPr="001E3D20" w:rsidRDefault="001E3D20" w:rsidP="001E3D20">
      <w:pPr>
        <w:autoSpaceDE w:val="0"/>
        <w:autoSpaceDN w:val="0"/>
        <w:adjustRightInd w:val="0"/>
        <w:spacing w:after="120" w:line="276" w:lineRule="auto"/>
        <w:ind w:left="360" w:right="-390"/>
        <w:rPr>
          <w:rFonts w:asciiTheme="minorHAnsi" w:hAnsiTheme="minorHAnsi" w:cstheme="minorHAnsi"/>
          <w:sz w:val="22"/>
          <w:szCs w:val="22"/>
        </w:rPr>
      </w:pPr>
    </w:p>
    <w:p w14:paraId="3245D0F1" w14:textId="77777777" w:rsidR="00B308B4" w:rsidRDefault="00B308B4">
      <w:pPr>
        <w:rPr>
          <w:rFonts w:ascii="Calibri Light" w:eastAsiaTheme="majorEastAsia" w:hAnsi="Calibri Light" w:cs="Calibri Light"/>
          <w:color w:val="244061" w:themeColor="accent1" w:themeShade="80"/>
          <w:sz w:val="32"/>
          <w:szCs w:val="32"/>
        </w:rPr>
      </w:pPr>
      <w:r>
        <w:rPr>
          <w:rFonts w:ascii="Calibri Light" w:hAnsi="Calibri Light" w:cs="Calibri Light"/>
          <w:b/>
          <w:bCs/>
          <w:color w:val="244061" w:themeColor="accent1" w:themeShade="80"/>
        </w:rPr>
        <w:br w:type="page"/>
      </w:r>
    </w:p>
    <w:p w14:paraId="66B99205" w14:textId="0F405692" w:rsidR="00DD5385" w:rsidRPr="00DC5057" w:rsidRDefault="00DC5057" w:rsidP="00DC5057">
      <w:pPr>
        <w:pStyle w:val="Heading1"/>
        <w:keepLines/>
        <w:shd w:val="clear" w:color="auto" w:fill="D9D9D9" w:themeFill="background1" w:themeFillShade="D9"/>
        <w:spacing w:after="0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lastRenderedPageBreak/>
        <w:t>Definition:</w:t>
      </w: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 xml:space="preserve"> </w:t>
      </w:r>
    </w:p>
    <w:p w14:paraId="1B4FC379" w14:textId="77777777" w:rsidR="001F5087" w:rsidRPr="00AB52DC" w:rsidRDefault="00DC5057" w:rsidP="001F5087">
      <w:pPr>
        <w:ind w:right="21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Preterm   prelabor   rupture   of   membranes </w:t>
      </w: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(PPROM),</w:t>
      </w:r>
      <w:r w:rsidRPr="00DC5057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 xml:space="preserve"> is   defined   as   the spontaneous rupture of fetal </w:t>
      </w:r>
      <w:r w:rsidRPr="00AB52DC">
        <w:rPr>
          <w:rFonts w:asciiTheme="minorHAnsi" w:hAnsiTheme="minorHAnsi" w:cstheme="minorHAnsi"/>
          <w:sz w:val="22"/>
          <w:szCs w:val="22"/>
        </w:rPr>
        <w:t>membranes before 37 weeks’ gestation, preceding the onset of labor.</w:t>
      </w:r>
    </w:p>
    <w:p w14:paraId="5E8DE191" w14:textId="10EFD54C" w:rsidR="001F5087" w:rsidRDefault="001F5087" w:rsidP="001F5087">
      <w:pPr>
        <w:ind w:right="21"/>
        <w:rPr>
          <w:rFonts w:asciiTheme="minorHAnsi" w:eastAsiaTheme="minorHAnsi" w:hAnsiTheme="minorHAnsi" w:cstheme="minorHAnsi"/>
          <w:color w:val="FF0000"/>
          <w:kern w:val="2"/>
          <w:sz w:val="22"/>
          <w:szCs w:val="22"/>
          <w14:ligatures w14:val="standardContextual"/>
        </w:rPr>
      </w:pPr>
      <w:r w:rsidRPr="00AB52DC">
        <w:rPr>
          <w:rFonts w:asciiTheme="minorHAnsi" w:hAnsiTheme="minorHAnsi" w:cstheme="minorHAnsi"/>
          <w:sz w:val="22"/>
          <w:szCs w:val="22"/>
        </w:rPr>
        <w:t>The problem of</w:t>
      </w:r>
      <w:r>
        <w:t xml:space="preserve"> </w:t>
      </w:r>
      <w:r w:rsidRPr="00AB52DC">
        <w:rPr>
          <w:rFonts w:asciiTheme="minorHAnsi" w:hAnsiTheme="minorHAnsi" w:cstheme="minorHAnsi"/>
          <w:sz w:val="22"/>
          <w:szCs w:val="22"/>
        </w:rPr>
        <w:t>PPROM was evaluated in some Egyptian studies. At Ain Shams University, Abouseif H et al (2018), studied PPROM along cases in 5 years and reported an average prevalence of 4.1%. At Zagaig University, El-Shabrawy A (2021) reported a prevalence of 2.1%. No published national studies.</w:t>
      </w:r>
    </w:p>
    <w:p w14:paraId="47AE20F7" w14:textId="5E0AC755" w:rsidR="00DD5385" w:rsidRPr="001F5087" w:rsidRDefault="00DC5057" w:rsidP="001F5087">
      <w:pPr>
        <w:pStyle w:val="Heading1"/>
        <w:keepLines/>
        <w:shd w:val="clear" w:color="auto" w:fill="D9D9D9" w:themeFill="background1" w:themeFillShade="D9"/>
        <w:spacing w:after="0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1F508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Diagnosis</w:t>
      </w:r>
    </w:p>
    <w:p w14:paraId="192E52A9" w14:textId="091D7E97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 for a differential diagnosis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125E2DB" w14:textId="612EDF81" w:rsidR="00DD5385" w:rsidRPr="00DC5057" w:rsidRDefault="00DC5057" w:rsidP="00DC5057">
      <w:pPr>
        <w:pStyle w:val="ListParagraph"/>
        <w:numPr>
          <w:ilvl w:val="0"/>
          <w:numId w:val="3"/>
        </w:numPr>
        <w:ind w:right="86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Leakage of urine (incontinence)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57CADA5" w14:textId="5E4143FC" w:rsidR="00DD5385" w:rsidRPr="00DC5057" w:rsidRDefault="00DC5057" w:rsidP="00DC5057">
      <w:pPr>
        <w:pStyle w:val="ListParagraph"/>
        <w:numPr>
          <w:ilvl w:val="0"/>
          <w:numId w:val="3"/>
        </w:numPr>
        <w:ind w:right="86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Physiological vaginal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B1E74B9" w14:textId="08D9F883" w:rsidR="00DD5385" w:rsidRPr="00DC5057" w:rsidRDefault="00DC5057" w:rsidP="00DC5057">
      <w:pPr>
        <w:pStyle w:val="ListParagraph"/>
        <w:numPr>
          <w:ilvl w:val="0"/>
          <w:numId w:val="3"/>
        </w:numPr>
        <w:ind w:right="86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Bacterial infection e.g., bacterial vaginosis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70B89F" w14:textId="2D1F6486" w:rsidR="00DD5385" w:rsidRPr="00DC5057" w:rsidRDefault="00DC5057" w:rsidP="00DC5057">
      <w:pPr>
        <w:pStyle w:val="ListParagraph"/>
        <w:numPr>
          <w:ilvl w:val="0"/>
          <w:numId w:val="3"/>
        </w:numPr>
        <w:ind w:right="86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Cervical mucus (show) which may be a sign of impending labor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677652" w14:textId="4B8E135D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Physical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4932D100" w14:textId="61512BE2" w:rsidR="00DD5385" w:rsidRPr="00DC5057" w:rsidRDefault="00DC5057" w:rsidP="00DC5057">
      <w:pPr>
        <w:pStyle w:val="ListParagraph"/>
        <w:numPr>
          <w:ilvl w:val="1"/>
          <w:numId w:val="4"/>
        </w:numPr>
        <w:ind w:left="1134" w:right="86" w:hanging="42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sterile speculum examination demonstrating liquor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ulture of vaginal swab should be obtained when expectant management is decided.</w:t>
      </w:r>
    </w:p>
    <w:p w14:paraId="3D88C318" w14:textId="646A7B1F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examination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42B13E3E" w14:textId="47C47546" w:rsidR="00DD5385" w:rsidRPr="00DC5057" w:rsidRDefault="00DC5057" w:rsidP="00DC5057">
      <w:pPr>
        <w:pStyle w:val="ListParagraph"/>
        <w:numPr>
          <w:ilvl w:val="0"/>
          <w:numId w:val="4"/>
        </w:numPr>
        <w:ind w:left="1134" w:right="86" w:hanging="425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P</w:t>
      </w:r>
      <w:r w:rsidRPr="00DC5057">
        <w:rPr>
          <w:rFonts w:asciiTheme="minorHAnsi" w:eastAsiaTheme="minorHAnsi" w:hAnsiTheme="minorHAnsi" w:cstheme="minorHAnsi"/>
          <w:kern w:val="2"/>
          <w:sz w:val="22"/>
          <w:szCs w:val="22"/>
          <w14:ligatures w14:val="standardContextual"/>
        </w:rPr>
        <w:t>rovides a useful adjunct for diagnosis of</w:t>
      </w:r>
      <w:r w:rsidRPr="00DC5057">
        <w:rPr>
          <w:rFonts w:asciiTheme="minorHAnsi" w:hAnsiTheme="minorHAnsi" w:cstheme="minorHAnsi"/>
          <w:sz w:val="22"/>
          <w:szCs w:val="22"/>
        </w:rPr>
        <w:t xml:space="preserve"> oligohydramnios but is not diagnostic.</w:t>
      </w:r>
    </w:p>
    <w:p w14:paraId="07F514C7" w14:textId="77777777" w:rsidR="00DD5385" w:rsidRPr="00DC5057" w:rsidRDefault="00DC5057" w:rsidP="00DC5057">
      <w:pPr>
        <w:pStyle w:val="Heading1"/>
        <w:keepLines/>
        <w:shd w:val="clear" w:color="auto" w:fill="D9D9D9" w:themeFill="background1" w:themeFillShade="D9"/>
        <w:spacing w:after="0"/>
        <w:ind w:right="86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2-Assesment</w:t>
      </w:r>
    </w:p>
    <w:p w14:paraId="706F57BF" w14:textId="4B088E3A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Assessment of maternal signs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19B3FD54" w14:textId="0EFDDA08" w:rsid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Vital signs should be monitored closely for any sign of inflammation or infection.</w:t>
      </w:r>
    </w:p>
    <w:p w14:paraId="3366561A" w14:textId="28604598" w:rsidR="00DC5057" w:rsidRP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Perform abdominal palpation to assess</w:t>
      </w:r>
      <w:r>
        <w:rPr>
          <w:rFonts w:asciiTheme="minorHAnsi" w:hAnsiTheme="minorHAnsi" w:cstheme="minorHAnsi"/>
          <w:sz w:val="22"/>
          <w:szCs w:val="22"/>
        </w:rPr>
        <w:t xml:space="preserve"> the fundal height and uterine tenderness.</w:t>
      </w:r>
    </w:p>
    <w:p w14:paraId="0B5254E1" w14:textId="77777777" w:rsid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Ultrasound assessment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6644CAF" w14:textId="3059E086" w:rsid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Pr="00DC5057">
        <w:rPr>
          <w:rFonts w:asciiTheme="minorHAnsi" w:hAnsiTheme="minorHAnsi" w:cstheme="minorHAnsi"/>
          <w:sz w:val="22"/>
          <w:szCs w:val="22"/>
        </w:rPr>
        <w:t>or amniotic fluid index (AFI)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A8C3659" w14:textId="03075305" w:rsidR="00DD5385" w:rsidRP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Doppler velocimetry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0DD98F" w14:textId="3BA20C78" w:rsidR="00DD5385" w:rsidRP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Fetal Biometry every 2 weeks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E602C00" w14:textId="52C52DD6" w:rsidR="00DD5385" w:rsidRP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CTG every week if / when </w:t>
      </w:r>
      <w:r>
        <w:rPr>
          <w:rFonts w:asciiTheme="minorHAnsi" w:hAnsiTheme="minorHAnsi" w:cstheme="minorHAnsi"/>
          <w:sz w:val="22"/>
          <w:szCs w:val="22"/>
        </w:rPr>
        <w:t xml:space="preserve">more than </w:t>
      </w:r>
      <w:r w:rsidRPr="00DC5057">
        <w:rPr>
          <w:rFonts w:asciiTheme="minorHAnsi" w:hAnsiTheme="minorHAnsi" w:cstheme="minorHAnsi"/>
          <w:sz w:val="22"/>
          <w:szCs w:val="22"/>
        </w:rPr>
        <w:t>32 weeks gestational age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84C8CE" w14:textId="7BCFFABF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Total Leucocytic Count and C-RP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on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admission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23184148" w14:textId="28557BEA" w:rsidR="00DD5385" w:rsidRPr="00DC5057" w:rsidRDefault="00DC5057" w:rsidP="00DC505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>erial monitoring of white cell count or other markers of inflammation have not been proven to be useful in the absence of other clinical signs of infection.</w:t>
      </w:r>
    </w:p>
    <w:p w14:paraId="7DDE7D21" w14:textId="23368994" w:rsidR="00DC5057" w:rsidRPr="00DC5057" w:rsidRDefault="00DC5057" w:rsidP="00DC5057">
      <w:pPr>
        <w:pStyle w:val="Heading1"/>
        <w:keepLines/>
        <w:shd w:val="clear" w:color="auto" w:fill="D9D9D9" w:themeFill="background1" w:themeFillShade="D9"/>
        <w:spacing w:after="0"/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</w:pPr>
      <w:r w:rsidRPr="00DC5057"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3-Manageme</w:t>
      </w:r>
      <w:r>
        <w:rPr>
          <w:rFonts w:ascii="Calibri Light" w:hAnsi="Calibri Light" w:cs="Calibri Light"/>
          <w:b w:val="0"/>
          <w:bCs w:val="0"/>
          <w:color w:val="244061" w:themeColor="accent1" w:themeShade="80"/>
          <w:kern w:val="0"/>
        </w:rPr>
        <w:t>nt</w:t>
      </w:r>
    </w:p>
    <w:p w14:paraId="5B7367C7" w14:textId="77777777" w:rsidR="00DC5057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Hospital admission and outpatient follow-up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756122D1" w14:textId="77777777" w:rsidR="00DC5057" w:rsidRDefault="00DC5057" w:rsidP="00DC5057">
      <w:pPr>
        <w:pStyle w:val="ListParagraph"/>
        <w:numPr>
          <w:ilvl w:val="0"/>
          <w:numId w:val="5"/>
        </w:numPr>
        <w:ind w:right="83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All cases of PPROM should be admitted to hospital at time of diagnosis for at least 48 hours.</w:t>
      </w:r>
    </w:p>
    <w:p w14:paraId="2A81B0DA" w14:textId="77777777" w:rsidR="00DC5057" w:rsidRDefault="00DC5057" w:rsidP="00DC5057">
      <w:pPr>
        <w:pStyle w:val="ListParagraph"/>
        <w:numPr>
          <w:ilvl w:val="0"/>
          <w:numId w:val="5"/>
        </w:numPr>
        <w:ind w:right="83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Counselling patients for outpatient management should only be considered </w:t>
      </w:r>
      <w:r>
        <w:rPr>
          <w:rFonts w:asciiTheme="minorHAnsi" w:hAnsiTheme="minorHAnsi" w:cstheme="minorHAnsi"/>
          <w:sz w:val="22"/>
          <w:szCs w:val="22"/>
        </w:rPr>
        <w:t>by a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Consultant Obstetric</w:t>
      </w:r>
      <w:r>
        <w:rPr>
          <w:rFonts w:asciiTheme="minorHAnsi" w:hAnsiTheme="minorHAnsi" w:cstheme="minorHAnsi"/>
          <w:sz w:val="22"/>
          <w:szCs w:val="22"/>
        </w:rPr>
        <w:t>ian after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review</w:t>
      </w:r>
      <w:r>
        <w:rPr>
          <w:rFonts w:asciiTheme="minorHAnsi" w:hAnsiTheme="minorHAnsi" w:cstheme="minorHAnsi"/>
          <w:sz w:val="22"/>
          <w:szCs w:val="22"/>
        </w:rPr>
        <w:t>ing the following criteria:</w:t>
      </w:r>
    </w:p>
    <w:p w14:paraId="4C6A57A9" w14:textId="77777777" w:rsidR="00DC5057" w:rsidRPr="00DC5057" w:rsidRDefault="00DC5057" w:rsidP="00DC5057">
      <w:pPr>
        <w:pStyle w:val="ListParagraph"/>
        <w:numPr>
          <w:ilvl w:val="0"/>
          <w:numId w:val="6"/>
        </w:numPr>
        <w:ind w:right="83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Gestational age</w:t>
      </w:r>
    </w:p>
    <w:p w14:paraId="26B1DEA4" w14:textId="77777777" w:rsidR="00DC5057" w:rsidRPr="00DC5057" w:rsidRDefault="00DC5057" w:rsidP="00DC50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Close accessibility to the hospital</w:t>
      </w:r>
    </w:p>
    <w:p w14:paraId="10B6F0CE" w14:textId="77777777" w:rsidR="00DC5057" w:rsidRPr="00DC5057" w:rsidRDefault="00DC5057" w:rsidP="00DC50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signs of threatened premature labor.</w:t>
      </w:r>
    </w:p>
    <w:p w14:paraId="5540BD4A" w14:textId="77777777" w:rsidR="00DC5057" w:rsidRPr="00DC5057" w:rsidRDefault="00DC5057" w:rsidP="00DC50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No evidence of infection</w:t>
      </w:r>
    </w:p>
    <w:p w14:paraId="2FAAB167" w14:textId="77777777" w:rsidR="00DC5057" w:rsidRPr="00DC5057" w:rsidRDefault="00DC5057" w:rsidP="00DC50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maternal or fetal risk factors.</w:t>
      </w:r>
    </w:p>
    <w:p w14:paraId="42647703" w14:textId="77777777" w:rsidR="00DC5057" w:rsidRPr="00DC5057" w:rsidRDefault="00DC5057" w:rsidP="00DC50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Absence of fetal compromise.</w:t>
      </w:r>
    </w:p>
    <w:p w14:paraId="75DE022B" w14:textId="6EE5B85B" w:rsidR="00DC5057" w:rsidRPr="00DC5057" w:rsidRDefault="00DC5057" w:rsidP="00DC5057">
      <w:pPr>
        <w:sectPr w:rsidR="00DC5057" w:rsidRPr="00DC5057" w:rsidSect="00DC5057">
          <w:pgSz w:w="12240" w:h="15840"/>
          <w:pgMar w:top="1360" w:right="1340" w:bottom="923" w:left="1220" w:header="720" w:footer="720" w:gutter="0"/>
          <w:cols w:space="720"/>
        </w:sectPr>
      </w:pPr>
    </w:p>
    <w:p w14:paraId="42CCAC67" w14:textId="213D72B0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lastRenderedPageBreak/>
        <w:t>Antibiotics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F1DA557" w14:textId="5A4EF160" w:rsidR="00DC5057" w:rsidRDefault="001F5087" w:rsidP="001F5087">
      <w:pPr>
        <w:pStyle w:val="ListParagraph"/>
        <w:numPr>
          <w:ilvl w:val="0"/>
          <w:numId w:val="4"/>
        </w:numPr>
        <w:ind w:left="1080" w:right="30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Antibiotics should be</w:t>
      </w:r>
      <w:r w:rsidRPr="00275476">
        <w:rPr>
          <w:rFonts w:asciiTheme="minorHAnsi" w:hAnsiTheme="minorHAnsi" w:cstheme="minorHAnsi"/>
          <w:sz w:val="22"/>
          <w:szCs w:val="22"/>
        </w:rPr>
        <w:t xml:space="preserve"> given for 7 - 10 days</w:t>
      </w:r>
      <w:r>
        <w:rPr>
          <w:rFonts w:asciiTheme="minorHAnsi" w:hAnsiTheme="minorHAnsi" w:cstheme="minorHAnsi"/>
          <w:sz w:val="22"/>
          <w:szCs w:val="22"/>
        </w:rPr>
        <w:t xml:space="preserve"> or</w:t>
      </w:r>
      <w:r w:rsidRPr="0027547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color w:val="000000"/>
        </w:rPr>
        <w:t>until birth</w:t>
      </w:r>
      <w:r w:rsidR="00DC5057">
        <w:rPr>
          <w:rFonts w:asciiTheme="minorHAnsi" w:hAnsiTheme="minorHAnsi" w:cstheme="minorHAnsi"/>
          <w:sz w:val="22"/>
          <w:szCs w:val="22"/>
        </w:rPr>
        <w:t xml:space="preserve">; </w:t>
      </w:r>
      <w:r w:rsidR="00DC5057" w:rsidRPr="00DC5057">
        <w:rPr>
          <w:rFonts w:asciiTheme="minorHAnsi" w:hAnsiTheme="minorHAnsi" w:cstheme="minorHAnsi"/>
          <w:sz w:val="22"/>
          <w:szCs w:val="22"/>
        </w:rPr>
        <w:t>whichever is sooner.</w:t>
      </w:r>
    </w:p>
    <w:p w14:paraId="09B41D36" w14:textId="1F5DD53B" w:rsidR="00DD5385" w:rsidRPr="00DC5057" w:rsidRDefault="00DC5057" w:rsidP="001F5087">
      <w:pPr>
        <w:pStyle w:val="ListParagraph"/>
        <w:numPr>
          <w:ilvl w:val="0"/>
          <w:numId w:val="4"/>
        </w:numPr>
        <w:ind w:left="1134" w:right="302" w:hanging="425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Start with a combination of intravenous </w:t>
      </w:r>
      <w:r w:rsidR="001F5087">
        <w:rPr>
          <w:color w:val="000000"/>
        </w:rPr>
        <w:t>Amoxicillin/ampicillin 2 g IV every 6 hours for 48 hours, followed by amoxicillin 250 mg oral every 8 hours, PLUS erythromycin 250 mg oral every 6 hours</w:t>
      </w:r>
      <w:r w:rsidR="001F5087" w:rsidRPr="00DC5057">
        <w:rPr>
          <w:rFonts w:asciiTheme="minorHAnsi" w:hAnsiTheme="minorHAnsi" w:cstheme="minorHAnsi"/>
          <w:sz w:val="22"/>
          <w:szCs w:val="22"/>
        </w:rPr>
        <w:t xml:space="preserve"> </w:t>
      </w:r>
      <w:r w:rsidR="001F5087">
        <w:rPr>
          <w:rFonts w:asciiTheme="minorHAnsi" w:hAnsiTheme="minorHAnsi" w:cstheme="minorHAnsi"/>
          <w:sz w:val="22"/>
          <w:szCs w:val="22"/>
        </w:rPr>
        <w:t>.</w:t>
      </w:r>
    </w:p>
    <w:p w14:paraId="5DD159B6" w14:textId="232E298D" w:rsidR="00DD5385" w:rsidRPr="00DC5057" w:rsidRDefault="00DC5057" w:rsidP="00DC5057">
      <w:pPr>
        <w:pStyle w:val="ListParagraph"/>
        <w:numPr>
          <w:ilvl w:val="0"/>
          <w:numId w:val="4"/>
        </w:numPr>
        <w:ind w:left="1134" w:right="1021" w:hanging="425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Avoid the use of Amoxicillin/Clavulanate as it is associated with neonatal necrotizing enterocolitis in the setting of PPROM.</w:t>
      </w:r>
    </w:p>
    <w:p w14:paraId="436B84B1" w14:textId="3D130E90" w:rsidR="00DD5385" w:rsidRPr="00DC5057" w:rsidRDefault="00DC5057" w:rsidP="001F5087">
      <w:pPr>
        <w:pStyle w:val="ListParagraph"/>
        <w:numPr>
          <w:ilvl w:val="0"/>
          <w:numId w:val="4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Clarithromycin 500 mg oral every 12 h for 7 </w:t>
      </w:r>
      <w:r w:rsidR="001F5087">
        <w:rPr>
          <w:rFonts w:asciiTheme="minorHAnsi" w:hAnsiTheme="minorHAnsi" w:cstheme="minorHAnsi"/>
          <w:position w:val="-1"/>
          <w:sz w:val="22"/>
          <w:szCs w:val="22"/>
        </w:rPr>
        <w:t xml:space="preserve">days 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 w:rsidR="001F5087">
        <w:t xml:space="preserve">If there was any evidence of </w:t>
      </w:r>
      <w:r w:rsidR="001F5087" w:rsidRPr="00030CA5">
        <w:rPr>
          <w:i/>
          <w:iCs/>
        </w:rPr>
        <w:t>Ureaplasma, Mycoplasma or Chlamydial</w:t>
      </w:r>
      <w:r w:rsidR="001F5087">
        <w:t xml:space="preserve"> amniotic infection</w:t>
      </w:r>
    </w:p>
    <w:p w14:paraId="312EB6F8" w14:textId="7255F44C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Ante-natal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Corticosteroids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for fetal lung maturation:</w:t>
      </w:r>
    </w:p>
    <w:p w14:paraId="682E0934" w14:textId="735D89B2" w:rsidR="00DD5385" w:rsidRDefault="00DC5057" w:rsidP="00DF7BA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Given between 28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DC5057">
        <w:rPr>
          <w:rFonts w:asciiTheme="minorHAnsi" w:hAnsiTheme="minorHAnsi" w:cstheme="minorHAnsi"/>
          <w:sz w:val="22"/>
          <w:szCs w:val="22"/>
        </w:rPr>
        <w:t xml:space="preserve"> 36 weeks’ gestation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0DB425" w14:textId="3E9D6817" w:rsidR="00F80180" w:rsidRPr="00DC5057" w:rsidRDefault="00F80180" w:rsidP="00DF7BA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May be repeated (2</w:t>
      </w:r>
      <w:r w:rsidRPr="00F80180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dose ) but not every 2 weeks.</w:t>
      </w:r>
    </w:p>
    <w:p w14:paraId="49240A2C" w14:textId="667877C9" w:rsidR="00DD5385" w:rsidRPr="00DC5057" w:rsidRDefault="00DC5057" w:rsidP="00DF7BA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Betamethasone 12 mg 1M every 24 hours x 2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6A7249C" w14:textId="36983941" w:rsidR="00DD5385" w:rsidRPr="00DC5057" w:rsidRDefault="00DC5057" w:rsidP="00DF7BA7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Dexamethasone 6 mg every 12 hours x 4 doses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051D59D" w14:textId="40742A5D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Magnesium sulphate for neuroprotection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6D885317" w14:textId="57A3B9EE" w:rsidR="00DC5057" w:rsidRDefault="00DC5057" w:rsidP="00DF7BA7">
      <w:pPr>
        <w:pStyle w:val="ListParagraph"/>
        <w:numPr>
          <w:ilvl w:val="1"/>
          <w:numId w:val="10"/>
        </w:numPr>
        <w:ind w:right="687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Given between 28 to 34 weeks’ gestation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when </w:t>
      </w:r>
      <w:r w:rsidRPr="00DC5057">
        <w:rPr>
          <w:rFonts w:asciiTheme="minorHAnsi" w:hAnsiTheme="minorHAnsi" w:cstheme="minorHAnsi"/>
          <w:sz w:val="22"/>
          <w:szCs w:val="22"/>
        </w:rPr>
        <w:t xml:space="preserve">delivery </w:t>
      </w:r>
      <w:r>
        <w:rPr>
          <w:rFonts w:asciiTheme="minorHAnsi" w:hAnsiTheme="minorHAnsi" w:cstheme="minorHAnsi"/>
          <w:sz w:val="22"/>
          <w:szCs w:val="22"/>
        </w:rPr>
        <w:t xml:space="preserve">is </w:t>
      </w:r>
      <w:r w:rsidRPr="00DC5057">
        <w:rPr>
          <w:rFonts w:asciiTheme="minorHAnsi" w:hAnsiTheme="minorHAnsi" w:cstheme="minorHAnsi"/>
          <w:sz w:val="22"/>
          <w:szCs w:val="22"/>
        </w:rPr>
        <w:t xml:space="preserve">expected </w:t>
      </w:r>
      <w:r>
        <w:rPr>
          <w:rFonts w:asciiTheme="minorHAnsi" w:hAnsiTheme="minorHAnsi" w:cstheme="minorHAnsi"/>
          <w:sz w:val="22"/>
          <w:szCs w:val="22"/>
        </w:rPr>
        <w:t xml:space="preserve">to happen </w:t>
      </w:r>
      <w:r w:rsidRPr="00DC5057">
        <w:rPr>
          <w:rFonts w:asciiTheme="minorHAnsi" w:hAnsiTheme="minorHAnsi" w:cstheme="minorHAnsi"/>
          <w:sz w:val="22"/>
          <w:szCs w:val="22"/>
        </w:rPr>
        <w:t>within 24 hours</w:t>
      </w:r>
    </w:p>
    <w:p w14:paraId="56FA397D" w14:textId="06796E85" w:rsidR="00DD5385" w:rsidRPr="00DC5057" w:rsidRDefault="00DC5057" w:rsidP="00DF7BA7">
      <w:pPr>
        <w:pStyle w:val="ListParagraph"/>
        <w:numPr>
          <w:ilvl w:val="1"/>
          <w:numId w:val="10"/>
        </w:numPr>
        <w:ind w:right="68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Start with an</w:t>
      </w:r>
      <w:r w:rsidRPr="00DC5057">
        <w:rPr>
          <w:rFonts w:asciiTheme="minorHAnsi" w:hAnsiTheme="minorHAnsi" w:cstheme="minorHAnsi"/>
          <w:sz w:val="22"/>
          <w:szCs w:val="22"/>
        </w:rPr>
        <w:t xml:space="preserve"> intravenous bolus of 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DC5057">
        <w:rPr>
          <w:rFonts w:asciiTheme="minorHAnsi" w:hAnsiTheme="minorHAnsi" w:cstheme="minorHAnsi"/>
          <w:sz w:val="22"/>
          <w:szCs w:val="22"/>
        </w:rPr>
        <w:t>agnesium sulfate</w:t>
      </w:r>
      <w:r>
        <w:rPr>
          <w:rFonts w:asciiTheme="minorHAnsi" w:hAnsiTheme="minorHAnsi" w:cstheme="minorHAnsi"/>
          <w:sz w:val="22"/>
          <w:szCs w:val="22"/>
        </w:rPr>
        <w:t xml:space="preserve"> of 4 grams which is given</w:t>
      </w:r>
      <w:r w:rsidRPr="00DC5057">
        <w:rPr>
          <w:rFonts w:asciiTheme="minorHAnsi" w:hAnsiTheme="minorHAnsi" w:cstheme="minorHAnsi"/>
          <w:sz w:val="22"/>
          <w:szCs w:val="22"/>
        </w:rPr>
        <w:t xml:space="preserve"> over 15 minutes, followed by an intravenous infusion of 1 g</w:t>
      </w:r>
      <w:r>
        <w:rPr>
          <w:rFonts w:asciiTheme="minorHAnsi" w:hAnsiTheme="minorHAnsi" w:cstheme="minorHAnsi"/>
          <w:sz w:val="22"/>
          <w:szCs w:val="22"/>
        </w:rPr>
        <w:t>ram</w:t>
      </w:r>
      <w:r w:rsidRPr="00DC5057">
        <w:rPr>
          <w:rFonts w:asciiTheme="minorHAnsi" w:hAnsiTheme="minorHAnsi" w:cstheme="minorHAnsi"/>
          <w:sz w:val="22"/>
          <w:szCs w:val="22"/>
        </w:rPr>
        <w:t xml:space="preserve"> per hour until birth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or for 24 hours</w:t>
      </w:r>
      <w:r>
        <w:rPr>
          <w:rFonts w:asciiTheme="minorHAnsi" w:hAnsiTheme="minorHAnsi" w:cstheme="minorHAnsi"/>
          <w:sz w:val="22"/>
          <w:szCs w:val="22"/>
        </w:rPr>
        <w:t xml:space="preserve">; </w:t>
      </w:r>
      <w:r w:rsidRPr="00DC5057">
        <w:rPr>
          <w:rFonts w:asciiTheme="minorHAnsi" w:hAnsiTheme="minorHAnsi" w:cstheme="minorHAnsi"/>
          <w:sz w:val="22"/>
          <w:szCs w:val="22"/>
        </w:rPr>
        <w:t>whichever is sooner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7C56D6" w14:textId="4C06EB0D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Tocolysis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51C3532" w14:textId="0D8CBEA5" w:rsidR="00DD5385" w:rsidRPr="00DC5057" w:rsidRDefault="00DC5057" w:rsidP="00DF7B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Short term tocolysis </w:t>
      </w:r>
      <w:r>
        <w:rPr>
          <w:rFonts w:asciiTheme="minorHAnsi" w:hAnsiTheme="minorHAnsi" w:cstheme="minorHAnsi"/>
          <w:sz w:val="22"/>
          <w:szCs w:val="22"/>
        </w:rPr>
        <w:t>may be indicated f</w:t>
      </w:r>
      <w:r w:rsidRPr="00DC5057">
        <w:rPr>
          <w:rFonts w:asciiTheme="minorHAnsi" w:hAnsiTheme="minorHAnsi" w:cstheme="minorHAnsi"/>
          <w:sz w:val="22"/>
          <w:szCs w:val="22"/>
        </w:rPr>
        <w:t xml:space="preserve">or 48 hours </w:t>
      </w:r>
      <w:r>
        <w:rPr>
          <w:rFonts w:asciiTheme="minorHAnsi" w:hAnsiTheme="minorHAnsi" w:cstheme="minorHAnsi"/>
          <w:sz w:val="22"/>
          <w:szCs w:val="22"/>
        </w:rPr>
        <w:t xml:space="preserve">from the </w:t>
      </w:r>
      <w:r w:rsidRPr="00DC5057">
        <w:rPr>
          <w:rFonts w:asciiTheme="minorHAnsi" w:hAnsiTheme="minorHAnsi" w:cstheme="minorHAnsi"/>
          <w:sz w:val="22"/>
          <w:szCs w:val="22"/>
        </w:rPr>
        <w:t>time of admission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to allow</w:t>
      </w:r>
      <w:r>
        <w:rPr>
          <w:rFonts w:asciiTheme="minorHAnsi" w:hAnsiTheme="minorHAnsi" w:cstheme="minorHAnsi"/>
          <w:sz w:val="22"/>
          <w:szCs w:val="22"/>
        </w:rPr>
        <w:t xml:space="preserve">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a course of corticosteroids to be completed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transfer to a tertiary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hospital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 w14:paraId="163196C2" w14:textId="0AEAFBF0" w:rsidR="00DD5385" w:rsidRPr="00DC5057" w:rsidRDefault="00DC5057" w:rsidP="00DF7BA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alcium channel blockers could be given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DF7BA7">
        <w:rPr>
          <w:rFonts w:asciiTheme="minorHAnsi" w:hAnsiTheme="minorHAnsi" w:cstheme="minorHAnsi"/>
          <w:sz w:val="22"/>
          <w:szCs w:val="22"/>
        </w:rPr>
        <w:t xml:space="preserve">Dose: </w:t>
      </w:r>
      <w:r w:rsidR="00DF7BA7" w:rsidRPr="00DF7BA7">
        <w:rPr>
          <w:rFonts w:asciiTheme="minorHAnsi" w:hAnsiTheme="minorHAnsi" w:cstheme="minorHAnsi"/>
          <w:sz w:val="22"/>
          <w:szCs w:val="22"/>
        </w:rPr>
        <w:t>One slow release tablet orally (20 mg) / every 6 hours (daily 80 mg)</w:t>
      </w:r>
      <w:r w:rsidR="00DF7BA7">
        <w:rPr>
          <w:rFonts w:asciiTheme="minorHAnsi" w:hAnsiTheme="minorHAnsi" w:cstheme="minorHAnsi"/>
          <w:sz w:val="22"/>
          <w:szCs w:val="22"/>
        </w:rPr>
        <w:t>.</w:t>
      </w:r>
    </w:p>
    <w:p w14:paraId="602EBCDD" w14:textId="77777777" w:rsidR="00DF7BA7" w:rsidRPr="00DF7BA7" w:rsidRDefault="00DC5057" w:rsidP="00DF7BA7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hAnsiTheme="minorHAnsi" w:cstheme="minorHAnsi"/>
          <w:position w:val="-2"/>
          <w:sz w:val="22"/>
          <w:szCs w:val="22"/>
          <w:u w:val="single"/>
        </w:rPr>
        <w:t>Repetition of the dose is not recommended</w:t>
      </w:r>
      <w:r w:rsidRPr="00DF7BA7">
        <w:rPr>
          <w:rFonts w:asciiTheme="minorHAnsi" w:hAnsiTheme="minorHAnsi" w:cstheme="minorHAnsi"/>
          <w:position w:val="-2"/>
          <w:sz w:val="22"/>
          <w:szCs w:val="22"/>
        </w:rPr>
        <w:t>.</w:t>
      </w:r>
      <w:r w:rsidRPr="00DF7BA7">
        <w:rPr>
          <w:rFonts w:asciiTheme="minorHAnsi" w:hAnsiTheme="minorHAnsi" w:cstheme="minorHAnsi"/>
          <w:b/>
          <w:bCs/>
          <w:color w:val="FF0000"/>
          <w:position w:val="-1"/>
          <w:sz w:val="22"/>
          <w:szCs w:val="22"/>
        </w:rPr>
        <w:t xml:space="preserve"> </w:t>
      </w:r>
      <w:r w:rsidR="00DF7BA7">
        <w:rPr>
          <w:rFonts w:ascii="AdvTT378de93d" w:hAnsi="AdvTT378de93d"/>
          <w:color w:val="000000"/>
          <w:sz w:val="22"/>
          <w:szCs w:val="22"/>
        </w:rPr>
        <w:t>Some evidence reported that prolonged use of tocolysis in PPROM without contractions was not associated with better perinatal outcomes and yielded no difference in latency duration.</w:t>
      </w:r>
      <w:r w:rsidR="00DF7BA7">
        <w:rPr>
          <w:rFonts w:ascii="AdvTT378de93d" w:hAnsi="AdvTT378de93d"/>
          <w:color w:val="0D7FAC"/>
          <w:sz w:val="16"/>
          <w:szCs w:val="16"/>
        </w:rPr>
        <w:t xml:space="preserve">  </w:t>
      </w:r>
    </w:p>
    <w:p w14:paraId="37FD332C" w14:textId="35FA9E7B" w:rsidR="00DF7BA7" w:rsidRPr="00DF7BA7" w:rsidRDefault="00DF7BA7" w:rsidP="00DF7BA7">
      <w:pPr>
        <w:pStyle w:val="ListParagraph"/>
        <w:numPr>
          <w:ilvl w:val="0"/>
          <w:numId w:val="8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="AdvTT378de93d" w:hAnsi="AdvTT378de93d"/>
          <w:color w:val="000000"/>
          <w:sz w:val="22"/>
          <w:szCs w:val="22"/>
        </w:rPr>
        <w:t xml:space="preserve">In one Cochrane review, tocolysis was associated with a </w:t>
      </w:r>
      <w:r>
        <w:rPr>
          <w:rFonts w:ascii="AdvTT378de93d" w:hAnsi="AdvTT378de93d"/>
          <w:color w:val="000000"/>
          <w:sz w:val="22"/>
          <w:szCs w:val="22"/>
        </w:rPr>
        <w:t xml:space="preserve">longer latency and fewer births within 48 hours of PPROM, but with increased risks for Apgar score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 xml:space="preserve">7 at 5 minutes, need for ventilation support, and chorioamnionitis when PPROM occurred at </w:t>
      </w:r>
      <w:r>
        <w:rPr>
          <w:rFonts w:ascii="AdvP4C4E51" w:hAnsi="AdvP4C4E51"/>
          <w:color w:val="000000"/>
          <w:sz w:val="22"/>
          <w:szCs w:val="22"/>
        </w:rPr>
        <w:t>&lt;</w:t>
      </w:r>
      <w:r>
        <w:rPr>
          <w:rFonts w:ascii="AdvTT378de93d" w:hAnsi="AdvTT378de93d"/>
          <w:color w:val="000000"/>
          <w:sz w:val="22"/>
          <w:szCs w:val="22"/>
        </w:rPr>
        <w:t>34 weeks gestation, i.e. used for a longer time.</w:t>
      </w:r>
    </w:p>
    <w:p w14:paraId="19557FBD" w14:textId="07A0E1D3" w:rsidR="00DD5385" w:rsidRPr="00DF7BA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F7BA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Amnioinfusion:</w:t>
      </w:r>
    </w:p>
    <w:p w14:paraId="001244B7" w14:textId="78208338" w:rsidR="00DD5385" w:rsidRPr="00DF7BA7" w:rsidRDefault="00DC5057" w:rsidP="00DF7B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1"/>
          <w:sz w:val="22"/>
          <w:szCs w:val="22"/>
        </w:rPr>
        <w:t xml:space="preserve">There is no 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>recommend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ation for amnioinfusion. </w:t>
      </w:r>
    </w:p>
    <w:p w14:paraId="1256F568" w14:textId="2D114636" w:rsidR="00DF7BA7" w:rsidRPr="00DC5057" w:rsidRDefault="00DF7BA7" w:rsidP="00DF7B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="AdvTT378de93d" w:hAnsi="AdvTT378de93d"/>
          <w:color w:val="000000"/>
          <w:sz w:val="22"/>
          <w:szCs w:val="22"/>
        </w:rPr>
        <w:t>Although a few observational studies found lower perinatal mortality associated with amnioinfusion, all RCTs published to date found no difference in perinatal mortality and neonatal morbidity, suggesting that amnioinfusion is not recommended.</w:t>
      </w:r>
    </w:p>
    <w:p w14:paraId="5037B98A" w14:textId="163FCE78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Managing an existing cervical c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erclage following PPROM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04D5B987" w14:textId="6290A786" w:rsidR="00DD5385" w:rsidRPr="00DC5057" w:rsidRDefault="00DC5057" w:rsidP="00DC5057">
      <w:pPr>
        <w:pStyle w:val="ListParagraph"/>
        <w:numPr>
          <w:ilvl w:val="1"/>
          <w:numId w:val="4"/>
        </w:numPr>
        <w:ind w:left="1134" w:hanging="425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position w:val="-1"/>
          <w:sz w:val="22"/>
          <w:szCs w:val="22"/>
        </w:rPr>
        <w:t>Immediate removal of cerclage</w:t>
      </w:r>
      <w:r>
        <w:rPr>
          <w:rFonts w:asciiTheme="minorHAnsi" w:hAnsiTheme="minorHAnsi" w:cstheme="minorHAnsi"/>
          <w:position w:val="-1"/>
          <w:sz w:val="22"/>
          <w:szCs w:val="22"/>
        </w:rPr>
        <w:t xml:space="preserve"> stitch or tape should be performed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position w:val="-1"/>
          <w:sz w:val="22"/>
          <w:szCs w:val="22"/>
        </w:rPr>
        <w:t>once the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diagnosis of </w:t>
      </w:r>
      <w:r>
        <w:rPr>
          <w:rFonts w:asciiTheme="minorHAnsi" w:hAnsiTheme="minorHAnsi" w:cstheme="minorHAnsi"/>
          <w:position w:val="-1"/>
          <w:sz w:val="22"/>
          <w:szCs w:val="22"/>
        </w:rPr>
        <w:t>PPROM</w:t>
      </w:r>
      <w:r w:rsidRPr="00DC5057">
        <w:rPr>
          <w:rFonts w:asciiTheme="minorHAnsi" w:hAnsiTheme="minorHAnsi" w:cstheme="minorHAnsi"/>
          <w:position w:val="-1"/>
          <w:sz w:val="22"/>
          <w:szCs w:val="22"/>
        </w:rPr>
        <w:t xml:space="preserve"> is confirmed.</w:t>
      </w:r>
    </w:p>
    <w:p w14:paraId="3F810B23" w14:textId="05D6A335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Diagnosis of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Chorioamnionitis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54951228" w14:textId="3529CB97" w:rsidR="00DD5385" w:rsidRPr="00DC5057" w:rsidRDefault="00DC5057" w:rsidP="00DC5057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C5057">
        <w:rPr>
          <w:rFonts w:asciiTheme="minorHAnsi" w:hAnsiTheme="minorHAnsi" w:cstheme="minorHAnsi"/>
          <w:b/>
          <w:bCs/>
          <w:sz w:val="22"/>
          <w:szCs w:val="22"/>
        </w:rPr>
        <w:t>Clinical signs of early chorioamnionitis</w:t>
      </w:r>
    </w:p>
    <w:p w14:paraId="75E67D91" w14:textId="01BD40C9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Fever: m</w:t>
      </w:r>
      <w:r w:rsidRPr="00DC5057">
        <w:rPr>
          <w:rFonts w:asciiTheme="minorHAnsi" w:hAnsiTheme="minorHAnsi" w:cstheme="minorHAnsi"/>
          <w:sz w:val="22"/>
          <w:szCs w:val="22"/>
        </w:rPr>
        <w:t>aternal temperature &gt; 38.0° C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6C193D" w14:textId="546B0FDF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Uterine tenderness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C1112DA" w14:textId="2A4CC857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Maternal or fetal tachycardia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60CF8EE" w14:textId="5EAE726B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Offensive discharge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AB6A418" w14:textId="65685147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2"/>
          <w:sz w:val="22"/>
          <w:szCs w:val="22"/>
        </w:rPr>
        <w:t>M</w:t>
      </w:r>
      <w:r w:rsidRPr="00DC5057">
        <w:rPr>
          <w:rFonts w:asciiTheme="minorHAnsi" w:hAnsiTheme="minorHAnsi" w:cstheme="minorHAnsi"/>
          <w:position w:val="-2"/>
          <w:sz w:val="22"/>
          <w:szCs w:val="22"/>
        </w:rPr>
        <w:t>aternal blood tests (C-reactive protein and white cell count) may be helpful</w:t>
      </w:r>
      <w:r>
        <w:rPr>
          <w:rFonts w:asciiTheme="minorHAnsi" w:hAnsiTheme="minorHAnsi" w:cstheme="minorHAnsi"/>
          <w:position w:val="-2"/>
          <w:sz w:val="22"/>
          <w:szCs w:val="22"/>
        </w:rPr>
        <w:t>.</w:t>
      </w:r>
    </w:p>
    <w:p w14:paraId="0E4663D4" w14:textId="2DC7BF65" w:rsidR="00DD5385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Delivery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</w:t>
      </w:r>
    </w:p>
    <w:p w14:paraId="3D706FB7" w14:textId="1DCF34DC" w:rsidR="00DD5385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DC5057">
        <w:rPr>
          <w:rFonts w:asciiTheme="minorHAnsi" w:hAnsiTheme="minorHAnsi" w:cstheme="minorHAnsi"/>
          <w:sz w:val="22"/>
          <w:szCs w:val="22"/>
        </w:rPr>
        <w:t xml:space="preserve">ermination </w:t>
      </w:r>
      <w:r>
        <w:rPr>
          <w:rFonts w:asciiTheme="minorHAnsi" w:hAnsiTheme="minorHAnsi" w:cstheme="minorHAnsi"/>
          <w:sz w:val="22"/>
          <w:szCs w:val="22"/>
        </w:rPr>
        <w:t>of pregnancy should be considered in the following situations:</w:t>
      </w:r>
    </w:p>
    <w:p w14:paraId="1D7AA60F" w14:textId="1EB8E7BE" w:rsidR="00DD5385" w:rsidRP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confirmation of presence of </w:t>
      </w:r>
      <w:r w:rsidRPr="00DC5057">
        <w:rPr>
          <w:rFonts w:asciiTheme="minorHAnsi" w:hAnsiTheme="minorHAnsi" w:cstheme="minorHAnsi"/>
          <w:sz w:val="22"/>
          <w:szCs w:val="22"/>
        </w:rPr>
        <w:t>lethal fetal anomalies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388876B" w14:textId="369F2656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Intrauterine fetal demise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32771F1" w14:textId="128E8FF4" w:rsidR="00DC5057" w:rsidRP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Non-reassuring fetal status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DC5057">
        <w:rPr>
          <w:rFonts w:asciiTheme="minorHAnsi" w:hAnsiTheme="minorHAnsi" w:cstheme="minorHAnsi"/>
          <w:sz w:val="22"/>
          <w:szCs w:val="22"/>
        </w:rPr>
        <w:t>non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DC5057">
        <w:rPr>
          <w:rFonts w:asciiTheme="minorHAnsi" w:hAnsiTheme="minorHAnsi" w:cstheme="minorHAnsi"/>
          <w:sz w:val="22"/>
          <w:szCs w:val="22"/>
        </w:rPr>
        <w:t>reassuring non stress test</w:t>
      </w:r>
      <w:r>
        <w:rPr>
          <w:rFonts w:asciiTheme="minorHAnsi" w:hAnsiTheme="minorHAnsi" w:cstheme="minorHAnsi"/>
          <w:sz w:val="22"/>
          <w:szCs w:val="22"/>
        </w:rPr>
        <w:t>).</w:t>
      </w:r>
    </w:p>
    <w:p w14:paraId="3D1E93A2" w14:textId="02354DE6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Severe preeclampsia or eclampsia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D0CB51" w14:textId="51FA2441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Antepartum </w:t>
      </w:r>
      <w:r>
        <w:rPr>
          <w:rFonts w:asciiTheme="minorHAnsi" w:hAnsiTheme="minorHAnsi" w:cstheme="minorHAnsi"/>
          <w:sz w:val="22"/>
          <w:szCs w:val="22"/>
        </w:rPr>
        <w:t>hemorrhage.</w:t>
      </w:r>
    </w:p>
    <w:p w14:paraId="17D72A21" w14:textId="044DB832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C</w:t>
      </w:r>
      <w:r w:rsidRPr="00DC5057">
        <w:rPr>
          <w:rFonts w:asciiTheme="minorHAnsi" w:hAnsiTheme="minorHAnsi" w:cstheme="minorHAnsi"/>
          <w:sz w:val="22"/>
          <w:szCs w:val="22"/>
        </w:rPr>
        <w:t>linical signs of early chorioamnionitis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2CA41B" w14:textId="34A013D5" w:rsidR="00DC5057" w:rsidRP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</w:t>
      </w:r>
      <w:r w:rsidRPr="00DC5057">
        <w:rPr>
          <w:rFonts w:asciiTheme="minorHAnsi" w:hAnsiTheme="minorHAnsi" w:cstheme="minorHAnsi"/>
          <w:sz w:val="22"/>
          <w:szCs w:val="22"/>
        </w:rPr>
        <w:t>anned termination during expectant management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D0FFB3" w14:textId="495E73C5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development of r</w:t>
      </w:r>
      <w:r w:rsidRPr="00DC5057">
        <w:rPr>
          <w:rFonts w:asciiTheme="minorHAnsi" w:hAnsiTheme="minorHAnsi" w:cstheme="minorHAnsi"/>
          <w:sz w:val="22"/>
          <w:szCs w:val="22"/>
        </w:rPr>
        <w:t xml:space="preserve">egular </w:t>
      </w:r>
      <w:r>
        <w:rPr>
          <w:rFonts w:asciiTheme="minorHAnsi" w:hAnsiTheme="minorHAnsi" w:cstheme="minorHAnsi"/>
          <w:sz w:val="22"/>
          <w:szCs w:val="22"/>
        </w:rPr>
        <w:t xml:space="preserve">uterine </w:t>
      </w:r>
      <w:r w:rsidRPr="00DC5057">
        <w:rPr>
          <w:rFonts w:asciiTheme="minorHAnsi" w:hAnsiTheme="minorHAnsi" w:cstheme="minorHAnsi"/>
          <w:sz w:val="22"/>
          <w:szCs w:val="22"/>
        </w:rPr>
        <w:t>contractions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78C2774" w14:textId="58AB31B8" w:rsidR="00DC5057" w:rsidRDefault="00DC5057" w:rsidP="00DC5057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Achieving 36 weeks’ gestation.</w:t>
      </w:r>
    </w:p>
    <w:p w14:paraId="0B632A01" w14:textId="77777777" w:rsidR="00DC5057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Intrapartum prophylaxis (LAP) for GBS</w:t>
      </w:r>
    </w:p>
    <w:p w14:paraId="764F2F78" w14:textId="727FB9DE" w:rsidR="00DC5057" w:rsidRPr="00DC5057" w:rsidRDefault="00DF7BA7" w:rsidP="00DF7BA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Intrapartum antibiotic should be given in the form of ampicillin 2 gm IV </w:t>
      </w:r>
      <w:r>
        <w:rPr>
          <w:rFonts w:ascii="AdvTT378de93d" w:hAnsi="AdvTT378de93d"/>
          <w:color w:val="000000"/>
          <w:sz w:val="22"/>
          <w:szCs w:val="22"/>
        </w:rPr>
        <w:t xml:space="preserve">/6 hours for 2 days (GBS coverage if its status is unknown or positive), PLUS the macrolide line (erythromycin, azithromycin, or clarithromycin)  </w:t>
      </w:r>
    </w:p>
    <w:p w14:paraId="75F88308" w14:textId="2A5A233F" w:rsidR="00DC5057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Prevention 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of recurrence 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in subsequent pregnanc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ies:</w:t>
      </w:r>
    </w:p>
    <w:p w14:paraId="59C7D3EC" w14:textId="7F5B1B06" w:rsidR="00DC5057" w:rsidRPr="00DC5057" w:rsidRDefault="00DC5057" w:rsidP="00DF7BA7">
      <w:pPr>
        <w:pStyle w:val="ListParagraph"/>
        <w:numPr>
          <w:ilvl w:val="1"/>
          <w:numId w:val="12"/>
        </w:numPr>
        <w:ind w:right="775"/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Patients with prior preterm PROM have an increased risk of recurrent PROM 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C5057">
        <w:rPr>
          <w:rFonts w:asciiTheme="minorHAnsi" w:hAnsiTheme="minorHAnsi" w:cstheme="minorHAnsi"/>
          <w:sz w:val="22"/>
          <w:szCs w:val="22"/>
        </w:rPr>
        <w:t>preterm birth, and a detailed medical and obstetric history should be taken.</w:t>
      </w:r>
    </w:p>
    <w:p w14:paraId="18DAD847" w14:textId="5F06FDE7" w:rsidR="00DC5057" w:rsidRDefault="00DC5057" w:rsidP="00DF7BA7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>Progesterone prophylaxis is considered in patient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DC5057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DC5057">
        <w:rPr>
          <w:rFonts w:asciiTheme="minorHAnsi" w:hAnsiTheme="minorHAnsi" w:cstheme="minorHAnsi"/>
          <w:sz w:val="22"/>
          <w:szCs w:val="22"/>
        </w:rPr>
        <w:t>history of preterm prelabor rupture of</w:t>
      </w:r>
      <w:r>
        <w:rPr>
          <w:rFonts w:asciiTheme="minorHAnsi" w:hAnsiTheme="minorHAnsi" w:cstheme="minorHAnsi"/>
          <w:sz w:val="22"/>
          <w:szCs w:val="22"/>
        </w:rPr>
        <w:t xml:space="preserve"> membranes.</w:t>
      </w:r>
    </w:p>
    <w:p w14:paraId="0AD82561" w14:textId="30E9D7EE" w:rsidR="00DF7BA7" w:rsidRDefault="00DF7BA7" w:rsidP="00DF7BA7">
      <w:pPr>
        <w:pStyle w:val="ListParagraph"/>
        <w:numPr>
          <w:ilvl w:val="0"/>
          <w:numId w:val="12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r w:rsidRPr="00DF7BA7">
        <w:rPr>
          <w:rFonts w:asciiTheme="minorHAnsi" w:hAnsiTheme="minorHAnsi" w:cstheme="minorHAnsi"/>
          <w:sz w:val="22"/>
          <w:szCs w:val="22"/>
        </w:rPr>
        <w:t>Abnormal vaginal discharge has shown a significant association with the occurrence of recurrent PROM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 xml:space="preserve"> </w:t>
      </w:r>
    </w:p>
    <w:p w14:paraId="1EA7EC7E" w14:textId="211EAD44" w:rsidR="00DC5057" w:rsidRPr="00DC5057" w:rsidRDefault="00DC5057" w:rsidP="00DC5057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Pre-viable PROM</w:t>
      </w: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: Before 28 weeks’ gestation:</w:t>
      </w:r>
    </w:p>
    <w:p w14:paraId="485C8C68" w14:textId="5DDCF813" w:rsidR="00DC5057" w:rsidRPr="00DC5057" w:rsidRDefault="00DC5057" w:rsidP="00DC505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DC5057">
        <w:rPr>
          <w:rFonts w:asciiTheme="minorHAnsi" w:hAnsiTheme="minorHAnsi" w:cstheme="minorHAnsi"/>
          <w:sz w:val="22"/>
          <w:szCs w:val="22"/>
        </w:rPr>
        <w:t>ounseling for termination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1835F07" w14:textId="391F20ED" w:rsidR="00DC5057" w:rsidRPr="00DC5057" w:rsidRDefault="00DC5057" w:rsidP="00DF7BA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F7BA7" w:rsidRPr="00DF7BA7">
        <w:rPr>
          <w:rFonts w:asciiTheme="minorHAnsi" w:hAnsiTheme="minorHAnsi" w:cstheme="minorHAnsi"/>
          <w:sz w:val="22"/>
          <w:szCs w:val="22"/>
        </w:rPr>
        <w:t>Antibiotic prophylaxis to prolong latency is administered at admission according to the same protocol used in patients who present with preterm PROM at later gestational ages</w:t>
      </w:r>
      <w:r w:rsidR="00DF7BA7" w:rsidRPr="000E2525">
        <w:rPr>
          <w:rFonts w:ascii="Helvetica" w:hAnsi="Helvetica" w:cs="Helvetica"/>
          <w:color w:val="373A3C"/>
          <w:sz w:val="24"/>
          <w:szCs w:val="24"/>
        </w:rPr>
        <w:t>.</w:t>
      </w:r>
    </w:p>
    <w:p w14:paraId="2C9D7166" w14:textId="0A013E12" w:rsidR="00DC5057" w:rsidRPr="00DF7BA7" w:rsidRDefault="00DC5057" w:rsidP="00DF7BA7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C5057">
        <w:rPr>
          <w:rFonts w:asciiTheme="minorHAnsi" w:hAnsiTheme="minorHAnsi" w:cstheme="minorHAnsi"/>
          <w:sz w:val="22"/>
          <w:szCs w:val="22"/>
        </w:rPr>
        <w:t xml:space="preserve">If hind water rupture is suspected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 consider</w:t>
      </w:r>
      <w:r w:rsidRPr="00DC50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conservative management for</w:t>
      </w:r>
      <w:r w:rsidRPr="00DC5057">
        <w:rPr>
          <w:rFonts w:asciiTheme="minorHAnsi" w:hAnsiTheme="minorHAnsi" w:cstheme="minorHAnsi"/>
          <w:sz w:val="22"/>
          <w:szCs w:val="22"/>
        </w:rPr>
        <w:t xml:space="preserve"> 1 week</w:t>
      </w:r>
      <w:r>
        <w:rPr>
          <w:rFonts w:asciiTheme="minorHAnsi" w:hAnsiTheme="minorHAnsi" w:cstheme="minorHAnsi"/>
          <w:sz w:val="22"/>
          <w:szCs w:val="22"/>
        </w:rPr>
        <w:t xml:space="preserve">. If </w:t>
      </w:r>
      <w:r w:rsidRPr="00DC5057">
        <w:rPr>
          <w:rFonts w:asciiTheme="minorHAnsi" w:hAnsiTheme="minorHAnsi" w:cstheme="minorHAnsi"/>
          <w:sz w:val="22"/>
          <w:szCs w:val="22"/>
        </w:rPr>
        <w:t>leakage</w:t>
      </w:r>
      <w:r>
        <w:rPr>
          <w:rFonts w:asciiTheme="minorHAnsi" w:hAnsiTheme="minorHAnsi" w:cstheme="minorHAnsi"/>
          <w:sz w:val="22"/>
          <w:szCs w:val="22"/>
        </w:rPr>
        <w:t xml:space="preserve"> stops</w:t>
      </w:r>
      <w:r w:rsidRPr="00DC505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DC5057">
        <w:rPr>
          <w:rFonts w:asciiTheme="minorHAnsi" w:hAnsiTheme="minorHAnsi" w:cstheme="minorHAnsi"/>
          <w:sz w:val="22"/>
          <w:szCs w:val="22"/>
        </w:rPr>
        <w:t>AFI is adequate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DC5057">
        <w:rPr>
          <w:rFonts w:asciiTheme="minorHAnsi" w:hAnsiTheme="minorHAnsi" w:cstheme="minorHAnsi"/>
          <w:sz w:val="22"/>
          <w:szCs w:val="22"/>
        </w:rPr>
        <w:t xml:space="preserve"> conservative measures and follow up of the patient</w:t>
      </w:r>
      <w:r>
        <w:rPr>
          <w:rFonts w:asciiTheme="minorHAnsi" w:hAnsiTheme="minorHAnsi" w:cstheme="minorHAnsi"/>
          <w:sz w:val="22"/>
          <w:szCs w:val="22"/>
        </w:rPr>
        <w:t xml:space="preserve"> is continued</w:t>
      </w:r>
      <w:r w:rsidR="00DF7BA7" w:rsidRPr="00DF7BA7">
        <w:rPr>
          <w:rFonts w:asciiTheme="minorHAnsi" w:hAnsiTheme="minorHAnsi" w:cstheme="minorHAnsi"/>
          <w:sz w:val="22"/>
          <w:szCs w:val="22"/>
        </w:rPr>
        <w:t xml:space="preserve"> .Once leakage stops and AFI is accepted, routine obstetric follow up is recommended with advice to the patient to return if another leakage happen.</w:t>
      </w:r>
    </w:p>
    <w:p w14:paraId="3A9F4692" w14:textId="18EC157D" w:rsidR="00DC5057" w:rsidRPr="00DC5057" w:rsidRDefault="00DC5057" w:rsidP="000B3A38">
      <w:pPr>
        <w:pStyle w:val="ListParagraph"/>
        <w:numPr>
          <w:ilvl w:val="0"/>
          <w:numId w:val="4"/>
        </w:numPr>
        <w:ind w:right="86"/>
        <w:jc w:val="both"/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M</w:t>
      </w:r>
      <w:r w:rsidRPr="00DC5057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ode of termination according to obstetric condition</w:t>
      </w:r>
      <w:r w:rsidR="000B3A38">
        <w:rPr>
          <w:rFonts w:asciiTheme="minorHAnsi" w:eastAsiaTheme="minorHAnsi" w:hAnsiTheme="minorHAnsi" w:cstheme="minorHAnsi"/>
          <w:b/>
          <w:bCs/>
          <w:kern w:val="2"/>
          <w:sz w:val="28"/>
          <w:szCs w:val="28"/>
          <w14:ligatures w14:val="standardContextual"/>
        </w:rPr>
        <w:t>.</w:t>
      </w:r>
    </w:p>
    <w:p w14:paraId="53F24EB9" w14:textId="77777777" w:rsidR="00DD5385" w:rsidRDefault="00DD5385" w:rsidP="00DC5057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sectPr w:rsidR="00DD5385" w:rsidSect="00DC5057">
      <w:pgSz w:w="12240" w:h="15840"/>
      <w:pgMar w:top="6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vTT378de93d">
    <w:altName w:val="Cambria"/>
    <w:panose1 w:val="00000000000000000000"/>
    <w:charset w:val="00"/>
    <w:family w:val="roman"/>
    <w:notTrueType/>
    <w:pitch w:val="default"/>
  </w:font>
  <w:font w:name="AdvP4C4E51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350B"/>
    <w:multiLevelType w:val="hybridMultilevel"/>
    <w:tmpl w:val="4F664B9E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424A"/>
    <w:multiLevelType w:val="hybridMultilevel"/>
    <w:tmpl w:val="BCA0C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933"/>
    <w:multiLevelType w:val="hybridMultilevel"/>
    <w:tmpl w:val="37263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0396"/>
    <w:multiLevelType w:val="hybridMultilevel"/>
    <w:tmpl w:val="64768188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DF64B4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107BA"/>
    <w:multiLevelType w:val="hybridMultilevel"/>
    <w:tmpl w:val="5C12A668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485D"/>
    <w:multiLevelType w:val="hybridMultilevel"/>
    <w:tmpl w:val="4ABA12AA"/>
    <w:lvl w:ilvl="0" w:tplc="2A8EE89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C784E"/>
    <w:multiLevelType w:val="hybridMultilevel"/>
    <w:tmpl w:val="2584AB3C"/>
    <w:lvl w:ilvl="0" w:tplc="DF64B4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AC553E"/>
    <w:multiLevelType w:val="hybridMultilevel"/>
    <w:tmpl w:val="03A6461E"/>
    <w:lvl w:ilvl="0" w:tplc="DF64B4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25342"/>
    <w:multiLevelType w:val="hybridMultilevel"/>
    <w:tmpl w:val="AF6AFEF2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65B81"/>
    <w:multiLevelType w:val="hybridMultilevel"/>
    <w:tmpl w:val="4ADC6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641C3"/>
    <w:multiLevelType w:val="hybridMultilevel"/>
    <w:tmpl w:val="17625536"/>
    <w:lvl w:ilvl="0" w:tplc="DF64B498">
      <w:start w:val="1"/>
      <w:numFmt w:val="bullet"/>
      <w:lvlText w:val=""/>
      <w:lvlJc w:val="left"/>
      <w:pPr>
        <w:ind w:left="1044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 w15:restartNumberingAfterBreak="0">
    <w:nsid w:val="552D673F"/>
    <w:multiLevelType w:val="hybridMultilevel"/>
    <w:tmpl w:val="6136B9F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E3702DE"/>
    <w:multiLevelType w:val="multilevel"/>
    <w:tmpl w:val="7D4C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AC104B5"/>
    <w:multiLevelType w:val="hybridMultilevel"/>
    <w:tmpl w:val="AD760C3C"/>
    <w:lvl w:ilvl="0" w:tplc="DF64B4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1" w:tplc="DF64B49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2" w:tplc="8F4CB898">
      <w:start w:val="3"/>
      <w:numFmt w:val="bullet"/>
      <w:lvlText w:val=""/>
      <w:lvlJc w:val="left"/>
      <w:pPr>
        <w:ind w:left="2160" w:hanging="360"/>
      </w:pPr>
      <w:rPr>
        <w:rFonts w:ascii="Calibri" w:eastAsia="Segoe Fluent Icons" w:hAnsi="Calibri" w:cs="Calibri" w:hint="default"/>
      </w:rPr>
    </w:lvl>
    <w:lvl w:ilvl="3" w:tplc="DF64B4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0000" w:themeColor="text1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83815">
    <w:abstractNumId w:val="12"/>
  </w:num>
  <w:num w:numId="2" w16cid:durableId="405305182">
    <w:abstractNumId w:val="4"/>
  </w:num>
  <w:num w:numId="3" w16cid:durableId="941374003">
    <w:abstractNumId w:val="7"/>
  </w:num>
  <w:num w:numId="4" w16cid:durableId="775291252">
    <w:abstractNumId w:val="13"/>
  </w:num>
  <w:num w:numId="5" w16cid:durableId="287203204">
    <w:abstractNumId w:val="10"/>
  </w:num>
  <w:num w:numId="6" w16cid:durableId="1329285578">
    <w:abstractNumId w:val="6"/>
  </w:num>
  <w:num w:numId="7" w16cid:durableId="840657245">
    <w:abstractNumId w:val="3"/>
  </w:num>
  <w:num w:numId="8" w16cid:durableId="194848870">
    <w:abstractNumId w:val="9"/>
  </w:num>
  <w:num w:numId="9" w16cid:durableId="1105810963">
    <w:abstractNumId w:val="1"/>
  </w:num>
  <w:num w:numId="10" w16cid:durableId="753430754">
    <w:abstractNumId w:val="0"/>
  </w:num>
  <w:num w:numId="11" w16cid:durableId="1141271877">
    <w:abstractNumId w:val="8"/>
  </w:num>
  <w:num w:numId="12" w16cid:durableId="11493028">
    <w:abstractNumId w:val="2"/>
  </w:num>
  <w:num w:numId="13" w16cid:durableId="2130197315">
    <w:abstractNumId w:val="11"/>
  </w:num>
  <w:num w:numId="14" w16cid:durableId="256600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85"/>
    <w:rsid w:val="000B3A38"/>
    <w:rsid w:val="001E3D20"/>
    <w:rsid w:val="001F5087"/>
    <w:rsid w:val="00696E26"/>
    <w:rsid w:val="00793C09"/>
    <w:rsid w:val="009F5434"/>
    <w:rsid w:val="00AB52DC"/>
    <w:rsid w:val="00B308B4"/>
    <w:rsid w:val="00C17A02"/>
    <w:rsid w:val="00CA3201"/>
    <w:rsid w:val="00DC5057"/>
    <w:rsid w:val="00DD5385"/>
    <w:rsid w:val="00DF7BA7"/>
    <w:rsid w:val="00F4460D"/>
    <w:rsid w:val="00F8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6FBC"/>
  <w15:docId w15:val="{C512AC5D-1CD3-4D16-8004-55356B83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C505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0B3A38"/>
  </w:style>
  <w:style w:type="character" w:customStyle="1" w:styleId="CommentTextChar">
    <w:name w:val="Comment Text Char"/>
    <w:basedOn w:val="DefaultParagraphFont"/>
    <w:link w:val="CommentText"/>
    <w:uiPriority w:val="99"/>
    <w:rsid w:val="000B3A38"/>
  </w:style>
  <w:style w:type="character" w:styleId="Hyperlink">
    <w:name w:val="Hyperlink"/>
    <w:basedOn w:val="DefaultParagraphFont"/>
    <w:uiPriority w:val="99"/>
    <w:unhideWhenUsed/>
    <w:rsid w:val="00F446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.qld.gov.au/__data/assets/pdf_file/0035/736964/g-pprom.pdf" TargetMode="External"/><Relationship Id="rId5" Type="http://schemas.openxmlformats.org/officeDocument/2006/relationships/hyperlink" Target="https://www.nice.org.uk/guidance/ng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Abdelhamid Attia</dc:creator>
  <cp:lastModifiedBy>Abdelhamid Attia</cp:lastModifiedBy>
  <cp:revision>2</cp:revision>
  <dcterms:created xsi:type="dcterms:W3CDTF">2023-10-30T20:56:00Z</dcterms:created>
  <dcterms:modified xsi:type="dcterms:W3CDTF">2023-10-30T20:56:00Z</dcterms:modified>
</cp:coreProperties>
</file>