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E79BF" w14:textId="77777777" w:rsidR="0057691F" w:rsidRDefault="002F7F0A" w:rsidP="0057691F">
      <w:pPr>
        <w:pBdr>
          <w:top w:val="single" w:sz="4" w:space="1" w:color="auto"/>
          <w:left w:val="single" w:sz="4" w:space="4" w:color="auto"/>
          <w:bottom w:val="single" w:sz="4" w:space="1" w:color="auto"/>
          <w:right w:val="single" w:sz="4" w:space="4" w:color="auto"/>
        </w:pBdr>
        <w:spacing w:after="200"/>
        <w:ind w:right="-390"/>
        <w:contextualSpacing/>
        <w:jc w:val="center"/>
        <w:rPr>
          <w:rFonts w:asciiTheme="minorHAnsi" w:eastAsia="Calibri" w:hAnsiTheme="minorHAnsi" w:cstheme="minorHAnsi"/>
          <w:b/>
          <w:bCs/>
          <w:sz w:val="32"/>
          <w:szCs w:val="32"/>
        </w:rPr>
      </w:pPr>
      <w:r w:rsidRPr="002F7F0A">
        <w:rPr>
          <w:rFonts w:asciiTheme="minorHAnsi" w:eastAsia="Calibri" w:hAnsiTheme="minorHAnsi" w:cstheme="minorHAnsi"/>
          <w:b/>
          <w:bCs/>
          <w:sz w:val="32"/>
          <w:szCs w:val="32"/>
        </w:rPr>
        <w:t>AN ADAPTED EVIDENCE-BASED CLINICAL PRACTICE GUIDELINE</w:t>
      </w:r>
    </w:p>
    <w:p w14:paraId="7B517481" w14:textId="559E22EB" w:rsidR="002F7F0A" w:rsidRPr="002F7F0A" w:rsidRDefault="002F7F0A" w:rsidP="0057691F">
      <w:pPr>
        <w:pBdr>
          <w:top w:val="single" w:sz="4" w:space="1" w:color="auto"/>
          <w:left w:val="single" w:sz="4" w:space="4" w:color="auto"/>
          <w:bottom w:val="single" w:sz="4" w:space="1" w:color="auto"/>
          <w:right w:val="single" w:sz="4" w:space="4" w:color="auto"/>
        </w:pBdr>
        <w:spacing w:after="200"/>
        <w:ind w:right="-390"/>
        <w:contextualSpacing/>
        <w:jc w:val="center"/>
        <w:rPr>
          <w:rFonts w:asciiTheme="minorHAnsi" w:eastAsia="Calibri" w:hAnsiTheme="minorHAnsi" w:cstheme="minorHAnsi"/>
          <w:b/>
          <w:bCs/>
          <w:sz w:val="32"/>
          <w:szCs w:val="32"/>
        </w:rPr>
      </w:pPr>
      <w:r w:rsidRPr="002F7F0A">
        <w:rPr>
          <w:rFonts w:asciiTheme="minorHAnsi" w:eastAsia="Calibri" w:hAnsiTheme="minorHAnsi" w:cstheme="minorHAnsi"/>
          <w:b/>
          <w:bCs/>
          <w:sz w:val="32"/>
          <w:szCs w:val="32"/>
        </w:rPr>
        <w:t>ON</w:t>
      </w:r>
    </w:p>
    <w:p w14:paraId="70B88A7A" w14:textId="1C9F6B5E" w:rsidR="002F7F0A" w:rsidRPr="002F7F0A" w:rsidRDefault="002F7F0A" w:rsidP="0057691F">
      <w:pPr>
        <w:pBdr>
          <w:top w:val="single" w:sz="4" w:space="1" w:color="auto"/>
          <w:left w:val="single" w:sz="4" w:space="4" w:color="auto"/>
          <w:bottom w:val="single" w:sz="4" w:space="1" w:color="auto"/>
          <w:right w:val="single" w:sz="4" w:space="4" w:color="auto"/>
        </w:pBdr>
        <w:spacing w:after="200"/>
        <w:ind w:right="-390"/>
        <w:jc w:val="center"/>
        <w:rPr>
          <w:rFonts w:asciiTheme="minorHAnsi" w:eastAsia="Calibri" w:hAnsiTheme="minorHAnsi" w:cstheme="minorHAnsi"/>
          <w:b/>
          <w:bCs/>
          <w:sz w:val="32"/>
          <w:szCs w:val="32"/>
        </w:rPr>
      </w:pPr>
      <w:bookmarkStart w:id="0" w:name="_Hlk137126259"/>
      <w:r w:rsidRPr="002F7F0A">
        <w:rPr>
          <w:rFonts w:asciiTheme="minorHAnsi" w:eastAsia="Calibri" w:hAnsiTheme="minorHAnsi" w:cstheme="minorHAnsi"/>
          <w:b/>
          <w:bCs/>
          <w:sz w:val="32"/>
          <w:szCs w:val="32"/>
        </w:rPr>
        <w:t>NAUSEA &amp; VOMITING OF PREGNANCY &amp; HYPEREMESIS GRAVIDARUM</w:t>
      </w:r>
    </w:p>
    <w:bookmarkEnd w:id="0"/>
    <w:p w14:paraId="43ED53F5" w14:textId="77777777" w:rsidR="002F7F0A" w:rsidRPr="002F7F0A" w:rsidRDefault="002F7F0A" w:rsidP="002F7F0A">
      <w:pPr>
        <w:autoSpaceDE w:val="0"/>
        <w:autoSpaceDN w:val="0"/>
        <w:adjustRightInd w:val="0"/>
        <w:spacing w:before="240" w:after="120"/>
        <w:ind w:right="-390"/>
        <w:jc w:val="lowKashida"/>
        <w:rPr>
          <w:rFonts w:asciiTheme="minorHAnsi" w:eastAsia="Calibri" w:hAnsiTheme="minorHAnsi" w:cstheme="minorHAnsi"/>
          <w:b/>
          <w:bCs/>
          <w:caps/>
          <w:sz w:val="24"/>
          <w:szCs w:val="24"/>
          <w:lang w:bidi="ar-EG"/>
        </w:rPr>
      </w:pPr>
      <w:r w:rsidRPr="002F7F0A">
        <w:rPr>
          <w:rFonts w:asciiTheme="minorHAnsi" w:eastAsia="Calibri" w:hAnsiTheme="minorHAnsi" w:cstheme="minorHAnsi"/>
          <w:b/>
          <w:bCs/>
          <w:caps/>
          <w:sz w:val="24"/>
          <w:szCs w:val="24"/>
          <w:lang w:bidi="ar-EG"/>
        </w:rPr>
        <w:t>Overview</w:t>
      </w:r>
    </w:p>
    <w:p w14:paraId="02BAB90C" w14:textId="4904943A" w:rsidR="002F7F0A" w:rsidRPr="002F7F0A" w:rsidRDefault="002F7F0A" w:rsidP="002F7F0A">
      <w:pPr>
        <w:spacing w:after="120"/>
        <w:ind w:right="-390"/>
        <w:jc w:val="lowKashida"/>
        <w:rPr>
          <w:rFonts w:asciiTheme="minorHAnsi" w:eastAsia="Calibri" w:hAnsiTheme="minorHAnsi" w:cstheme="minorHAnsi"/>
          <w:color w:val="FF0000"/>
          <w:sz w:val="22"/>
          <w:szCs w:val="22"/>
        </w:rPr>
      </w:pPr>
      <w:r w:rsidRPr="002F7F0A">
        <w:rPr>
          <w:rFonts w:asciiTheme="minorHAnsi" w:eastAsia="Calibri" w:hAnsiTheme="minorHAnsi" w:cstheme="minorHAnsi"/>
          <w:sz w:val="22"/>
          <w:szCs w:val="22"/>
        </w:rPr>
        <w:t xml:space="preserve">This is an adapted evidence-based clinical practice guideline for </w:t>
      </w:r>
      <w:r w:rsidR="00490827" w:rsidRPr="00490827">
        <w:rPr>
          <w:rFonts w:asciiTheme="minorHAnsi" w:eastAsia="Calibri" w:hAnsiTheme="minorHAnsi" w:cstheme="minorHAnsi"/>
          <w:sz w:val="22"/>
          <w:szCs w:val="22"/>
        </w:rPr>
        <w:t xml:space="preserve">nausea </w:t>
      </w:r>
      <w:r w:rsidR="00490827">
        <w:rPr>
          <w:rFonts w:asciiTheme="minorHAnsi" w:eastAsia="Calibri" w:hAnsiTheme="minorHAnsi" w:cstheme="minorHAnsi"/>
          <w:sz w:val="22"/>
          <w:szCs w:val="22"/>
        </w:rPr>
        <w:t>and</w:t>
      </w:r>
      <w:r w:rsidR="00490827" w:rsidRPr="00490827">
        <w:rPr>
          <w:rFonts w:asciiTheme="minorHAnsi" w:eastAsia="Calibri" w:hAnsiTheme="minorHAnsi" w:cstheme="minorHAnsi"/>
          <w:sz w:val="22"/>
          <w:szCs w:val="22"/>
        </w:rPr>
        <w:t xml:space="preserve"> vomiting of pregnancy </w:t>
      </w:r>
      <w:r w:rsidR="00490827">
        <w:rPr>
          <w:rFonts w:asciiTheme="minorHAnsi" w:eastAsia="Calibri" w:hAnsiTheme="minorHAnsi" w:cstheme="minorHAnsi"/>
          <w:sz w:val="22"/>
          <w:szCs w:val="22"/>
        </w:rPr>
        <w:t xml:space="preserve">and </w:t>
      </w:r>
      <w:r w:rsidR="00490827" w:rsidRPr="00490827">
        <w:rPr>
          <w:rFonts w:asciiTheme="minorHAnsi" w:eastAsia="Calibri" w:hAnsiTheme="minorHAnsi" w:cstheme="minorHAnsi"/>
          <w:sz w:val="22"/>
          <w:szCs w:val="22"/>
        </w:rPr>
        <w:t>hyperemesis gravidarum</w:t>
      </w:r>
      <w:r w:rsidRPr="002F7F0A">
        <w:rPr>
          <w:rFonts w:asciiTheme="minorHAnsi" w:eastAsia="Calibri" w:hAnsiTheme="minorHAnsi" w:cstheme="minorHAnsi"/>
          <w:color w:val="FF0000"/>
          <w:sz w:val="22"/>
          <w:szCs w:val="22"/>
        </w:rPr>
        <w:t>.</w:t>
      </w:r>
    </w:p>
    <w:p w14:paraId="5059A912" w14:textId="77777777" w:rsidR="002F7F0A" w:rsidRPr="002F7F0A" w:rsidRDefault="002F7F0A" w:rsidP="002F7F0A">
      <w:pPr>
        <w:autoSpaceDE w:val="0"/>
        <w:autoSpaceDN w:val="0"/>
        <w:adjustRightInd w:val="0"/>
        <w:spacing w:before="240" w:after="120"/>
        <w:ind w:right="-390"/>
        <w:jc w:val="lowKashida"/>
        <w:rPr>
          <w:rFonts w:asciiTheme="minorHAnsi" w:eastAsia="Calibri" w:hAnsiTheme="minorHAnsi" w:cstheme="minorHAnsi"/>
          <w:b/>
          <w:bCs/>
          <w:caps/>
          <w:sz w:val="24"/>
          <w:szCs w:val="24"/>
          <w:lang w:bidi="ar-EG"/>
        </w:rPr>
      </w:pPr>
      <w:r w:rsidRPr="002F7F0A">
        <w:rPr>
          <w:rFonts w:asciiTheme="minorHAnsi" w:eastAsia="Calibri" w:hAnsiTheme="minorHAnsi" w:cstheme="minorHAnsi"/>
          <w:b/>
          <w:bCs/>
          <w:caps/>
          <w:sz w:val="24"/>
          <w:szCs w:val="24"/>
          <w:lang w:bidi="ar-EG"/>
        </w:rPr>
        <w:t>Guideline adapter</w:t>
      </w:r>
    </w:p>
    <w:p w14:paraId="1AB7FBB9" w14:textId="77777777" w:rsidR="002F7F0A" w:rsidRPr="00472B93" w:rsidRDefault="002F7F0A" w:rsidP="002F7F0A">
      <w:pPr>
        <w:widowControl w:val="0"/>
        <w:autoSpaceDE w:val="0"/>
        <w:autoSpaceDN w:val="0"/>
        <w:adjustRightInd w:val="0"/>
        <w:spacing w:after="120"/>
        <w:ind w:right="-390"/>
        <w:jc w:val="lowKashida"/>
        <w:rPr>
          <w:rFonts w:asciiTheme="minorHAnsi" w:eastAsia="Calibri" w:hAnsiTheme="minorHAnsi" w:cstheme="minorHAnsi"/>
          <w:b/>
          <w:bCs/>
          <w:sz w:val="22"/>
          <w:szCs w:val="22"/>
          <w:lang w:bidi="ar-EG"/>
        </w:rPr>
      </w:pPr>
      <w:r w:rsidRPr="00472B93">
        <w:rPr>
          <w:rFonts w:asciiTheme="minorHAnsi" w:eastAsia="Calibri" w:hAnsiTheme="minorHAnsi" w:cstheme="minorHAnsi"/>
          <w:b/>
          <w:bCs/>
          <w:sz w:val="22"/>
          <w:szCs w:val="22"/>
          <w:lang w:bidi="ar-EG"/>
        </w:rPr>
        <w:t>This guideline has been adapted by the Egyptian Universities Obstetrics &amp; Gynecology Guideline Working Group (EUOBGYN-GWG).</w:t>
      </w:r>
    </w:p>
    <w:p w14:paraId="1F40AD12" w14:textId="77777777" w:rsidR="002F7F0A" w:rsidRPr="002F7F0A" w:rsidRDefault="002F7F0A" w:rsidP="002F7F0A">
      <w:pPr>
        <w:autoSpaceDE w:val="0"/>
        <w:autoSpaceDN w:val="0"/>
        <w:adjustRightInd w:val="0"/>
        <w:spacing w:before="240" w:after="120"/>
        <w:ind w:right="-390"/>
        <w:jc w:val="lowKashida"/>
        <w:rPr>
          <w:rFonts w:asciiTheme="minorHAnsi" w:eastAsia="Calibri" w:hAnsiTheme="minorHAnsi" w:cstheme="minorHAnsi"/>
          <w:b/>
          <w:bCs/>
          <w:caps/>
          <w:sz w:val="24"/>
          <w:szCs w:val="24"/>
          <w:lang w:bidi="ar-EG"/>
        </w:rPr>
      </w:pPr>
      <w:r w:rsidRPr="002F7F0A">
        <w:rPr>
          <w:rFonts w:asciiTheme="minorHAnsi" w:eastAsia="Calibri" w:hAnsiTheme="minorHAnsi" w:cstheme="minorHAnsi"/>
          <w:b/>
          <w:bCs/>
          <w:caps/>
          <w:sz w:val="24"/>
          <w:szCs w:val="24"/>
          <w:lang w:bidi="ar-EG"/>
        </w:rPr>
        <w:t xml:space="preserve">Release date </w:t>
      </w:r>
    </w:p>
    <w:p w14:paraId="0F3C3C3F" w14:textId="77777777" w:rsidR="002F7F0A" w:rsidRPr="002F7F0A" w:rsidRDefault="002F7F0A" w:rsidP="002F7F0A">
      <w:pPr>
        <w:spacing w:after="120"/>
        <w:ind w:right="-390"/>
        <w:jc w:val="lowKashida"/>
        <w:rPr>
          <w:rFonts w:asciiTheme="minorHAnsi" w:hAnsiTheme="minorHAnsi" w:cstheme="minorHAnsi"/>
          <w:sz w:val="22"/>
          <w:szCs w:val="22"/>
        </w:rPr>
      </w:pPr>
      <w:r w:rsidRPr="002F7F0A">
        <w:rPr>
          <w:rFonts w:asciiTheme="minorHAnsi" w:hAnsiTheme="minorHAnsi" w:cstheme="minorHAnsi"/>
          <w:sz w:val="22"/>
          <w:szCs w:val="22"/>
        </w:rPr>
        <w:t>July 2023</w:t>
      </w:r>
    </w:p>
    <w:p w14:paraId="14DFF2EA" w14:textId="77777777" w:rsidR="002F7F0A" w:rsidRPr="002F7F0A" w:rsidRDefault="002F7F0A" w:rsidP="002F7F0A">
      <w:pPr>
        <w:autoSpaceDE w:val="0"/>
        <w:autoSpaceDN w:val="0"/>
        <w:adjustRightInd w:val="0"/>
        <w:spacing w:before="240" w:after="120"/>
        <w:ind w:right="-390"/>
        <w:jc w:val="lowKashida"/>
        <w:rPr>
          <w:rFonts w:asciiTheme="minorHAnsi" w:eastAsia="Calibri" w:hAnsiTheme="minorHAnsi" w:cstheme="minorHAnsi"/>
          <w:b/>
          <w:bCs/>
          <w:caps/>
          <w:sz w:val="24"/>
          <w:szCs w:val="24"/>
          <w:lang w:bidi="ar-EG"/>
        </w:rPr>
      </w:pPr>
      <w:r w:rsidRPr="002F7F0A">
        <w:rPr>
          <w:rFonts w:asciiTheme="minorHAnsi" w:eastAsia="Calibri" w:hAnsiTheme="minorHAnsi" w:cstheme="minorHAnsi"/>
          <w:b/>
          <w:bCs/>
          <w:caps/>
          <w:sz w:val="24"/>
          <w:szCs w:val="24"/>
          <w:lang w:bidi="ar-EG"/>
        </w:rPr>
        <w:t>GUIDELINE ADAPTATION METHODOLOGY</w:t>
      </w:r>
    </w:p>
    <w:p w14:paraId="6E76AD0F" w14:textId="77777777" w:rsidR="002F7F0A" w:rsidRPr="002F7F0A" w:rsidRDefault="002F7F0A" w:rsidP="002F7F0A">
      <w:pPr>
        <w:spacing w:after="120"/>
        <w:ind w:right="-390"/>
        <w:jc w:val="lowKashida"/>
        <w:rPr>
          <w:rFonts w:asciiTheme="minorHAnsi" w:hAnsiTheme="minorHAnsi" w:cstheme="minorHAnsi"/>
          <w:sz w:val="22"/>
          <w:szCs w:val="22"/>
        </w:rPr>
      </w:pPr>
      <w:r w:rsidRPr="002F7F0A">
        <w:rPr>
          <w:rFonts w:asciiTheme="minorHAnsi" w:hAnsiTheme="minorHAnsi" w:cstheme="minorHAnsi"/>
          <w:sz w:val="22"/>
          <w:szCs w:val="22"/>
        </w:rPr>
        <w:t>This guideline was produced in accordance with the ADAPTE methodology and procedure for the adaptation of evidence-based clinical practice guidelines published by the ADAPTE Group (Fervers B, et al., Adaptation of clinical guidelines: literature review and proposition for a framework and procedure.  Int J Qual Health Care 2006; 18(3): 167-176).</w:t>
      </w:r>
    </w:p>
    <w:p w14:paraId="59D9FF2D" w14:textId="77777777" w:rsidR="002F7F0A" w:rsidRPr="002F7F0A" w:rsidRDefault="002F7F0A" w:rsidP="002F7F0A">
      <w:pPr>
        <w:autoSpaceDE w:val="0"/>
        <w:autoSpaceDN w:val="0"/>
        <w:adjustRightInd w:val="0"/>
        <w:spacing w:before="240" w:after="120"/>
        <w:ind w:right="-390"/>
        <w:jc w:val="lowKashida"/>
        <w:rPr>
          <w:rFonts w:asciiTheme="minorHAnsi" w:eastAsia="Calibri" w:hAnsiTheme="minorHAnsi" w:cstheme="minorHAnsi"/>
          <w:b/>
          <w:bCs/>
          <w:caps/>
          <w:sz w:val="24"/>
          <w:szCs w:val="24"/>
          <w:lang w:bidi="ar-EG"/>
        </w:rPr>
      </w:pPr>
      <w:r w:rsidRPr="002F7F0A">
        <w:rPr>
          <w:rFonts w:asciiTheme="minorHAnsi" w:eastAsia="Calibri" w:hAnsiTheme="minorHAnsi" w:cstheme="minorHAnsi"/>
          <w:b/>
          <w:bCs/>
          <w:caps/>
          <w:sz w:val="24"/>
          <w:szCs w:val="24"/>
          <w:lang w:bidi="ar-EG"/>
        </w:rPr>
        <w:t>sources of the guideline</w:t>
      </w:r>
    </w:p>
    <w:p w14:paraId="1B1F3C63" w14:textId="77777777" w:rsidR="002F7F0A" w:rsidRPr="002F7F0A" w:rsidRDefault="002F7F0A" w:rsidP="002F7F0A">
      <w:pPr>
        <w:autoSpaceDE w:val="0"/>
        <w:autoSpaceDN w:val="0"/>
        <w:adjustRightInd w:val="0"/>
        <w:spacing w:after="120"/>
        <w:ind w:right="-390"/>
        <w:jc w:val="lowKashida"/>
        <w:rPr>
          <w:rFonts w:asciiTheme="minorHAnsi" w:eastAsia="Calibri" w:hAnsiTheme="minorHAnsi" w:cstheme="minorHAnsi"/>
          <w:b/>
          <w:bCs/>
          <w:sz w:val="22"/>
          <w:szCs w:val="22"/>
          <w:lang w:bidi="ar-EG"/>
        </w:rPr>
      </w:pPr>
      <w:r w:rsidRPr="002F7F0A">
        <w:rPr>
          <w:rFonts w:asciiTheme="minorHAnsi" w:eastAsia="Calibri" w:hAnsiTheme="minorHAnsi" w:cstheme="minorHAnsi"/>
          <w:b/>
          <w:bCs/>
          <w:sz w:val="22"/>
          <w:szCs w:val="22"/>
          <w:lang w:bidi="ar-EG"/>
        </w:rPr>
        <w:t>This guideline was adapted from:</w:t>
      </w:r>
    </w:p>
    <w:p w14:paraId="185C700B" w14:textId="07C33F2E" w:rsidR="002F7F0A" w:rsidRDefault="002D6297" w:rsidP="002D6297">
      <w:pPr>
        <w:numPr>
          <w:ilvl w:val="0"/>
          <w:numId w:val="16"/>
        </w:numPr>
        <w:autoSpaceDE w:val="0"/>
        <w:autoSpaceDN w:val="0"/>
        <w:adjustRightInd w:val="0"/>
        <w:spacing w:after="120"/>
        <w:ind w:left="360" w:right="-389"/>
        <w:jc w:val="lowKashida"/>
        <w:rPr>
          <w:rFonts w:asciiTheme="minorHAnsi" w:eastAsia="MS Mincho" w:hAnsiTheme="minorHAnsi" w:cstheme="minorHAnsi"/>
          <w:sz w:val="22"/>
          <w:szCs w:val="22"/>
          <w:lang w:eastAsia="ja-JP" w:bidi="ar-EG"/>
        </w:rPr>
      </w:pPr>
      <w:r w:rsidRPr="002D6297">
        <w:rPr>
          <w:rFonts w:asciiTheme="minorHAnsi" w:eastAsia="MS Mincho" w:hAnsiTheme="minorHAnsi" w:cstheme="minorHAnsi"/>
          <w:sz w:val="22"/>
          <w:szCs w:val="22"/>
          <w:lang w:eastAsia="ja-JP" w:bidi="ar-EG"/>
        </w:rPr>
        <w:t xml:space="preserve">SOMANZ Guideline </w:t>
      </w:r>
      <w:r w:rsidR="00AA0AC9" w:rsidRPr="002D6297">
        <w:rPr>
          <w:rFonts w:asciiTheme="minorHAnsi" w:eastAsia="MS Mincho" w:hAnsiTheme="minorHAnsi" w:cstheme="minorHAnsi"/>
          <w:sz w:val="22"/>
          <w:szCs w:val="22"/>
          <w:lang w:eastAsia="ja-JP" w:bidi="ar-EG"/>
        </w:rPr>
        <w:t>for</w:t>
      </w:r>
      <w:r w:rsidRPr="002D6297">
        <w:rPr>
          <w:rFonts w:asciiTheme="minorHAnsi" w:eastAsia="MS Mincho" w:hAnsiTheme="minorHAnsi" w:cstheme="minorHAnsi"/>
          <w:sz w:val="22"/>
          <w:szCs w:val="22"/>
          <w:lang w:eastAsia="ja-JP" w:bidi="ar-EG"/>
        </w:rPr>
        <w:t xml:space="preserve"> Management </w:t>
      </w:r>
      <w:r w:rsidR="00AA0AC9" w:rsidRPr="002D6297">
        <w:rPr>
          <w:rFonts w:asciiTheme="minorHAnsi" w:eastAsia="MS Mincho" w:hAnsiTheme="minorHAnsi" w:cstheme="minorHAnsi"/>
          <w:sz w:val="22"/>
          <w:szCs w:val="22"/>
          <w:lang w:eastAsia="ja-JP" w:bidi="ar-EG"/>
        </w:rPr>
        <w:t>of</w:t>
      </w:r>
      <w:r w:rsidRPr="002D6297">
        <w:rPr>
          <w:rFonts w:asciiTheme="minorHAnsi" w:eastAsia="MS Mincho" w:hAnsiTheme="minorHAnsi" w:cstheme="minorHAnsi"/>
          <w:sz w:val="22"/>
          <w:szCs w:val="22"/>
          <w:lang w:eastAsia="ja-JP" w:bidi="ar-EG"/>
        </w:rPr>
        <w:t xml:space="preserve"> Nausea </w:t>
      </w:r>
      <w:r w:rsidR="00AA0AC9" w:rsidRPr="002D6297">
        <w:rPr>
          <w:rFonts w:asciiTheme="minorHAnsi" w:eastAsia="MS Mincho" w:hAnsiTheme="minorHAnsi" w:cstheme="minorHAnsi"/>
          <w:sz w:val="22"/>
          <w:szCs w:val="22"/>
          <w:lang w:eastAsia="ja-JP" w:bidi="ar-EG"/>
        </w:rPr>
        <w:t>and</w:t>
      </w:r>
      <w:r w:rsidRPr="002D6297">
        <w:rPr>
          <w:rFonts w:asciiTheme="minorHAnsi" w:eastAsia="MS Mincho" w:hAnsiTheme="minorHAnsi" w:cstheme="minorHAnsi"/>
          <w:sz w:val="22"/>
          <w:szCs w:val="22"/>
          <w:lang w:eastAsia="ja-JP" w:bidi="ar-EG"/>
        </w:rPr>
        <w:t xml:space="preserve"> Vomiting </w:t>
      </w:r>
      <w:r w:rsidR="00AA0AC9" w:rsidRPr="002D6297">
        <w:rPr>
          <w:rFonts w:asciiTheme="minorHAnsi" w:eastAsia="MS Mincho" w:hAnsiTheme="minorHAnsi" w:cstheme="minorHAnsi"/>
          <w:sz w:val="22"/>
          <w:szCs w:val="22"/>
          <w:lang w:eastAsia="ja-JP" w:bidi="ar-EG"/>
        </w:rPr>
        <w:t>of</w:t>
      </w:r>
      <w:r w:rsidRPr="002D6297">
        <w:rPr>
          <w:rFonts w:asciiTheme="minorHAnsi" w:eastAsia="MS Mincho" w:hAnsiTheme="minorHAnsi" w:cstheme="minorHAnsi"/>
          <w:sz w:val="22"/>
          <w:szCs w:val="22"/>
          <w:lang w:eastAsia="ja-JP" w:bidi="ar-EG"/>
        </w:rPr>
        <w:t xml:space="preserve"> Pregnancy </w:t>
      </w:r>
      <w:r w:rsidR="00AA0AC9" w:rsidRPr="002D6297">
        <w:rPr>
          <w:rFonts w:asciiTheme="minorHAnsi" w:eastAsia="MS Mincho" w:hAnsiTheme="minorHAnsi" w:cstheme="minorHAnsi"/>
          <w:sz w:val="22"/>
          <w:szCs w:val="22"/>
          <w:lang w:eastAsia="ja-JP" w:bidi="ar-EG"/>
        </w:rPr>
        <w:t>and</w:t>
      </w:r>
      <w:r w:rsidRPr="002D6297">
        <w:rPr>
          <w:rFonts w:asciiTheme="minorHAnsi" w:eastAsia="MS Mincho" w:hAnsiTheme="minorHAnsi" w:cstheme="minorHAnsi"/>
          <w:sz w:val="22"/>
          <w:szCs w:val="22"/>
          <w:lang w:eastAsia="ja-JP" w:bidi="ar-EG"/>
        </w:rPr>
        <w:t xml:space="preserve"> Hyperemesis Gravidarum (2019</w:t>
      </w:r>
      <w:r>
        <w:rPr>
          <w:rFonts w:asciiTheme="minorHAnsi" w:eastAsia="MS Mincho" w:hAnsiTheme="minorHAnsi" w:cstheme="minorHAnsi"/>
          <w:sz w:val="22"/>
          <w:szCs w:val="22"/>
          <w:lang w:eastAsia="ja-JP" w:bidi="ar-EG"/>
        </w:rPr>
        <w:t>)</w:t>
      </w:r>
      <w:r w:rsidR="00DC77B2">
        <w:rPr>
          <w:rFonts w:asciiTheme="minorHAnsi" w:eastAsia="MS Mincho" w:hAnsiTheme="minorHAnsi" w:cstheme="minorHAnsi"/>
          <w:sz w:val="22"/>
          <w:szCs w:val="22"/>
          <w:lang w:eastAsia="ja-JP" w:bidi="ar-EG"/>
        </w:rPr>
        <w:t>.</w:t>
      </w:r>
      <w:r w:rsidRPr="002D6297">
        <w:t xml:space="preserve"> </w:t>
      </w:r>
      <w:r w:rsidRPr="002D6297">
        <w:rPr>
          <w:rFonts w:asciiTheme="minorHAnsi" w:eastAsia="MS Mincho" w:hAnsiTheme="minorHAnsi" w:cstheme="minorHAnsi"/>
          <w:sz w:val="22"/>
          <w:szCs w:val="22"/>
          <w:lang w:eastAsia="ja-JP" w:bidi="ar-EG"/>
        </w:rPr>
        <w:t>Society of Obstetric Medicine of Australia and New Zealand</w:t>
      </w:r>
      <w:r>
        <w:rPr>
          <w:rFonts w:asciiTheme="minorHAnsi" w:eastAsia="MS Mincho" w:hAnsiTheme="minorHAnsi" w:cstheme="minorHAnsi"/>
          <w:sz w:val="22"/>
          <w:szCs w:val="22"/>
          <w:lang w:eastAsia="ja-JP" w:bidi="ar-EG"/>
        </w:rPr>
        <w:t>.</w:t>
      </w:r>
      <w:r>
        <w:rPr>
          <w:rFonts w:asciiTheme="minorHAnsi" w:eastAsia="MS Mincho" w:hAnsiTheme="minorHAnsi" w:cstheme="minorHAnsi"/>
          <w:sz w:val="22"/>
          <w:szCs w:val="22"/>
          <w:lang w:eastAsia="ja-JP" w:bidi="ar-EG"/>
        </w:rPr>
        <w:br/>
      </w:r>
      <w:hyperlink r:id="rId7" w:history="1">
        <w:r w:rsidRPr="00AD39E2">
          <w:rPr>
            <w:rStyle w:val="Hyperlink"/>
            <w:rFonts w:asciiTheme="minorHAnsi" w:eastAsia="MS Mincho" w:hAnsiTheme="minorHAnsi" w:cstheme="minorHAnsi"/>
            <w:sz w:val="22"/>
            <w:szCs w:val="22"/>
            <w:lang w:eastAsia="ja-JP" w:bidi="ar-EG"/>
          </w:rPr>
          <w:t>https://www.somanz.org/content/uploads/2020/07/NVP-GUIDELINE-1.2.20-1.pdf</w:t>
        </w:r>
      </w:hyperlink>
    </w:p>
    <w:p w14:paraId="66B429A2" w14:textId="4DB0168F" w:rsidR="002D6297" w:rsidRPr="002F7F0A" w:rsidRDefault="00DC77B2" w:rsidP="002D6297">
      <w:pPr>
        <w:numPr>
          <w:ilvl w:val="0"/>
          <w:numId w:val="16"/>
        </w:numPr>
        <w:autoSpaceDE w:val="0"/>
        <w:autoSpaceDN w:val="0"/>
        <w:adjustRightInd w:val="0"/>
        <w:spacing w:after="120"/>
        <w:ind w:left="360" w:right="-389"/>
        <w:jc w:val="lowKashida"/>
        <w:rPr>
          <w:rFonts w:asciiTheme="minorHAnsi" w:eastAsia="MS Mincho" w:hAnsiTheme="minorHAnsi" w:cstheme="minorHAnsi"/>
          <w:sz w:val="22"/>
          <w:szCs w:val="22"/>
          <w:lang w:eastAsia="ja-JP" w:bidi="ar-EG"/>
        </w:rPr>
      </w:pPr>
      <w:r>
        <w:rPr>
          <w:rFonts w:asciiTheme="minorHAnsi" w:eastAsia="MS Mincho" w:hAnsiTheme="minorHAnsi" w:cstheme="minorHAnsi"/>
          <w:sz w:val="22"/>
          <w:szCs w:val="22"/>
          <w:lang w:eastAsia="ja-JP" w:bidi="ar-EG"/>
        </w:rPr>
        <w:t xml:space="preserve">ACOG: </w:t>
      </w:r>
      <w:r w:rsidR="002D6297" w:rsidRPr="002D6297">
        <w:rPr>
          <w:rFonts w:asciiTheme="minorHAnsi" w:eastAsia="MS Mincho" w:hAnsiTheme="minorHAnsi" w:cstheme="minorHAnsi"/>
          <w:sz w:val="22"/>
          <w:szCs w:val="22"/>
          <w:lang w:eastAsia="ja-JP" w:bidi="ar-EG"/>
        </w:rPr>
        <w:t xml:space="preserve">Committee on Practice Bulletins-Obstetrics. ACOG Practice Bulletin No. 189: Nausea </w:t>
      </w:r>
      <w:r w:rsidR="00AA0AC9" w:rsidRPr="002D6297">
        <w:rPr>
          <w:rFonts w:asciiTheme="minorHAnsi" w:eastAsia="MS Mincho" w:hAnsiTheme="minorHAnsi" w:cstheme="minorHAnsi"/>
          <w:sz w:val="22"/>
          <w:szCs w:val="22"/>
          <w:lang w:eastAsia="ja-JP" w:bidi="ar-EG"/>
        </w:rPr>
        <w:t>and</w:t>
      </w:r>
      <w:r w:rsidR="002D6297" w:rsidRPr="002D6297">
        <w:rPr>
          <w:rFonts w:asciiTheme="minorHAnsi" w:eastAsia="MS Mincho" w:hAnsiTheme="minorHAnsi" w:cstheme="minorHAnsi"/>
          <w:sz w:val="22"/>
          <w:szCs w:val="22"/>
          <w:lang w:eastAsia="ja-JP" w:bidi="ar-EG"/>
        </w:rPr>
        <w:t xml:space="preserve"> Vomiting </w:t>
      </w:r>
      <w:r w:rsidR="00AA0AC9" w:rsidRPr="002D6297">
        <w:rPr>
          <w:rFonts w:asciiTheme="minorHAnsi" w:eastAsia="MS Mincho" w:hAnsiTheme="minorHAnsi" w:cstheme="minorHAnsi"/>
          <w:sz w:val="22"/>
          <w:szCs w:val="22"/>
          <w:lang w:eastAsia="ja-JP" w:bidi="ar-EG"/>
        </w:rPr>
        <w:t>of</w:t>
      </w:r>
      <w:r w:rsidR="002D6297" w:rsidRPr="002D6297">
        <w:rPr>
          <w:rFonts w:asciiTheme="minorHAnsi" w:eastAsia="MS Mincho" w:hAnsiTheme="minorHAnsi" w:cstheme="minorHAnsi"/>
          <w:sz w:val="22"/>
          <w:szCs w:val="22"/>
          <w:lang w:eastAsia="ja-JP" w:bidi="ar-EG"/>
        </w:rPr>
        <w:t xml:space="preserve"> Pregnancy. Obstet Gynecol. 2018 Jan;131(1):e15-e30</w:t>
      </w:r>
    </w:p>
    <w:p w14:paraId="3CE753CE" w14:textId="7993866D" w:rsidR="0016274B" w:rsidRDefault="00DC77B2" w:rsidP="002D6297">
      <w:pPr>
        <w:numPr>
          <w:ilvl w:val="0"/>
          <w:numId w:val="16"/>
        </w:numPr>
        <w:autoSpaceDE w:val="0"/>
        <w:autoSpaceDN w:val="0"/>
        <w:adjustRightInd w:val="0"/>
        <w:spacing w:after="120"/>
        <w:ind w:left="360" w:right="-389"/>
        <w:jc w:val="lowKashida"/>
        <w:rPr>
          <w:rFonts w:asciiTheme="minorHAnsi" w:eastAsia="MS Mincho" w:hAnsiTheme="minorHAnsi" w:cstheme="minorHAnsi"/>
          <w:sz w:val="22"/>
          <w:szCs w:val="22"/>
          <w:lang w:eastAsia="ja-JP" w:bidi="ar-EG"/>
        </w:rPr>
      </w:pPr>
      <w:r>
        <w:rPr>
          <w:rFonts w:asciiTheme="minorHAnsi" w:eastAsia="MS Mincho" w:hAnsiTheme="minorHAnsi" w:cstheme="minorHAnsi"/>
          <w:sz w:val="22"/>
          <w:szCs w:val="22"/>
          <w:lang w:eastAsia="ja-JP" w:bidi="ar-EG"/>
        </w:rPr>
        <w:t xml:space="preserve">RCOG </w:t>
      </w:r>
      <w:r w:rsidR="00A73BB9">
        <w:rPr>
          <w:rFonts w:asciiTheme="minorHAnsi" w:eastAsia="MS Mincho" w:hAnsiTheme="minorHAnsi" w:cstheme="minorHAnsi"/>
          <w:sz w:val="22"/>
          <w:szCs w:val="22"/>
          <w:lang w:eastAsia="ja-JP" w:bidi="ar-EG"/>
        </w:rPr>
        <w:t xml:space="preserve">Green-top </w:t>
      </w:r>
      <w:r>
        <w:rPr>
          <w:rFonts w:asciiTheme="minorHAnsi" w:eastAsia="MS Mincho" w:hAnsiTheme="minorHAnsi" w:cstheme="minorHAnsi"/>
          <w:sz w:val="22"/>
          <w:szCs w:val="22"/>
          <w:lang w:eastAsia="ja-JP" w:bidi="ar-EG"/>
        </w:rPr>
        <w:t xml:space="preserve">Guideline No.69 (2016). </w:t>
      </w:r>
      <w:r w:rsidRPr="00DC77B2">
        <w:rPr>
          <w:rFonts w:asciiTheme="minorHAnsi" w:eastAsia="MS Mincho" w:hAnsiTheme="minorHAnsi" w:cstheme="minorHAnsi"/>
          <w:sz w:val="22"/>
          <w:szCs w:val="22"/>
          <w:lang w:eastAsia="ja-JP" w:bidi="ar-EG"/>
        </w:rPr>
        <w:t xml:space="preserve">The Management of Nausea and Vomiting </w:t>
      </w:r>
      <w:r w:rsidR="00AA0AC9" w:rsidRPr="00DC77B2">
        <w:rPr>
          <w:rFonts w:asciiTheme="minorHAnsi" w:eastAsia="MS Mincho" w:hAnsiTheme="minorHAnsi" w:cstheme="minorHAnsi"/>
          <w:sz w:val="22"/>
          <w:szCs w:val="22"/>
          <w:lang w:eastAsia="ja-JP" w:bidi="ar-EG"/>
        </w:rPr>
        <w:t>of</w:t>
      </w:r>
      <w:r w:rsidRPr="00DC77B2">
        <w:rPr>
          <w:rFonts w:asciiTheme="minorHAnsi" w:eastAsia="MS Mincho" w:hAnsiTheme="minorHAnsi" w:cstheme="minorHAnsi"/>
          <w:sz w:val="22"/>
          <w:szCs w:val="22"/>
          <w:lang w:eastAsia="ja-JP" w:bidi="ar-EG"/>
        </w:rPr>
        <w:t xml:space="preserve"> Pregnancy and Hyperemesis Gravidarum</w:t>
      </w:r>
      <w:r>
        <w:rPr>
          <w:rFonts w:asciiTheme="minorHAnsi" w:eastAsia="MS Mincho" w:hAnsiTheme="minorHAnsi" w:cstheme="minorHAnsi"/>
          <w:sz w:val="22"/>
          <w:szCs w:val="22"/>
          <w:lang w:eastAsia="ja-JP" w:bidi="ar-EG"/>
        </w:rPr>
        <w:t>.</w:t>
      </w:r>
      <w:r w:rsidR="00A73BB9">
        <w:rPr>
          <w:rFonts w:asciiTheme="minorHAnsi" w:eastAsia="MS Mincho" w:hAnsiTheme="minorHAnsi" w:cstheme="minorHAnsi"/>
          <w:sz w:val="22"/>
          <w:szCs w:val="22"/>
          <w:lang w:eastAsia="ja-JP" w:bidi="ar-EG"/>
        </w:rPr>
        <w:t xml:space="preserve"> </w:t>
      </w:r>
      <w:hyperlink r:id="rId8" w:history="1">
        <w:r w:rsidR="00A73BB9" w:rsidRPr="00AD39E2">
          <w:rPr>
            <w:rStyle w:val="Hyperlink"/>
            <w:rFonts w:asciiTheme="minorHAnsi" w:eastAsia="MS Mincho" w:hAnsiTheme="minorHAnsi" w:cstheme="minorHAnsi"/>
            <w:sz w:val="22"/>
            <w:szCs w:val="22"/>
            <w:lang w:eastAsia="ja-JP" w:bidi="ar-EG"/>
          </w:rPr>
          <w:t>https://www.rcog.org.uk/media/y3fen1x1/gtg69-hyperemesis.pdf</w:t>
        </w:r>
      </w:hyperlink>
    </w:p>
    <w:p w14:paraId="3DB166CA" w14:textId="75AB04E2" w:rsidR="002F7F0A" w:rsidRPr="002F7F0A" w:rsidRDefault="0016274B" w:rsidP="002D6297">
      <w:pPr>
        <w:numPr>
          <w:ilvl w:val="0"/>
          <w:numId w:val="16"/>
        </w:numPr>
        <w:autoSpaceDE w:val="0"/>
        <w:autoSpaceDN w:val="0"/>
        <w:adjustRightInd w:val="0"/>
        <w:spacing w:after="120"/>
        <w:ind w:left="360" w:right="-389"/>
        <w:jc w:val="lowKashida"/>
        <w:rPr>
          <w:rFonts w:asciiTheme="minorHAnsi" w:eastAsia="MS Mincho" w:hAnsiTheme="minorHAnsi" w:cstheme="minorHAnsi"/>
          <w:sz w:val="22"/>
          <w:szCs w:val="22"/>
          <w:lang w:eastAsia="ja-JP" w:bidi="ar-EG"/>
        </w:rPr>
      </w:pPr>
      <w:r w:rsidRPr="0016274B">
        <w:rPr>
          <w:rFonts w:asciiTheme="minorHAnsi" w:eastAsia="MS Mincho" w:hAnsiTheme="minorHAnsi" w:cstheme="minorHAnsi"/>
          <w:sz w:val="22"/>
          <w:szCs w:val="22"/>
          <w:lang w:eastAsia="ja-JP" w:bidi="ar-EG"/>
        </w:rPr>
        <w:t>Campbell K, Rowe H, Azzam H, Lane CA. The Management of Nausea and Vomiting of Pregnancy. J Obstet Gynaecol Can. 2016 Dec;38(12):1127-1137</w:t>
      </w:r>
      <w:r w:rsidR="002F7F0A" w:rsidRPr="002F7F0A">
        <w:rPr>
          <w:rFonts w:asciiTheme="minorHAnsi" w:eastAsia="MS Mincho" w:hAnsiTheme="minorHAnsi" w:cstheme="minorHAnsi"/>
          <w:sz w:val="22"/>
          <w:szCs w:val="22"/>
          <w:lang w:eastAsia="ja-JP" w:bidi="ar-EG"/>
        </w:rPr>
        <w:t>.</w:t>
      </w:r>
      <w:r w:rsidR="002F7F0A" w:rsidRPr="002F7F0A">
        <w:rPr>
          <w:rFonts w:asciiTheme="minorHAnsi" w:eastAsia="Calibri" w:hAnsiTheme="minorHAnsi" w:cstheme="minorHAnsi"/>
          <w:b/>
          <w:bCs/>
          <w:sz w:val="32"/>
          <w:szCs w:val="32"/>
        </w:rPr>
        <w:br w:type="page"/>
      </w:r>
    </w:p>
    <w:p w14:paraId="2F7F64E2" w14:textId="44E47242" w:rsidR="00B71B84" w:rsidRPr="002F7F0A" w:rsidRDefault="00EA1F82" w:rsidP="002F7F0A">
      <w:pPr>
        <w:pStyle w:val="Heading1"/>
        <w:keepLines/>
        <w:shd w:val="clear" w:color="auto" w:fill="D9D9D9" w:themeFill="background1" w:themeFillShade="D9"/>
        <w:tabs>
          <w:tab w:val="clear" w:pos="720"/>
        </w:tabs>
        <w:spacing w:after="0"/>
        <w:ind w:left="0" w:right="-390" w:firstLine="0"/>
        <w:rPr>
          <w:rFonts w:asciiTheme="minorHAnsi" w:hAnsiTheme="minorHAnsi" w:cstheme="minorHAnsi"/>
          <w:b w:val="0"/>
          <w:bCs w:val="0"/>
          <w:color w:val="244061" w:themeColor="accent1" w:themeShade="80"/>
          <w:kern w:val="0"/>
        </w:rPr>
      </w:pPr>
      <w:r w:rsidRPr="002F7F0A">
        <w:rPr>
          <w:rFonts w:asciiTheme="minorHAnsi" w:hAnsiTheme="minorHAnsi" w:cstheme="minorHAnsi"/>
          <w:b w:val="0"/>
          <w:bCs w:val="0"/>
          <w:color w:val="244061" w:themeColor="accent1" w:themeShade="80"/>
          <w:kern w:val="0"/>
        </w:rPr>
        <w:lastRenderedPageBreak/>
        <w:t>Introduction</w:t>
      </w:r>
    </w:p>
    <w:p w14:paraId="5B920C3A" w14:textId="63370F5B" w:rsidR="00B71B84" w:rsidRPr="002F7F0A" w:rsidRDefault="00EA1F82" w:rsidP="002F7F0A">
      <w:pPr>
        <w:pStyle w:val="ListParagraph"/>
        <w:numPr>
          <w:ilvl w:val="0"/>
          <w:numId w:val="2"/>
        </w:numPr>
        <w:ind w:right="-390" w:hanging="358"/>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Nausea and vomiting of pregnancy (NVP) </w:t>
      </w:r>
      <w:r w:rsidR="00ED3F56" w:rsidRPr="002F7F0A">
        <w:rPr>
          <w:rFonts w:asciiTheme="minorHAnsi" w:eastAsia="Calibri" w:hAnsiTheme="minorHAnsi" w:cstheme="minorHAnsi"/>
          <w:sz w:val="22"/>
          <w:szCs w:val="22"/>
        </w:rPr>
        <w:t>are</w:t>
      </w:r>
      <w:r w:rsidRPr="002F7F0A">
        <w:rPr>
          <w:rFonts w:asciiTheme="minorHAnsi" w:eastAsia="Calibri" w:hAnsiTheme="minorHAnsi" w:cstheme="minorHAnsi"/>
          <w:sz w:val="22"/>
          <w:szCs w:val="22"/>
        </w:rPr>
        <w:t xml:space="preserve"> common condition</w:t>
      </w:r>
      <w:r w:rsidR="00ED3F56" w:rsidRPr="002F7F0A">
        <w:rPr>
          <w:rFonts w:asciiTheme="minorHAnsi" w:eastAsia="Calibri" w:hAnsiTheme="minorHAnsi" w:cstheme="minorHAnsi"/>
          <w:sz w:val="22"/>
          <w:szCs w:val="22"/>
        </w:rPr>
        <w:t>s</w:t>
      </w:r>
      <w:r w:rsidRPr="002F7F0A">
        <w:rPr>
          <w:rFonts w:asciiTheme="minorHAnsi" w:eastAsia="Calibri" w:hAnsiTheme="minorHAnsi" w:cstheme="minorHAnsi"/>
          <w:sz w:val="22"/>
          <w:szCs w:val="22"/>
        </w:rPr>
        <w:t xml:space="preserve"> that affect the health of a pregnant woman and her fetus. </w:t>
      </w:r>
      <w:r w:rsidR="00CB727B" w:rsidRPr="002F7F0A">
        <w:rPr>
          <w:rFonts w:asciiTheme="minorHAnsi" w:eastAsia="Calibri" w:hAnsiTheme="minorHAnsi" w:cstheme="minorHAnsi"/>
          <w:sz w:val="22"/>
          <w:szCs w:val="22"/>
        </w:rPr>
        <w:t xml:space="preserve">NVP affect 90% of pregnant women in Egypt. </w:t>
      </w:r>
      <w:r w:rsidR="00ED3F56" w:rsidRPr="002F7F0A">
        <w:rPr>
          <w:rFonts w:asciiTheme="minorHAnsi" w:eastAsia="Calibri" w:hAnsiTheme="minorHAnsi" w:cstheme="minorHAnsi"/>
          <w:sz w:val="22"/>
          <w:szCs w:val="22"/>
        </w:rPr>
        <w:t>They</w:t>
      </w:r>
      <w:r w:rsidRPr="002F7F0A">
        <w:rPr>
          <w:rFonts w:asciiTheme="minorHAnsi" w:eastAsia="Calibri" w:hAnsiTheme="minorHAnsi" w:cstheme="minorHAnsi"/>
          <w:sz w:val="22"/>
          <w:szCs w:val="22"/>
        </w:rPr>
        <w:t xml:space="preserve"> diminish a woman’s quality of life and contribute to health care costs and time lost from work.</w:t>
      </w:r>
      <w:r w:rsidR="00ED3F56" w:rsidRPr="002F7F0A">
        <w:rPr>
          <w:rFonts w:asciiTheme="minorHAnsi" w:eastAsia="Calibri" w:hAnsiTheme="minorHAnsi" w:cstheme="minorHAnsi"/>
          <w:sz w:val="22"/>
          <w:szCs w:val="22"/>
        </w:rPr>
        <w:t xml:space="preserve"> </w:t>
      </w:r>
    </w:p>
    <w:p w14:paraId="47E4179B" w14:textId="7A3FCB5E" w:rsidR="00ED3F56" w:rsidRPr="002F7F0A" w:rsidRDefault="00EA1F82" w:rsidP="002F7F0A">
      <w:pPr>
        <w:pStyle w:val="ListParagraph"/>
        <w:numPr>
          <w:ilvl w:val="0"/>
          <w:numId w:val="2"/>
        </w:num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The woman’s perception of the severity of her symptoms plays a critical role in the decision of whether, when, and how to treat </w:t>
      </w:r>
      <w:r w:rsidR="00ED3F56" w:rsidRPr="002F7F0A">
        <w:rPr>
          <w:rFonts w:asciiTheme="minorHAnsi" w:eastAsia="Calibri" w:hAnsiTheme="minorHAnsi" w:cstheme="minorHAnsi"/>
          <w:sz w:val="22"/>
          <w:szCs w:val="22"/>
        </w:rPr>
        <w:t>NVP</w:t>
      </w:r>
    </w:p>
    <w:p w14:paraId="5333CB18" w14:textId="0B8611EE" w:rsidR="00ED3F56" w:rsidRPr="002F7F0A" w:rsidRDefault="00ED3F56" w:rsidP="002F7F0A">
      <w:pPr>
        <w:pStyle w:val="ListParagraph"/>
        <w:numPr>
          <w:ilvl w:val="0"/>
          <w:numId w:val="2"/>
        </w:num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NVP</w:t>
      </w:r>
      <w:r w:rsidR="00EA1F82" w:rsidRPr="002F7F0A">
        <w:rPr>
          <w:rFonts w:asciiTheme="minorHAnsi" w:eastAsia="Calibri" w:hAnsiTheme="minorHAnsi" w:cstheme="minorHAnsi"/>
          <w:sz w:val="22"/>
          <w:szCs w:val="22"/>
        </w:rPr>
        <w:t xml:space="preserve"> should be distinguished from nausea and vomiting related to other causes.  </w:t>
      </w:r>
    </w:p>
    <w:p w14:paraId="6CFB5F31" w14:textId="77777777" w:rsidR="00ED3F56" w:rsidRPr="002F7F0A" w:rsidRDefault="00EA1F82" w:rsidP="002F7F0A">
      <w:pPr>
        <w:pStyle w:val="ListParagraph"/>
        <w:numPr>
          <w:ilvl w:val="0"/>
          <w:numId w:val="2"/>
        </w:num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Electrolyte, thyroid, and liver abnormalities may be present. </w:t>
      </w:r>
    </w:p>
    <w:p w14:paraId="149F2FE8" w14:textId="07341309" w:rsidR="00CB727B" w:rsidRPr="002F7F0A" w:rsidRDefault="00CB727B" w:rsidP="002F7F0A">
      <w:pPr>
        <w:pStyle w:val="ListParagraph"/>
        <w:numPr>
          <w:ilvl w:val="0"/>
          <w:numId w:val="2"/>
        </w:num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Hyperemesis gravidarum (HG) is the most common indication for admission to the hospital during the first part of pregnancy, and is second only to preterm labor as the most common reason for hospitalization during pregnancy, affecting 0.5-2% of all pregnant women in Egypt.</w:t>
      </w:r>
    </w:p>
    <w:p w14:paraId="73CAE37C" w14:textId="4495F8D9" w:rsidR="00CB727B" w:rsidRPr="002F7F0A" w:rsidRDefault="00CB727B" w:rsidP="002F7F0A">
      <w:pPr>
        <w:pStyle w:val="ListParagraph"/>
        <w:numPr>
          <w:ilvl w:val="0"/>
          <w:numId w:val="2"/>
        </w:num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From an epidemiologic perspective, HG appears to represent the extreme end of the spectrum of NVP.</w:t>
      </w:r>
    </w:p>
    <w:p w14:paraId="09835CD4" w14:textId="77777777" w:rsidR="00B71B84" w:rsidRPr="002F7F0A" w:rsidRDefault="00B71B84" w:rsidP="002F7F0A">
      <w:pPr>
        <w:spacing w:before="9" w:line="260" w:lineRule="exact"/>
        <w:ind w:right="-390"/>
        <w:rPr>
          <w:rFonts w:asciiTheme="minorHAnsi" w:hAnsiTheme="minorHAnsi" w:cstheme="minorHAnsi"/>
          <w:sz w:val="26"/>
          <w:szCs w:val="26"/>
        </w:rPr>
      </w:pPr>
    </w:p>
    <w:p w14:paraId="0F8CDEF3" w14:textId="288F9D15" w:rsidR="00B71B84" w:rsidRPr="002F7F0A" w:rsidRDefault="00EA1F82" w:rsidP="002F7F0A">
      <w:pPr>
        <w:pStyle w:val="Heading1"/>
        <w:keepLines/>
        <w:shd w:val="clear" w:color="auto" w:fill="D9D9D9" w:themeFill="background1" w:themeFillShade="D9"/>
        <w:tabs>
          <w:tab w:val="clear" w:pos="720"/>
        </w:tabs>
        <w:spacing w:after="0"/>
        <w:ind w:left="0" w:right="-390" w:firstLine="0"/>
        <w:rPr>
          <w:rFonts w:asciiTheme="minorHAnsi" w:hAnsiTheme="minorHAnsi" w:cstheme="minorHAnsi"/>
          <w:b w:val="0"/>
          <w:bCs w:val="0"/>
          <w:color w:val="244061" w:themeColor="accent1" w:themeShade="80"/>
          <w:kern w:val="0"/>
        </w:rPr>
      </w:pPr>
      <w:r w:rsidRPr="002F7F0A">
        <w:rPr>
          <w:rFonts w:asciiTheme="minorHAnsi" w:hAnsiTheme="minorHAnsi" w:cstheme="minorHAnsi"/>
          <w:b w:val="0"/>
          <w:bCs w:val="0"/>
          <w:color w:val="244061" w:themeColor="accent1" w:themeShade="80"/>
          <w:kern w:val="0"/>
        </w:rPr>
        <w:t xml:space="preserve">Initial </w:t>
      </w:r>
      <w:r w:rsidR="00D312EA" w:rsidRPr="002F7F0A">
        <w:rPr>
          <w:rFonts w:asciiTheme="minorHAnsi" w:hAnsiTheme="minorHAnsi" w:cstheme="minorHAnsi"/>
          <w:b w:val="0"/>
          <w:bCs w:val="0"/>
          <w:color w:val="244061" w:themeColor="accent1" w:themeShade="80"/>
          <w:kern w:val="0"/>
        </w:rPr>
        <w:t xml:space="preserve">Clinical Assessment </w:t>
      </w:r>
      <w:r w:rsidR="00AA0AC9" w:rsidRPr="002F7F0A">
        <w:rPr>
          <w:rFonts w:asciiTheme="minorHAnsi" w:hAnsiTheme="minorHAnsi" w:cstheme="minorHAnsi"/>
          <w:b w:val="0"/>
          <w:bCs w:val="0"/>
          <w:color w:val="244061" w:themeColor="accent1" w:themeShade="80"/>
          <w:kern w:val="0"/>
        </w:rPr>
        <w:t>and</w:t>
      </w:r>
      <w:r w:rsidR="00D312EA" w:rsidRPr="002F7F0A">
        <w:rPr>
          <w:rFonts w:asciiTheme="minorHAnsi" w:hAnsiTheme="minorHAnsi" w:cstheme="minorHAnsi"/>
          <w:b w:val="0"/>
          <w:bCs w:val="0"/>
          <w:color w:val="244061" w:themeColor="accent1" w:themeShade="80"/>
          <w:kern w:val="0"/>
        </w:rPr>
        <w:t xml:space="preserve"> Baseline Investigations</w:t>
      </w:r>
    </w:p>
    <w:p w14:paraId="1FCC5DE6" w14:textId="357EAF42" w:rsidR="00B71B84" w:rsidRPr="002F7F0A" w:rsidRDefault="00EA1F82" w:rsidP="002F7F0A">
      <w:pPr>
        <w:spacing w:before="15"/>
        <w:ind w:right="-390"/>
        <w:rPr>
          <w:rFonts w:asciiTheme="minorHAnsi" w:eastAsia="Calibri" w:hAnsiTheme="minorHAnsi" w:cstheme="minorHAnsi"/>
          <w:b/>
          <w:sz w:val="28"/>
          <w:szCs w:val="28"/>
        </w:rPr>
      </w:pPr>
      <w:r w:rsidRPr="002F7F0A">
        <w:rPr>
          <w:rFonts w:asciiTheme="minorHAnsi" w:eastAsia="Calibri" w:hAnsiTheme="minorHAnsi" w:cstheme="minorHAnsi"/>
          <w:b/>
          <w:sz w:val="28"/>
          <w:szCs w:val="28"/>
        </w:rPr>
        <w:t>History</w:t>
      </w:r>
    </w:p>
    <w:p w14:paraId="5B442BE8" w14:textId="55CFF953" w:rsidR="007B077A" w:rsidRPr="002F7F0A" w:rsidRDefault="007B077A" w:rsidP="002F7F0A">
      <w:pPr>
        <w:pStyle w:val="ListParagraph"/>
        <w:numPr>
          <w:ilvl w:val="0"/>
          <w:numId w:val="3"/>
        </w:numPr>
        <w:spacing w:line="260" w:lineRule="exact"/>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Nausea, vomiting, hyper-salivation, spitting, loss of weight, inability to tolerate food and fluids, effect on quality of life.</w:t>
      </w:r>
    </w:p>
    <w:p w14:paraId="7E3AF30E" w14:textId="22240799" w:rsidR="00B71B84" w:rsidRPr="002F7F0A" w:rsidRDefault="00EA1F82" w:rsidP="002F7F0A">
      <w:pPr>
        <w:pStyle w:val="ListParagraph"/>
        <w:numPr>
          <w:ilvl w:val="0"/>
          <w:numId w:val="3"/>
        </w:numPr>
        <w:spacing w:line="260" w:lineRule="exact"/>
        <w:ind w:right="-390"/>
        <w:rPr>
          <w:rFonts w:asciiTheme="minorHAnsi" w:eastAsia="Calibri" w:hAnsiTheme="minorHAnsi" w:cstheme="minorHAnsi"/>
          <w:sz w:val="22"/>
          <w:szCs w:val="22"/>
        </w:rPr>
      </w:pPr>
      <w:r w:rsidRPr="002F7F0A">
        <w:rPr>
          <w:rFonts w:asciiTheme="minorHAnsi" w:eastAsia="Calibri" w:hAnsiTheme="minorHAnsi" w:cstheme="minorHAnsi"/>
          <w:position w:val="1"/>
          <w:sz w:val="22"/>
          <w:szCs w:val="22"/>
        </w:rPr>
        <w:t>NVP/HG</w:t>
      </w:r>
      <w:r w:rsidR="00B915D8" w:rsidRPr="002F7F0A">
        <w:rPr>
          <w:rFonts w:asciiTheme="minorHAnsi" w:eastAsia="Calibri" w:hAnsiTheme="minorHAnsi" w:cstheme="minorHAnsi"/>
          <w:position w:val="1"/>
          <w:sz w:val="22"/>
          <w:szCs w:val="22"/>
        </w:rPr>
        <w:t xml:space="preserve"> in a previous pregnancy</w:t>
      </w:r>
      <w:r w:rsidR="00D26AB4" w:rsidRPr="002F7F0A">
        <w:rPr>
          <w:rFonts w:asciiTheme="minorHAnsi" w:eastAsia="Calibri" w:hAnsiTheme="minorHAnsi" w:cstheme="minorHAnsi"/>
          <w:position w:val="1"/>
          <w:sz w:val="22"/>
          <w:szCs w:val="22"/>
        </w:rPr>
        <w:t>.</w:t>
      </w:r>
      <w:r w:rsidR="007B077A" w:rsidRPr="002F7F0A">
        <w:rPr>
          <w:rFonts w:asciiTheme="minorHAnsi" w:eastAsia="Calibri" w:hAnsiTheme="minorHAnsi" w:cstheme="minorHAnsi"/>
          <w:sz w:val="22"/>
          <w:szCs w:val="22"/>
        </w:rPr>
        <w:t xml:space="preserve"> </w:t>
      </w:r>
    </w:p>
    <w:p w14:paraId="791785EE" w14:textId="78DD2DC6" w:rsidR="00BD443B" w:rsidRPr="002F7F0A" w:rsidRDefault="00B915D8" w:rsidP="002F7F0A">
      <w:pPr>
        <w:pStyle w:val="ListParagraph"/>
        <w:numPr>
          <w:ilvl w:val="0"/>
          <w:numId w:val="3"/>
        </w:numPr>
        <w:ind w:right="-390"/>
        <w:rPr>
          <w:rFonts w:asciiTheme="minorHAnsi" w:eastAsia="Calibri" w:hAnsiTheme="minorHAnsi" w:cstheme="minorHAnsi"/>
          <w:bCs/>
          <w:sz w:val="22"/>
          <w:szCs w:val="22"/>
        </w:rPr>
      </w:pPr>
      <w:r w:rsidRPr="002F7F0A">
        <w:rPr>
          <w:rFonts w:asciiTheme="minorHAnsi" w:eastAsia="Calibri" w:hAnsiTheme="minorHAnsi" w:cstheme="minorHAnsi"/>
          <w:bCs/>
          <w:sz w:val="22"/>
          <w:szCs w:val="22"/>
        </w:rPr>
        <w:t>E</w:t>
      </w:r>
      <w:r w:rsidR="00BD443B" w:rsidRPr="002F7F0A">
        <w:rPr>
          <w:rFonts w:asciiTheme="minorHAnsi" w:eastAsia="Calibri" w:hAnsiTheme="minorHAnsi" w:cstheme="minorHAnsi"/>
          <w:bCs/>
          <w:sz w:val="22"/>
          <w:szCs w:val="22"/>
        </w:rPr>
        <w:t>xclude other causes</w:t>
      </w:r>
      <w:r w:rsidRPr="002F7F0A">
        <w:rPr>
          <w:rFonts w:asciiTheme="minorHAnsi" w:eastAsia="Calibri" w:hAnsiTheme="minorHAnsi" w:cstheme="minorHAnsi"/>
          <w:bCs/>
          <w:sz w:val="22"/>
          <w:szCs w:val="22"/>
        </w:rPr>
        <w:t>:</w:t>
      </w:r>
    </w:p>
    <w:p w14:paraId="6B6C0ADD" w14:textId="77777777" w:rsidR="00B915D8" w:rsidRPr="002F7F0A" w:rsidRDefault="00BD443B" w:rsidP="002F7F0A">
      <w:pPr>
        <w:pStyle w:val="ListParagraph"/>
        <w:numPr>
          <w:ilvl w:val="1"/>
          <w:numId w:val="4"/>
        </w:numPr>
        <w:spacing w:before="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Chronic </w:t>
      </w:r>
      <w:r w:rsidRPr="002F7F0A">
        <w:rPr>
          <w:rFonts w:asciiTheme="minorHAnsi" w:eastAsia="Calibri" w:hAnsiTheme="minorHAnsi" w:cstheme="minorHAnsi"/>
          <w:i/>
          <w:sz w:val="22"/>
          <w:szCs w:val="22"/>
        </w:rPr>
        <w:t xml:space="preserve">Helicobacter pylori </w:t>
      </w:r>
      <w:r w:rsidRPr="002F7F0A">
        <w:rPr>
          <w:rFonts w:asciiTheme="minorHAnsi" w:eastAsia="Calibri" w:hAnsiTheme="minorHAnsi" w:cstheme="minorHAnsi"/>
          <w:sz w:val="22"/>
          <w:szCs w:val="22"/>
        </w:rPr>
        <w:t>infection, gastro-esophogeal reflux disease (GERD), abdominal pain, urinary symptoms, infection, drug history</w:t>
      </w:r>
      <w:r w:rsidR="00EA1F82" w:rsidRPr="002F7F0A">
        <w:rPr>
          <w:rFonts w:asciiTheme="minorHAnsi" w:eastAsia="Calibri" w:hAnsiTheme="minorHAnsi" w:cstheme="minorHAnsi"/>
          <w:position w:val="-3"/>
          <w:sz w:val="22"/>
          <w:szCs w:val="22"/>
        </w:rPr>
        <w:t xml:space="preserve"> </w:t>
      </w:r>
    </w:p>
    <w:p w14:paraId="4F34422F" w14:textId="384F2013" w:rsidR="007B077A" w:rsidRPr="002F7F0A" w:rsidRDefault="00B915D8" w:rsidP="002F7F0A">
      <w:pPr>
        <w:pStyle w:val="ListParagraph"/>
        <w:numPr>
          <w:ilvl w:val="0"/>
          <w:numId w:val="4"/>
        </w:num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A history of a chronic condition associated with nausea and vomiting that predates pregnancy should be sought (</w:t>
      </w:r>
      <w:r w:rsidR="00AA0AC9" w:rsidRPr="002F7F0A">
        <w:rPr>
          <w:rFonts w:asciiTheme="minorHAnsi" w:eastAsia="Calibri" w:hAnsiTheme="minorHAnsi" w:cstheme="minorHAnsi"/>
          <w:sz w:val="22"/>
          <w:szCs w:val="22"/>
        </w:rPr>
        <w:t>e.g.,</w:t>
      </w:r>
      <w:r w:rsidRPr="002F7F0A">
        <w:rPr>
          <w:rFonts w:asciiTheme="minorHAnsi" w:eastAsia="Calibri" w:hAnsiTheme="minorHAnsi" w:cstheme="minorHAnsi"/>
          <w:sz w:val="22"/>
          <w:szCs w:val="22"/>
        </w:rPr>
        <w:t xml:space="preserve"> cholelithiasis or diabetic gastroparesis).</w:t>
      </w:r>
    </w:p>
    <w:p w14:paraId="3E87FE91" w14:textId="0B53C2A8" w:rsidR="00D26AB4" w:rsidRPr="002F7F0A" w:rsidRDefault="007B077A" w:rsidP="002F7F0A">
      <w:pPr>
        <w:pStyle w:val="ListParagraph"/>
        <w:numPr>
          <w:ilvl w:val="0"/>
          <w:numId w:val="4"/>
        </w:numPr>
        <w:spacing w:before="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Quantify severity using PUQE score (Table 1): Assesses the severity of nausea and vomiting with three questions relating to duration of nausea, and frequency of vomiting and dry retching symptoms.</w:t>
      </w:r>
      <w:r w:rsidR="00EA1F82" w:rsidRPr="002F7F0A">
        <w:rPr>
          <w:rFonts w:asciiTheme="minorHAnsi" w:eastAsia="Calibri" w:hAnsiTheme="minorHAnsi" w:cstheme="minorHAnsi"/>
          <w:position w:val="-3"/>
          <w:sz w:val="22"/>
          <w:szCs w:val="22"/>
        </w:rPr>
        <w:t xml:space="preserve">                                                                                                                                 </w:t>
      </w:r>
    </w:p>
    <w:p w14:paraId="5D89481D" w14:textId="77777777" w:rsidR="00D312EA" w:rsidRPr="002F7F0A" w:rsidRDefault="00D312EA" w:rsidP="002F7F0A">
      <w:pPr>
        <w:ind w:left="131" w:right="-390"/>
        <w:rPr>
          <w:rFonts w:asciiTheme="minorHAnsi" w:eastAsia="Calibri" w:hAnsiTheme="minorHAnsi" w:cstheme="minorHAnsi"/>
          <w:b/>
          <w:sz w:val="28"/>
          <w:szCs w:val="28"/>
        </w:rPr>
      </w:pPr>
    </w:p>
    <w:p w14:paraId="2B9C5F7E" w14:textId="27FE3022" w:rsidR="009D666B" w:rsidRPr="002F7F0A" w:rsidRDefault="009D666B" w:rsidP="002F7F0A">
      <w:pPr>
        <w:ind w:left="131" w:right="-390"/>
        <w:rPr>
          <w:rFonts w:asciiTheme="minorHAnsi" w:eastAsia="Calibri" w:hAnsiTheme="minorHAnsi" w:cstheme="minorHAnsi"/>
          <w:b/>
          <w:sz w:val="28"/>
          <w:szCs w:val="28"/>
        </w:rPr>
      </w:pPr>
      <w:r w:rsidRPr="002F7F0A">
        <w:rPr>
          <w:rFonts w:asciiTheme="minorHAnsi" w:eastAsia="Calibri" w:hAnsiTheme="minorHAnsi" w:cstheme="minorHAnsi"/>
          <w:b/>
          <w:sz w:val="28"/>
          <w:szCs w:val="28"/>
        </w:rPr>
        <w:t>Physical Examination</w:t>
      </w:r>
    </w:p>
    <w:p w14:paraId="7C47DDA8" w14:textId="77777777" w:rsidR="00D312EA" w:rsidRPr="002F7F0A" w:rsidRDefault="009D666B" w:rsidP="002F7F0A">
      <w:pPr>
        <w:pStyle w:val="ListParagraph"/>
        <w:numPr>
          <w:ilvl w:val="0"/>
          <w:numId w:val="4"/>
        </w:numPr>
        <w:spacing w:before="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Temperature, pulse, blood pressure, Oxygen saturation, respiratory rate, abdominal examination, weight, signs of dehydration, signs of muscle wasting, other examination as guided by history.</w:t>
      </w:r>
    </w:p>
    <w:p w14:paraId="25CD0C13" w14:textId="77777777" w:rsidR="00D26AB4" w:rsidRPr="002F7F0A" w:rsidRDefault="00D26AB4" w:rsidP="002F7F0A">
      <w:pPr>
        <w:spacing w:line="220" w:lineRule="exact"/>
        <w:ind w:left="696" w:right="-390"/>
        <w:rPr>
          <w:rFonts w:asciiTheme="minorHAnsi" w:eastAsia="Calibri" w:hAnsiTheme="minorHAnsi" w:cstheme="minorHAnsi"/>
          <w:b/>
          <w:position w:val="1"/>
          <w:sz w:val="22"/>
          <w:szCs w:val="22"/>
        </w:rPr>
      </w:pPr>
    </w:p>
    <w:p w14:paraId="40B0AAD5" w14:textId="341A2A97" w:rsidR="00B71B84" w:rsidRPr="002F7F0A" w:rsidRDefault="00EA1F82" w:rsidP="002F7F0A">
      <w:pPr>
        <w:spacing w:before="50" w:line="260" w:lineRule="exact"/>
        <w:ind w:left="146" w:right="-390"/>
        <w:rPr>
          <w:rFonts w:asciiTheme="minorHAnsi" w:eastAsia="Calibri" w:hAnsiTheme="minorHAnsi" w:cstheme="minorHAnsi"/>
          <w:sz w:val="22"/>
          <w:szCs w:val="22"/>
        </w:rPr>
        <w:sectPr w:rsidR="00B71B84" w:rsidRPr="002F7F0A" w:rsidSect="002F7F0A">
          <w:footerReference w:type="even" r:id="rId9"/>
          <w:footerReference w:type="default" r:id="rId10"/>
          <w:type w:val="continuous"/>
          <w:pgSz w:w="11920" w:h="16840"/>
          <w:pgMar w:top="1440" w:right="1080" w:bottom="1440" w:left="1077" w:header="720" w:footer="720" w:gutter="0"/>
          <w:cols w:num="2" w:space="6631" w:equalWidth="0">
            <w:col w:w="9330" w:space="164"/>
            <w:col w:w="1566"/>
          </w:cols>
          <w:docGrid w:linePitch="272"/>
        </w:sectPr>
      </w:pPr>
      <w:r w:rsidRPr="002F7F0A">
        <w:rPr>
          <w:rFonts w:asciiTheme="minorHAnsi" w:hAnsiTheme="minorHAnsi" w:cstheme="minorHAnsi"/>
        </w:rPr>
        <w:br w:type="column"/>
      </w:r>
    </w:p>
    <w:p w14:paraId="2AAF24F8" w14:textId="77777777" w:rsidR="00B71B84" w:rsidRPr="002F7F0A" w:rsidRDefault="00B71B84" w:rsidP="002F7F0A">
      <w:pPr>
        <w:spacing w:line="100" w:lineRule="exact"/>
        <w:ind w:right="-390"/>
        <w:rPr>
          <w:rFonts w:asciiTheme="minorHAnsi" w:hAnsiTheme="minorHAnsi" w:cstheme="minorHAnsi"/>
          <w:sz w:val="10"/>
          <w:szCs w:val="10"/>
        </w:rPr>
      </w:pPr>
    </w:p>
    <w:p w14:paraId="19D76757" w14:textId="77777777" w:rsidR="00D312EA" w:rsidRPr="002F7F0A" w:rsidRDefault="00D312EA" w:rsidP="002F7F0A">
      <w:pPr>
        <w:spacing w:line="220" w:lineRule="exact"/>
        <w:ind w:right="-390"/>
        <w:jc w:val="both"/>
        <w:rPr>
          <w:rFonts w:asciiTheme="minorHAnsi" w:eastAsia="Calibri" w:hAnsiTheme="minorHAnsi" w:cstheme="minorHAnsi"/>
          <w:sz w:val="22"/>
          <w:szCs w:val="22"/>
        </w:rPr>
      </w:pPr>
      <w:r w:rsidRPr="002F7F0A">
        <w:rPr>
          <w:rFonts w:asciiTheme="minorHAnsi" w:eastAsia="Calibri" w:hAnsiTheme="minorHAnsi" w:cstheme="minorHAnsi"/>
          <w:b/>
          <w:position w:val="1"/>
          <w:sz w:val="22"/>
          <w:szCs w:val="22"/>
        </w:rPr>
        <w:t>Table 1. Modified Pregnancy-Unique Quantification of Emesis and Nausea</w:t>
      </w:r>
    </w:p>
    <w:p w14:paraId="064B826E" w14:textId="77777777" w:rsidR="00D312EA" w:rsidRPr="002F7F0A" w:rsidRDefault="00D312EA" w:rsidP="002F7F0A">
      <w:pPr>
        <w:spacing w:line="200" w:lineRule="exact"/>
        <w:ind w:left="121" w:right="-390"/>
        <w:rPr>
          <w:rFonts w:asciiTheme="minorHAnsi" w:eastAsia="Calibri" w:hAnsiTheme="minorHAnsi" w:cstheme="minorHAnsi"/>
          <w:b/>
          <w:sz w:val="18"/>
          <w:szCs w:val="18"/>
        </w:rPr>
      </w:pPr>
    </w:p>
    <w:p w14:paraId="1C2A123E" w14:textId="289C112C" w:rsidR="00B71B84" w:rsidRPr="002F7F0A" w:rsidRDefault="00000000" w:rsidP="002F7F0A">
      <w:pPr>
        <w:spacing w:line="200" w:lineRule="exact"/>
        <w:ind w:left="121" w:right="-390"/>
        <w:rPr>
          <w:rFonts w:asciiTheme="minorHAnsi" w:eastAsia="Calibri" w:hAnsiTheme="minorHAnsi" w:cstheme="minorHAnsi"/>
          <w:sz w:val="18"/>
          <w:szCs w:val="18"/>
        </w:rPr>
      </w:pPr>
      <w:r>
        <w:rPr>
          <w:rFonts w:asciiTheme="minorHAnsi" w:hAnsiTheme="minorHAnsi" w:cstheme="minorHAnsi"/>
        </w:rPr>
        <w:pict w14:anchorId="76D625CA">
          <v:group id="_x0000_s1052" alt="" style="position:absolute;left:0;text-align:left;margin-left:90.05pt;margin-top:20.8pt;width:394.4pt;height:0;z-index:-251665920;mso-position-horizontal-relative:page" coordorigin="1801,416" coordsize="7888,0">
            <v:shape id="_x0000_s1053" alt="" style="position:absolute;left:1801;top:416;width:7888;height:0" coordorigin="1801,416" coordsize="7888,0" path="m1801,416r7888,e" filled="f" strokeweight=".6pt">
              <v:path arrowok="t"/>
            </v:shape>
            <w10:wrap anchorx="page"/>
          </v:group>
        </w:pict>
      </w:r>
      <w:r w:rsidR="00EA1F82" w:rsidRPr="002F7F0A">
        <w:rPr>
          <w:rFonts w:asciiTheme="minorHAnsi" w:eastAsia="Calibri" w:hAnsiTheme="minorHAnsi" w:cstheme="minorHAnsi"/>
          <w:b/>
          <w:sz w:val="18"/>
          <w:szCs w:val="18"/>
        </w:rPr>
        <w:t>Circle the answer that best suits your situation from the beginning of your pregnancy.</w:t>
      </w:r>
    </w:p>
    <w:p w14:paraId="150A8754" w14:textId="77777777" w:rsidR="00B71B84" w:rsidRPr="002F7F0A" w:rsidRDefault="00B71B84" w:rsidP="002F7F0A">
      <w:pPr>
        <w:spacing w:before="15" w:line="200" w:lineRule="exact"/>
        <w:ind w:right="-390"/>
        <w:rPr>
          <w:rFonts w:asciiTheme="minorHAnsi" w:hAnsiTheme="minorHAnsi" w:cstheme="minorHAnsi"/>
        </w:rPr>
      </w:pPr>
    </w:p>
    <w:p w14:paraId="4FF65AD6" w14:textId="77777777" w:rsidR="00B71B84" w:rsidRPr="002F7F0A" w:rsidRDefault="00EA1F82" w:rsidP="002F7F0A">
      <w:pPr>
        <w:spacing w:before="23"/>
        <w:ind w:left="121" w:right="-390" w:firstLine="200"/>
        <w:rPr>
          <w:rFonts w:asciiTheme="minorHAnsi" w:eastAsia="Calibri" w:hAnsiTheme="minorHAnsi" w:cstheme="minorHAnsi"/>
          <w:sz w:val="18"/>
          <w:szCs w:val="18"/>
        </w:rPr>
      </w:pPr>
      <w:r w:rsidRPr="002F7F0A">
        <w:rPr>
          <w:rFonts w:asciiTheme="minorHAnsi" w:eastAsia="Calibri" w:hAnsiTheme="minorHAnsi" w:cstheme="minorHAnsi"/>
          <w:b/>
          <w:sz w:val="18"/>
          <w:szCs w:val="18"/>
        </w:rPr>
        <w:t>1.  On average in a day, for how long do you feel nauseated or sick to your stomach? Not at all       1 hr or less     2–3 hr            4–6 hr                More than 6 hr</w:t>
      </w:r>
    </w:p>
    <w:p w14:paraId="73F311C6" w14:textId="77777777" w:rsidR="00B71B84" w:rsidRPr="002F7F0A" w:rsidRDefault="00000000" w:rsidP="002F7F0A">
      <w:pPr>
        <w:spacing w:before="23"/>
        <w:ind w:left="281" w:right="-390"/>
        <w:rPr>
          <w:rFonts w:asciiTheme="minorHAnsi" w:eastAsia="Calibri" w:hAnsiTheme="minorHAnsi" w:cstheme="minorHAnsi"/>
          <w:sz w:val="18"/>
          <w:szCs w:val="18"/>
        </w:rPr>
      </w:pPr>
      <w:r>
        <w:rPr>
          <w:rFonts w:asciiTheme="minorHAnsi" w:hAnsiTheme="minorHAnsi" w:cstheme="minorHAnsi"/>
        </w:rPr>
        <w:pict w14:anchorId="655FEEC3">
          <v:group id="_x0000_s1050" alt="" style="position:absolute;left:0;text-align:left;margin-left:90.05pt;margin-top:19.95pt;width:394.4pt;height:0;z-index:-251664896;mso-position-horizontal-relative:page" coordorigin="1801,399" coordsize="7888,0">
            <v:shape id="_x0000_s1051" alt="" style="position:absolute;left:1801;top:399;width:7888;height:0" coordorigin="1801,399" coordsize="7888,0" path="m1801,399r7888,e" filled="f" strokeweight=".6pt">
              <v:path arrowok="t"/>
            </v:shape>
            <w10:wrap anchorx="page"/>
          </v:group>
        </w:pict>
      </w:r>
      <w:r w:rsidR="00EA1F82" w:rsidRPr="002F7F0A">
        <w:rPr>
          <w:rFonts w:asciiTheme="minorHAnsi" w:eastAsia="Calibri" w:hAnsiTheme="minorHAnsi" w:cstheme="minorHAnsi"/>
          <w:b/>
          <w:sz w:val="18"/>
          <w:szCs w:val="18"/>
        </w:rPr>
        <w:t>(1)                   (2)                  (3)                  (4)                        (5)</w:t>
      </w:r>
    </w:p>
    <w:p w14:paraId="4EFDC460" w14:textId="77777777" w:rsidR="00B71B84" w:rsidRPr="002F7F0A" w:rsidRDefault="00B71B84" w:rsidP="002F7F0A">
      <w:pPr>
        <w:spacing w:line="180" w:lineRule="exact"/>
        <w:ind w:right="-390"/>
        <w:rPr>
          <w:rFonts w:asciiTheme="minorHAnsi" w:hAnsiTheme="minorHAnsi" w:cstheme="minorHAnsi"/>
          <w:sz w:val="19"/>
          <w:szCs w:val="19"/>
        </w:rPr>
      </w:pPr>
    </w:p>
    <w:p w14:paraId="786382FE" w14:textId="77777777" w:rsidR="00B71B84" w:rsidRPr="002F7F0A" w:rsidRDefault="00EA1F82" w:rsidP="002F7F0A">
      <w:pPr>
        <w:ind w:left="321" w:right="-390"/>
        <w:rPr>
          <w:rFonts w:asciiTheme="minorHAnsi" w:eastAsia="Calibri" w:hAnsiTheme="minorHAnsi" w:cstheme="minorHAnsi"/>
          <w:sz w:val="18"/>
          <w:szCs w:val="18"/>
        </w:rPr>
      </w:pPr>
      <w:r w:rsidRPr="002F7F0A">
        <w:rPr>
          <w:rFonts w:asciiTheme="minorHAnsi" w:eastAsia="Calibri" w:hAnsiTheme="minorHAnsi" w:cstheme="minorHAnsi"/>
          <w:b/>
          <w:sz w:val="18"/>
          <w:szCs w:val="18"/>
        </w:rPr>
        <w:t>2.  On average in a day, how many times do you vomit or throw up?</w:t>
      </w:r>
    </w:p>
    <w:p w14:paraId="1CA54E99" w14:textId="77777777" w:rsidR="00B71B84" w:rsidRPr="002F7F0A" w:rsidRDefault="00EA1F82" w:rsidP="002F7F0A">
      <w:pPr>
        <w:spacing w:line="200" w:lineRule="exact"/>
        <w:ind w:left="121" w:right="-390"/>
        <w:rPr>
          <w:rFonts w:asciiTheme="minorHAnsi" w:eastAsia="Calibri" w:hAnsiTheme="minorHAnsi" w:cstheme="minorHAnsi"/>
          <w:sz w:val="18"/>
          <w:szCs w:val="18"/>
        </w:rPr>
      </w:pPr>
      <w:r w:rsidRPr="002F7F0A">
        <w:rPr>
          <w:rFonts w:asciiTheme="minorHAnsi" w:eastAsia="Calibri" w:hAnsiTheme="minorHAnsi" w:cstheme="minorHAnsi"/>
          <w:b/>
          <w:sz w:val="18"/>
          <w:szCs w:val="18"/>
        </w:rPr>
        <w:t>7 or more times          5–6 times         3–4 times             1–2 times     Zero</w:t>
      </w:r>
    </w:p>
    <w:p w14:paraId="34170EEB" w14:textId="54A2612F" w:rsidR="00B71B84" w:rsidRPr="002F7F0A" w:rsidRDefault="00000000" w:rsidP="002F7F0A">
      <w:pPr>
        <w:spacing w:before="23"/>
        <w:ind w:left="401" w:right="-390"/>
        <w:rPr>
          <w:rFonts w:asciiTheme="minorHAnsi" w:eastAsia="Calibri" w:hAnsiTheme="minorHAnsi" w:cstheme="minorHAnsi"/>
          <w:sz w:val="18"/>
          <w:szCs w:val="18"/>
        </w:rPr>
      </w:pPr>
      <w:r>
        <w:rPr>
          <w:rFonts w:asciiTheme="minorHAnsi" w:hAnsiTheme="minorHAnsi" w:cstheme="minorHAnsi"/>
        </w:rPr>
        <w:pict w14:anchorId="375F5326">
          <v:group id="_x0000_s1048" alt="" style="position:absolute;left:0;text-align:left;margin-left:90.05pt;margin-top:20pt;width:394.4pt;height:0;z-index:-251663872;mso-position-horizontal-relative:page" coordorigin="1801,400" coordsize="7888,0">
            <v:shape id="_x0000_s1049" alt="" style="position:absolute;left:1801;top:400;width:7888;height:0" coordorigin="1801,400" coordsize="7888,0" path="m1801,400r7888,e" filled="f" strokeweight=".6pt">
              <v:path arrowok="t"/>
            </v:shape>
            <w10:wrap anchorx="page"/>
          </v:group>
        </w:pict>
      </w:r>
      <w:r w:rsidR="00EA1F82" w:rsidRPr="002F7F0A">
        <w:rPr>
          <w:rFonts w:asciiTheme="minorHAnsi" w:eastAsia="Calibri" w:hAnsiTheme="minorHAnsi" w:cstheme="minorHAnsi"/>
          <w:b/>
          <w:sz w:val="18"/>
          <w:szCs w:val="18"/>
        </w:rPr>
        <w:t>(5)                              (4)                      (3)                           (2)               (1)</w:t>
      </w:r>
    </w:p>
    <w:p w14:paraId="17FB4F97" w14:textId="77777777" w:rsidR="007B077A" w:rsidRPr="002F7F0A" w:rsidRDefault="007B077A" w:rsidP="002F7F0A">
      <w:pPr>
        <w:ind w:left="321" w:right="-390"/>
        <w:rPr>
          <w:rFonts w:asciiTheme="minorHAnsi" w:eastAsia="Calibri" w:hAnsiTheme="minorHAnsi" w:cstheme="minorHAnsi"/>
          <w:b/>
          <w:sz w:val="18"/>
          <w:szCs w:val="18"/>
        </w:rPr>
      </w:pPr>
    </w:p>
    <w:p w14:paraId="73A41812" w14:textId="747718B2" w:rsidR="00B71B84" w:rsidRPr="002F7F0A" w:rsidRDefault="00EA1F82" w:rsidP="002F7F0A">
      <w:pPr>
        <w:ind w:left="321" w:right="-390"/>
        <w:rPr>
          <w:rFonts w:asciiTheme="minorHAnsi" w:eastAsia="Calibri" w:hAnsiTheme="minorHAnsi" w:cstheme="minorHAnsi"/>
          <w:sz w:val="18"/>
          <w:szCs w:val="18"/>
        </w:rPr>
      </w:pPr>
      <w:r w:rsidRPr="002F7F0A">
        <w:rPr>
          <w:rFonts w:asciiTheme="minorHAnsi" w:eastAsia="Calibri" w:hAnsiTheme="minorHAnsi" w:cstheme="minorHAnsi"/>
          <w:b/>
          <w:sz w:val="18"/>
          <w:szCs w:val="18"/>
        </w:rPr>
        <w:t>3.  On average in a day, how many times do you have retching or dry heaves without bringing anything up?</w:t>
      </w:r>
    </w:p>
    <w:tbl>
      <w:tblPr>
        <w:tblW w:w="0" w:type="auto"/>
        <w:tblInd w:w="120" w:type="dxa"/>
        <w:tblLayout w:type="fixed"/>
        <w:tblCellMar>
          <w:left w:w="0" w:type="dxa"/>
          <w:right w:w="0" w:type="dxa"/>
        </w:tblCellMar>
        <w:tblLook w:val="01E0" w:firstRow="1" w:lastRow="1" w:firstColumn="1" w:lastColumn="1" w:noHBand="0" w:noVBand="0"/>
      </w:tblPr>
      <w:tblGrid>
        <w:gridCol w:w="948"/>
        <w:gridCol w:w="1323"/>
        <w:gridCol w:w="1325"/>
        <w:gridCol w:w="1300"/>
        <w:gridCol w:w="2991"/>
      </w:tblGrid>
      <w:tr w:rsidR="00B71B84" w:rsidRPr="002F7F0A" w14:paraId="22B16D99" w14:textId="77777777">
        <w:trPr>
          <w:trHeight w:hRule="exact" w:val="273"/>
        </w:trPr>
        <w:tc>
          <w:tcPr>
            <w:tcW w:w="948" w:type="dxa"/>
            <w:tcBorders>
              <w:top w:val="nil"/>
              <w:left w:val="nil"/>
              <w:bottom w:val="nil"/>
              <w:right w:val="nil"/>
            </w:tcBorders>
          </w:tcPr>
          <w:p w14:paraId="793C6E69" w14:textId="77777777" w:rsidR="00B71B84" w:rsidRPr="002F7F0A" w:rsidRDefault="00EA1F82" w:rsidP="002F7F0A">
            <w:pPr>
              <w:ind w:left="280" w:right="-390"/>
              <w:rPr>
                <w:rFonts w:asciiTheme="minorHAnsi" w:eastAsia="Calibri" w:hAnsiTheme="minorHAnsi" w:cstheme="minorHAnsi"/>
                <w:sz w:val="18"/>
                <w:szCs w:val="18"/>
              </w:rPr>
            </w:pPr>
            <w:r w:rsidRPr="002F7F0A">
              <w:rPr>
                <w:rFonts w:asciiTheme="minorHAnsi" w:eastAsia="Calibri" w:hAnsiTheme="minorHAnsi" w:cstheme="minorHAnsi"/>
                <w:b/>
                <w:sz w:val="18"/>
                <w:szCs w:val="18"/>
              </w:rPr>
              <w:t>None</w:t>
            </w:r>
          </w:p>
        </w:tc>
        <w:tc>
          <w:tcPr>
            <w:tcW w:w="1323" w:type="dxa"/>
            <w:tcBorders>
              <w:top w:val="nil"/>
              <w:left w:val="nil"/>
              <w:bottom w:val="nil"/>
              <w:right w:val="nil"/>
            </w:tcBorders>
          </w:tcPr>
          <w:p w14:paraId="1E64A65C" w14:textId="77777777" w:rsidR="00B71B84" w:rsidRPr="002F7F0A" w:rsidRDefault="00EA1F82" w:rsidP="002F7F0A">
            <w:pPr>
              <w:ind w:left="268" w:right="-390"/>
              <w:rPr>
                <w:rFonts w:asciiTheme="minorHAnsi" w:eastAsia="Calibri" w:hAnsiTheme="minorHAnsi" w:cstheme="minorHAnsi"/>
                <w:sz w:val="18"/>
                <w:szCs w:val="18"/>
              </w:rPr>
            </w:pPr>
            <w:r w:rsidRPr="002F7F0A">
              <w:rPr>
                <w:rFonts w:asciiTheme="minorHAnsi" w:eastAsia="Calibri" w:hAnsiTheme="minorHAnsi" w:cstheme="minorHAnsi"/>
                <w:b/>
                <w:sz w:val="18"/>
                <w:szCs w:val="18"/>
              </w:rPr>
              <w:t>1–2 times</w:t>
            </w:r>
          </w:p>
        </w:tc>
        <w:tc>
          <w:tcPr>
            <w:tcW w:w="1325" w:type="dxa"/>
            <w:tcBorders>
              <w:top w:val="nil"/>
              <w:left w:val="nil"/>
              <w:bottom w:val="nil"/>
              <w:right w:val="nil"/>
            </w:tcBorders>
          </w:tcPr>
          <w:p w14:paraId="164EE6C6" w14:textId="77777777" w:rsidR="00B71B84" w:rsidRPr="002F7F0A" w:rsidRDefault="00EA1F82" w:rsidP="002F7F0A">
            <w:pPr>
              <w:ind w:left="329" w:right="-390"/>
              <w:rPr>
                <w:rFonts w:asciiTheme="minorHAnsi" w:eastAsia="Calibri" w:hAnsiTheme="minorHAnsi" w:cstheme="minorHAnsi"/>
                <w:sz w:val="18"/>
                <w:szCs w:val="18"/>
              </w:rPr>
            </w:pPr>
            <w:r w:rsidRPr="002F7F0A">
              <w:rPr>
                <w:rFonts w:asciiTheme="minorHAnsi" w:eastAsia="Calibri" w:hAnsiTheme="minorHAnsi" w:cstheme="minorHAnsi"/>
                <w:b/>
                <w:sz w:val="18"/>
                <w:szCs w:val="18"/>
              </w:rPr>
              <w:t>3–4 times</w:t>
            </w:r>
          </w:p>
        </w:tc>
        <w:tc>
          <w:tcPr>
            <w:tcW w:w="1300" w:type="dxa"/>
            <w:tcBorders>
              <w:top w:val="nil"/>
              <w:left w:val="nil"/>
              <w:bottom w:val="nil"/>
              <w:right w:val="nil"/>
            </w:tcBorders>
          </w:tcPr>
          <w:p w14:paraId="6BF7FB1D" w14:textId="77777777" w:rsidR="00B71B84" w:rsidRPr="002F7F0A" w:rsidRDefault="00EA1F82" w:rsidP="002F7F0A">
            <w:pPr>
              <w:ind w:left="270" w:right="-390"/>
              <w:rPr>
                <w:rFonts w:asciiTheme="minorHAnsi" w:eastAsia="Calibri" w:hAnsiTheme="minorHAnsi" w:cstheme="minorHAnsi"/>
                <w:sz w:val="18"/>
                <w:szCs w:val="18"/>
              </w:rPr>
            </w:pPr>
            <w:r w:rsidRPr="002F7F0A">
              <w:rPr>
                <w:rFonts w:asciiTheme="minorHAnsi" w:eastAsia="Calibri" w:hAnsiTheme="minorHAnsi" w:cstheme="minorHAnsi"/>
                <w:b/>
                <w:sz w:val="18"/>
                <w:szCs w:val="18"/>
              </w:rPr>
              <w:t>5–6 times</w:t>
            </w:r>
          </w:p>
        </w:tc>
        <w:tc>
          <w:tcPr>
            <w:tcW w:w="2991" w:type="dxa"/>
            <w:tcBorders>
              <w:top w:val="nil"/>
              <w:left w:val="nil"/>
              <w:bottom w:val="nil"/>
              <w:right w:val="nil"/>
            </w:tcBorders>
          </w:tcPr>
          <w:p w14:paraId="236988CA" w14:textId="77777777" w:rsidR="00B71B84" w:rsidRPr="002F7F0A" w:rsidRDefault="00EA1F82" w:rsidP="002F7F0A">
            <w:pPr>
              <w:ind w:left="304" w:right="-390"/>
              <w:rPr>
                <w:rFonts w:asciiTheme="minorHAnsi" w:eastAsia="Calibri" w:hAnsiTheme="minorHAnsi" w:cstheme="minorHAnsi"/>
                <w:sz w:val="18"/>
                <w:szCs w:val="18"/>
              </w:rPr>
            </w:pPr>
            <w:r w:rsidRPr="002F7F0A">
              <w:rPr>
                <w:rFonts w:asciiTheme="minorHAnsi" w:eastAsia="Calibri" w:hAnsiTheme="minorHAnsi" w:cstheme="minorHAnsi"/>
                <w:b/>
                <w:sz w:val="18"/>
                <w:szCs w:val="18"/>
              </w:rPr>
              <w:t>7 or more</w:t>
            </w:r>
          </w:p>
        </w:tc>
      </w:tr>
      <w:tr w:rsidR="00B71B84" w:rsidRPr="002F7F0A" w14:paraId="0BEEB7DD" w14:textId="77777777">
        <w:trPr>
          <w:trHeight w:hRule="exact" w:val="399"/>
        </w:trPr>
        <w:tc>
          <w:tcPr>
            <w:tcW w:w="948" w:type="dxa"/>
            <w:tcBorders>
              <w:top w:val="nil"/>
              <w:left w:val="nil"/>
              <w:bottom w:val="single" w:sz="5" w:space="0" w:color="000000"/>
              <w:right w:val="nil"/>
            </w:tcBorders>
          </w:tcPr>
          <w:p w14:paraId="0BC6539D" w14:textId="77777777" w:rsidR="00B71B84" w:rsidRPr="002F7F0A" w:rsidRDefault="00EA1F82" w:rsidP="002F7F0A">
            <w:pPr>
              <w:spacing w:before="12"/>
              <w:ind w:left="326" w:right="-390"/>
              <w:jc w:val="center"/>
              <w:rPr>
                <w:rFonts w:asciiTheme="minorHAnsi" w:eastAsia="Calibri" w:hAnsiTheme="minorHAnsi" w:cstheme="minorHAnsi"/>
                <w:sz w:val="18"/>
                <w:szCs w:val="18"/>
              </w:rPr>
            </w:pPr>
            <w:r w:rsidRPr="002F7F0A">
              <w:rPr>
                <w:rFonts w:asciiTheme="minorHAnsi" w:eastAsia="Calibri" w:hAnsiTheme="minorHAnsi" w:cstheme="minorHAnsi"/>
                <w:b/>
                <w:sz w:val="18"/>
                <w:szCs w:val="18"/>
              </w:rPr>
              <w:t>(1)</w:t>
            </w:r>
          </w:p>
        </w:tc>
        <w:tc>
          <w:tcPr>
            <w:tcW w:w="1323" w:type="dxa"/>
            <w:tcBorders>
              <w:top w:val="nil"/>
              <w:left w:val="nil"/>
              <w:bottom w:val="single" w:sz="5" w:space="0" w:color="000000"/>
              <w:right w:val="nil"/>
            </w:tcBorders>
          </w:tcPr>
          <w:p w14:paraId="52825705" w14:textId="77777777" w:rsidR="00B71B84" w:rsidRPr="002F7F0A" w:rsidRDefault="00EA1F82" w:rsidP="002F7F0A">
            <w:pPr>
              <w:spacing w:before="12"/>
              <w:ind w:left="444" w:right="-390"/>
              <w:jc w:val="center"/>
              <w:rPr>
                <w:rFonts w:asciiTheme="minorHAnsi" w:eastAsia="Calibri" w:hAnsiTheme="minorHAnsi" w:cstheme="minorHAnsi"/>
                <w:sz w:val="18"/>
                <w:szCs w:val="18"/>
              </w:rPr>
            </w:pPr>
            <w:r w:rsidRPr="002F7F0A">
              <w:rPr>
                <w:rFonts w:asciiTheme="minorHAnsi" w:eastAsia="Calibri" w:hAnsiTheme="minorHAnsi" w:cstheme="minorHAnsi"/>
                <w:b/>
                <w:sz w:val="18"/>
                <w:szCs w:val="18"/>
              </w:rPr>
              <w:t>(2)</w:t>
            </w:r>
          </w:p>
        </w:tc>
        <w:tc>
          <w:tcPr>
            <w:tcW w:w="1325" w:type="dxa"/>
            <w:tcBorders>
              <w:top w:val="nil"/>
              <w:left w:val="nil"/>
              <w:bottom w:val="single" w:sz="5" w:space="0" w:color="000000"/>
              <w:right w:val="nil"/>
            </w:tcBorders>
          </w:tcPr>
          <w:p w14:paraId="6D51425D" w14:textId="77777777" w:rsidR="00B71B84" w:rsidRPr="002F7F0A" w:rsidRDefault="00EA1F82" w:rsidP="002F7F0A">
            <w:pPr>
              <w:spacing w:before="12"/>
              <w:ind w:left="501" w:right="-390"/>
              <w:jc w:val="center"/>
              <w:rPr>
                <w:rFonts w:asciiTheme="minorHAnsi" w:eastAsia="Calibri" w:hAnsiTheme="minorHAnsi" w:cstheme="minorHAnsi"/>
                <w:sz w:val="18"/>
                <w:szCs w:val="18"/>
              </w:rPr>
            </w:pPr>
            <w:r w:rsidRPr="002F7F0A">
              <w:rPr>
                <w:rFonts w:asciiTheme="minorHAnsi" w:eastAsia="Calibri" w:hAnsiTheme="minorHAnsi" w:cstheme="minorHAnsi"/>
                <w:b/>
                <w:sz w:val="18"/>
                <w:szCs w:val="18"/>
              </w:rPr>
              <w:t>(3)</w:t>
            </w:r>
          </w:p>
        </w:tc>
        <w:tc>
          <w:tcPr>
            <w:tcW w:w="1300" w:type="dxa"/>
            <w:tcBorders>
              <w:top w:val="nil"/>
              <w:left w:val="nil"/>
              <w:bottom w:val="single" w:sz="5" w:space="0" w:color="000000"/>
              <w:right w:val="nil"/>
            </w:tcBorders>
          </w:tcPr>
          <w:p w14:paraId="616BEB09" w14:textId="77777777" w:rsidR="00B71B84" w:rsidRPr="002F7F0A" w:rsidRDefault="00EA1F82" w:rsidP="002F7F0A">
            <w:pPr>
              <w:spacing w:before="12"/>
              <w:ind w:left="434" w:right="-390"/>
              <w:jc w:val="center"/>
              <w:rPr>
                <w:rFonts w:asciiTheme="minorHAnsi" w:eastAsia="Calibri" w:hAnsiTheme="minorHAnsi" w:cstheme="minorHAnsi"/>
                <w:sz w:val="18"/>
                <w:szCs w:val="18"/>
              </w:rPr>
            </w:pPr>
            <w:r w:rsidRPr="002F7F0A">
              <w:rPr>
                <w:rFonts w:asciiTheme="minorHAnsi" w:eastAsia="Calibri" w:hAnsiTheme="minorHAnsi" w:cstheme="minorHAnsi"/>
                <w:b/>
                <w:sz w:val="18"/>
                <w:szCs w:val="18"/>
              </w:rPr>
              <w:t>(4)</w:t>
            </w:r>
          </w:p>
        </w:tc>
        <w:tc>
          <w:tcPr>
            <w:tcW w:w="2991" w:type="dxa"/>
            <w:tcBorders>
              <w:top w:val="nil"/>
              <w:left w:val="nil"/>
              <w:bottom w:val="single" w:sz="5" w:space="0" w:color="000000"/>
              <w:right w:val="nil"/>
            </w:tcBorders>
          </w:tcPr>
          <w:p w14:paraId="04249EDA" w14:textId="77777777" w:rsidR="00B71B84" w:rsidRPr="002F7F0A" w:rsidRDefault="00EA1F82" w:rsidP="002F7F0A">
            <w:pPr>
              <w:spacing w:before="12"/>
              <w:ind w:left="511" w:right="-390"/>
              <w:rPr>
                <w:rFonts w:asciiTheme="minorHAnsi" w:eastAsia="Calibri" w:hAnsiTheme="minorHAnsi" w:cstheme="minorHAnsi"/>
                <w:sz w:val="18"/>
                <w:szCs w:val="18"/>
              </w:rPr>
            </w:pPr>
            <w:r w:rsidRPr="002F7F0A">
              <w:rPr>
                <w:rFonts w:asciiTheme="minorHAnsi" w:eastAsia="Calibri" w:hAnsiTheme="minorHAnsi" w:cstheme="minorHAnsi"/>
                <w:b/>
                <w:sz w:val="18"/>
                <w:szCs w:val="18"/>
              </w:rPr>
              <w:t>(5)</w:t>
            </w:r>
          </w:p>
        </w:tc>
      </w:tr>
    </w:tbl>
    <w:p w14:paraId="0407E066" w14:textId="77777777" w:rsidR="00B71B84" w:rsidRPr="002F7F0A" w:rsidRDefault="00EA1F82" w:rsidP="002F7F0A">
      <w:pPr>
        <w:spacing w:before="12"/>
        <w:ind w:left="121" w:right="-390"/>
        <w:rPr>
          <w:rFonts w:asciiTheme="minorHAnsi" w:eastAsia="Calibri" w:hAnsiTheme="minorHAnsi" w:cstheme="minorHAnsi"/>
          <w:b/>
          <w:sz w:val="18"/>
          <w:szCs w:val="18"/>
        </w:rPr>
      </w:pPr>
      <w:r w:rsidRPr="002F7F0A">
        <w:rPr>
          <w:rFonts w:asciiTheme="minorHAnsi" w:eastAsia="Calibri" w:hAnsiTheme="minorHAnsi" w:cstheme="minorHAnsi"/>
          <w:b/>
          <w:sz w:val="18"/>
          <w:szCs w:val="18"/>
        </w:rPr>
        <w:t>Total score (sum of replies to 1, 2, and 3): mild NVP, 6 or less; moderate NVP, 7–12; severe NVP, 13 or more</w:t>
      </w:r>
      <w:r w:rsidR="007B077A" w:rsidRPr="002F7F0A">
        <w:rPr>
          <w:rFonts w:asciiTheme="minorHAnsi" w:eastAsia="Calibri" w:hAnsiTheme="minorHAnsi" w:cstheme="minorHAnsi"/>
          <w:b/>
          <w:sz w:val="18"/>
          <w:szCs w:val="18"/>
        </w:rPr>
        <w:t>.</w:t>
      </w:r>
      <w:r w:rsidR="00000000">
        <w:rPr>
          <w:rFonts w:asciiTheme="minorHAnsi" w:hAnsiTheme="minorHAnsi" w:cstheme="minorHAnsi"/>
        </w:rPr>
        <w:pict w14:anchorId="76672F59">
          <v:group id="_x0000_s1046" alt="" style="position:absolute;left:0;text-align:left;margin-left:89.3pt;margin-top:13.1pt;width:395.15pt;height:0;z-index:-251662848;mso-position-horizontal-relative:page;mso-position-vertical-relative:text" coordorigin="1786,262" coordsize="7903,0">
            <v:shape id="_x0000_s1047" alt="" style="position:absolute;left:1786;top:262;width:7903;height:0" coordorigin="1786,262" coordsize="7903,0" path="m1786,262r7903,e" filled="f" strokeweight=".6pt">
              <v:path arrowok="t"/>
            </v:shape>
            <w10:wrap anchorx="page"/>
          </v:group>
        </w:pict>
      </w:r>
      <w:r w:rsidR="007B077A" w:rsidRPr="002F7F0A">
        <w:rPr>
          <w:rFonts w:asciiTheme="minorHAnsi" w:eastAsia="Calibri" w:hAnsiTheme="minorHAnsi" w:cstheme="minorHAnsi"/>
          <w:sz w:val="18"/>
          <w:szCs w:val="18"/>
        </w:rPr>
        <w:t xml:space="preserve"> </w:t>
      </w:r>
      <w:r w:rsidRPr="002F7F0A">
        <w:rPr>
          <w:rFonts w:asciiTheme="minorHAnsi" w:eastAsia="Calibri" w:hAnsiTheme="minorHAnsi" w:cstheme="minorHAnsi"/>
          <w:b/>
          <w:sz w:val="18"/>
          <w:szCs w:val="18"/>
        </w:rPr>
        <w:t>NVP = Nausea and vomiting of pregnanc</w:t>
      </w:r>
      <w:r w:rsidR="007B077A" w:rsidRPr="002F7F0A">
        <w:rPr>
          <w:rFonts w:asciiTheme="minorHAnsi" w:eastAsia="Calibri" w:hAnsiTheme="minorHAnsi" w:cstheme="minorHAnsi"/>
          <w:b/>
          <w:sz w:val="18"/>
          <w:szCs w:val="18"/>
        </w:rPr>
        <w:t>y</w:t>
      </w:r>
      <w:r w:rsidR="009D666B" w:rsidRPr="002F7F0A">
        <w:rPr>
          <w:rFonts w:asciiTheme="minorHAnsi" w:eastAsia="Calibri" w:hAnsiTheme="minorHAnsi" w:cstheme="minorHAnsi"/>
          <w:b/>
          <w:sz w:val="18"/>
          <w:szCs w:val="18"/>
        </w:rPr>
        <w:t>.</w:t>
      </w:r>
    </w:p>
    <w:p w14:paraId="0B394ED2" w14:textId="77777777" w:rsidR="00D312EA" w:rsidRPr="002F7F0A" w:rsidRDefault="00D312EA" w:rsidP="002F7F0A">
      <w:pPr>
        <w:spacing w:before="12"/>
        <w:ind w:left="121" w:right="-390"/>
        <w:rPr>
          <w:rFonts w:asciiTheme="minorHAnsi" w:eastAsia="Calibri" w:hAnsiTheme="minorHAnsi" w:cstheme="minorHAnsi"/>
          <w:b/>
          <w:sz w:val="18"/>
          <w:szCs w:val="18"/>
        </w:rPr>
      </w:pPr>
    </w:p>
    <w:p w14:paraId="5A54208E" w14:textId="77777777" w:rsidR="00D312EA" w:rsidRPr="002F7F0A" w:rsidRDefault="00D312EA" w:rsidP="002F7F0A">
      <w:pPr>
        <w:spacing w:before="12"/>
        <w:ind w:left="121" w:right="-390"/>
        <w:rPr>
          <w:rFonts w:asciiTheme="minorHAnsi" w:eastAsia="Calibri" w:hAnsiTheme="minorHAnsi" w:cstheme="minorHAnsi"/>
          <w:b/>
          <w:sz w:val="18"/>
          <w:szCs w:val="18"/>
        </w:rPr>
      </w:pPr>
    </w:p>
    <w:p w14:paraId="0FF2DFE2" w14:textId="54005DAA" w:rsidR="00B71B84" w:rsidRPr="002F7F0A" w:rsidRDefault="00EA1F82" w:rsidP="002F7F0A">
      <w:pPr>
        <w:pStyle w:val="Heading1"/>
        <w:keepLines/>
        <w:shd w:val="clear" w:color="auto" w:fill="D9D9D9" w:themeFill="background1" w:themeFillShade="D9"/>
        <w:tabs>
          <w:tab w:val="clear" w:pos="720"/>
        </w:tabs>
        <w:spacing w:before="0" w:after="0"/>
        <w:ind w:left="0" w:right="-390" w:firstLine="0"/>
        <w:rPr>
          <w:rFonts w:asciiTheme="minorHAnsi" w:hAnsiTheme="minorHAnsi" w:cstheme="minorHAnsi"/>
          <w:b w:val="0"/>
          <w:bCs w:val="0"/>
          <w:color w:val="244061" w:themeColor="accent1" w:themeShade="80"/>
          <w:kern w:val="0"/>
        </w:rPr>
      </w:pPr>
      <w:r w:rsidRPr="002F7F0A">
        <w:rPr>
          <w:rFonts w:asciiTheme="minorHAnsi" w:hAnsiTheme="minorHAnsi" w:cstheme="minorHAnsi"/>
          <w:b w:val="0"/>
          <w:bCs w:val="0"/>
          <w:color w:val="244061" w:themeColor="accent1" w:themeShade="80"/>
          <w:kern w:val="0"/>
        </w:rPr>
        <w:t xml:space="preserve">Role </w:t>
      </w:r>
      <w:r w:rsidR="00D312EA" w:rsidRPr="002F7F0A">
        <w:rPr>
          <w:rFonts w:asciiTheme="minorHAnsi" w:hAnsiTheme="minorHAnsi" w:cstheme="minorHAnsi"/>
          <w:b w:val="0"/>
          <w:bCs w:val="0"/>
          <w:color w:val="244061" w:themeColor="accent1" w:themeShade="80"/>
          <w:kern w:val="0"/>
        </w:rPr>
        <w:t xml:space="preserve">For Laboratory </w:t>
      </w:r>
      <w:r w:rsidR="00AA0AC9" w:rsidRPr="002F7F0A">
        <w:rPr>
          <w:rFonts w:asciiTheme="minorHAnsi" w:hAnsiTheme="minorHAnsi" w:cstheme="minorHAnsi"/>
          <w:b w:val="0"/>
          <w:bCs w:val="0"/>
          <w:color w:val="244061" w:themeColor="accent1" w:themeShade="80"/>
          <w:kern w:val="0"/>
        </w:rPr>
        <w:t>or</w:t>
      </w:r>
      <w:r w:rsidR="00D312EA" w:rsidRPr="002F7F0A">
        <w:rPr>
          <w:rFonts w:asciiTheme="minorHAnsi" w:hAnsiTheme="minorHAnsi" w:cstheme="minorHAnsi"/>
          <w:b w:val="0"/>
          <w:bCs w:val="0"/>
          <w:color w:val="244061" w:themeColor="accent1" w:themeShade="80"/>
          <w:kern w:val="0"/>
        </w:rPr>
        <w:t xml:space="preserve"> Radiologic Assessment </w:t>
      </w:r>
      <w:r w:rsidR="00AA0AC9" w:rsidRPr="002F7F0A">
        <w:rPr>
          <w:rFonts w:asciiTheme="minorHAnsi" w:hAnsiTheme="minorHAnsi" w:cstheme="minorHAnsi"/>
          <w:b w:val="0"/>
          <w:bCs w:val="0"/>
          <w:color w:val="244061" w:themeColor="accent1" w:themeShade="80"/>
          <w:kern w:val="0"/>
        </w:rPr>
        <w:t>in</w:t>
      </w:r>
      <w:r w:rsidR="00D312EA" w:rsidRPr="002F7F0A">
        <w:rPr>
          <w:rFonts w:asciiTheme="minorHAnsi" w:hAnsiTheme="minorHAnsi" w:cstheme="minorHAnsi"/>
          <w:b w:val="0"/>
          <w:bCs w:val="0"/>
          <w:color w:val="244061" w:themeColor="accent1" w:themeShade="80"/>
          <w:kern w:val="0"/>
        </w:rPr>
        <w:t xml:space="preserve"> The Diagnosis </w:t>
      </w:r>
      <w:r w:rsidR="00AA0AC9" w:rsidRPr="002F7F0A">
        <w:rPr>
          <w:rFonts w:asciiTheme="minorHAnsi" w:hAnsiTheme="minorHAnsi" w:cstheme="minorHAnsi"/>
          <w:b w:val="0"/>
          <w:bCs w:val="0"/>
          <w:color w:val="244061" w:themeColor="accent1" w:themeShade="80"/>
          <w:kern w:val="0"/>
        </w:rPr>
        <w:t>of</w:t>
      </w:r>
      <w:r w:rsidR="00D312EA" w:rsidRPr="002F7F0A">
        <w:rPr>
          <w:rFonts w:asciiTheme="minorHAnsi" w:hAnsiTheme="minorHAnsi" w:cstheme="minorHAnsi"/>
          <w:b w:val="0"/>
          <w:bCs w:val="0"/>
          <w:color w:val="244061" w:themeColor="accent1" w:themeShade="80"/>
          <w:kern w:val="0"/>
        </w:rPr>
        <w:t xml:space="preserve"> Hyperemesis Gravidarum</w:t>
      </w:r>
    </w:p>
    <w:p w14:paraId="77789DCF" w14:textId="694B0928" w:rsidR="00BD443B" w:rsidRPr="002F7F0A" w:rsidRDefault="00EA1F82" w:rsidP="002F7F0A">
      <w:pPr>
        <w:spacing w:before="15"/>
        <w:ind w:right="-390"/>
        <w:rPr>
          <w:rFonts w:asciiTheme="minorHAnsi" w:eastAsia="Calibri" w:hAnsiTheme="minorHAnsi" w:cstheme="minorHAnsi"/>
          <w:sz w:val="22"/>
          <w:szCs w:val="22"/>
        </w:rPr>
      </w:pPr>
      <w:r w:rsidRPr="002F7F0A">
        <w:rPr>
          <w:rFonts w:asciiTheme="minorHAnsi" w:eastAsia="Calibri" w:hAnsiTheme="minorHAnsi" w:cstheme="minorHAnsi"/>
          <w:b/>
          <w:sz w:val="28"/>
          <w:szCs w:val="28"/>
        </w:rPr>
        <w:t>Ultrasound examination</w:t>
      </w:r>
      <w:r w:rsidRPr="002F7F0A">
        <w:rPr>
          <w:rFonts w:asciiTheme="minorHAnsi" w:eastAsia="Calibri" w:hAnsiTheme="minorHAnsi" w:cstheme="minorHAnsi"/>
          <w:sz w:val="22"/>
          <w:szCs w:val="22"/>
        </w:rPr>
        <w:t xml:space="preserve"> </w:t>
      </w:r>
    </w:p>
    <w:p w14:paraId="7383A210" w14:textId="4469B3E3" w:rsidR="00B71B84" w:rsidRPr="002F7F0A" w:rsidRDefault="00BD443B" w:rsidP="002F7F0A">
      <w:pPr>
        <w:pStyle w:val="ListParagraph"/>
        <w:numPr>
          <w:ilvl w:val="0"/>
          <w:numId w:val="4"/>
        </w:numPr>
        <w:spacing w:before="15"/>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M</w:t>
      </w:r>
      <w:r w:rsidR="00EA1F82" w:rsidRPr="002F7F0A">
        <w:rPr>
          <w:rFonts w:asciiTheme="minorHAnsi" w:eastAsia="Calibri" w:hAnsiTheme="minorHAnsi" w:cstheme="minorHAnsi"/>
          <w:sz w:val="22"/>
          <w:szCs w:val="22"/>
        </w:rPr>
        <w:t>ay identify a predisposing factor such as multiple gestation or molar gestation.</w:t>
      </w:r>
    </w:p>
    <w:p w14:paraId="2626DEC9" w14:textId="397BE661" w:rsidR="00BD443B" w:rsidRPr="002F7F0A" w:rsidRDefault="00BD443B" w:rsidP="002F7F0A">
      <w:pPr>
        <w:pStyle w:val="ListParagraph"/>
        <w:numPr>
          <w:ilvl w:val="0"/>
          <w:numId w:val="4"/>
        </w:numPr>
        <w:spacing w:before="15"/>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Abdominal ultrasound examination to evaluate gastrointestinal causes.</w:t>
      </w:r>
    </w:p>
    <w:p w14:paraId="1BED2C29" w14:textId="77777777" w:rsidR="00B71B84" w:rsidRPr="002F7F0A" w:rsidRDefault="00B71B84" w:rsidP="002F7F0A">
      <w:pPr>
        <w:spacing w:before="6" w:line="260" w:lineRule="exact"/>
        <w:ind w:right="-390"/>
        <w:rPr>
          <w:rFonts w:asciiTheme="minorHAnsi" w:hAnsiTheme="minorHAnsi" w:cstheme="minorHAnsi"/>
          <w:sz w:val="26"/>
          <w:szCs w:val="26"/>
        </w:rPr>
      </w:pPr>
    </w:p>
    <w:p w14:paraId="70D25FCE" w14:textId="77777777" w:rsidR="00EF4A24" w:rsidRPr="002F7F0A" w:rsidRDefault="00EA1F82" w:rsidP="002F7F0A">
      <w:pPr>
        <w:ind w:right="-390"/>
        <w:rPr>
          <w:rFonts w:asciiTheme="minorHAnsi" w:eastAsia="Calibri" w:hAnsiTheme="minorHAnsi" w:cstheme="minorHAnsi"/>
          <w:b/>
          <w:sz w:val="28"/>
          <w:szCs w:val="28"/>
        </w:rPr>
      </w:pPr>
      <w:r w:rsidRPr="002F7F0A">
        <w:rPr>
          <w:rFonts w:asciiTheme="minorHAnsi" w:eastAsia="Calibri" w:hAnsiTheme="minorHAnsi" w:cstheme="minorHAnsi"/>
          <w:b/>
          <w:sz w:val="28"/>
          <w:szCs w:val="28"/>
        </w:rPr>
        <w:t xml:space="preserve">Common laboratory abnormalities </w:t>
      </w:r>
    </w:p>
    <w:p w14:paraId="2087A477" w14:textId="77777777" w:rsidR="00EF4A24" w:rsidRPr="002F7F0A" w:rsidRDefault="00EF4A24" w:rsidP="002F7F0A">
      <w:pPr>
        <w:pStyle w:val="ListParagraph"/>
        <w:numPr>
          <w:ilvl w:val="0"/>
          <w:numId w:val="5"/>
        </w:num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Elevated</w:t>
      </w:r>
      <w:r w:rsidR="00EA1F82" w:rsidRPr="002F7F0A">
        <w:rPr>
          <w:rFonts w:asciiTheme="minorHAnsi" w:eastAsia="Calibri" w:hAnsiTheme="minorHAnsi" w:cstheme="minorHAnsi"/>
          <w:sz w:val="22"/>
          <w:szCs w:val="22"/>
        </w:rPr>
        <w:t xml:space="preserve"> liver enzymes (AST and ALT, usually less than 300 units/L), </w:t>
      </w:r>
    </w:p>
    <w:p w14:paraId="1C5430CF" w14:textId="77777777" w:rsidR="00EF4A24" w:rsidRPr="002F7F0A" w:rsidRDefault="00EF4A24" w:rsidP="002F7F0A">
      <w:pPr>
        <w:pStyle w:val="ListParagraph"/>
        <w:numPr>
          <w:ilvl w:val="0"/>
          <w:numId w:val="5"/>
        </w:num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Elevated S</w:t>
      </w:r>
      <w:r w:rsidR="00EA1F82" w:rsidRPr="002F7F0A">
        <w:rPr>
          <w:rFonts w:asciiTheme="minorHAnsi" w:eastAsia="Calibri" w:hAnsiTheme="minorHAnsi" w:cstheme="minorHAnsi"/>
          <w:sz w:val="22"/>
          <w:szCs w:val="22"/>
        </w:rPr>
        <w:t>erum bilirubin (less than</w:t>
      </w:r>
      <w:r w:rsidRPr="002F7F0A">
        <w:rPr>
          <w:rFonts w:asciiTheme="minorHAnsi" w:eastAsia="Calibri" w:hAnsiTheme="minorHAnsi" w:cstheme="minorHAnsi"/>
          <w:sz w:val="22"/>
          <w:szCs w:val="22"/>
        </w:rPr>
        <w:t xml:space="preserve"> </w:t>
      </w:r>
      <w:r w:rsidR="00EA1F82" w:rsidRPr="002F7F0A">
        <w:rPr>
          <w:rFonts w:asciiTheme="minorHAnsi" w:eastAsia="Calibri" w:hAnsiTheme="minorHAnsi" w:cstheme="minorHAnsi"/>
          <w:sz w:val="22"/>
          <w:szCs w:val="22"/>
        </w:rPr>
        <w:t xml:space="preserve">4 mg/dL), </w:t>
      </w:r>
    </w:p>
    <w:p w14:paraId="1B7CE6BC" w14:textId="6CC3FB60" w:rsidR="00B71B84" w:rsidRPr="002F7F0A" w:rsidRDefault="00EF4A24" w:rsidP="002F7F0A">
      <w:pPr>
        <w:pStyle w:val="ListParagraph"/>
        <w:numPr>
          <w:ilvl w:val="0"/>
          <w:numId w:val="5"/>
        </w:num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Elevated S</w:t>
      </w:r>
      <w:r w:rsidR="00EA1F82" w:rsidRPr="002F7F0A">
        <w:rPr>
          <w:rFonts w:asciiTheme="minorHAnsi" w:eastAsia="Calibri" w:hAnsiTheme="minorHAnsi" w:cstheme="minorHAnsi"/>
          <w:sz w:val="22"/>
          <w:szCs w:val="22"/>
        </w:rPr>
        <w:t xml:space="preserve">erum amylase </w:t>
      </w:r>
      <w:r w:rsidRPr="002F7F0A">
        <w:rPr>
          <w:rFonts w:asciiTheme="minorHAnsi" w:eastAsia="Calibri" w:hAnsiTheme="minorHAnsi" w:cstheme="minorHAnsi"/>
          <w:sz w:val="22"/>
          <w:szCs w:val="22"/>
        </w:rPr>
        <w:t>and/</w:t>
      </w:r>
      <w:r w:rsidR="00EA1F82" w:rsidRPr="002F7F0A">
        <w:rPr>
          <w:rFonts w:asciiTheme="minorHAnsi" w:eastAsia="Calibri" w:hAnsiTheme="minorHAnsi" w:cstheme="minorHAnsi"/>
          <w:sz w:val="22"/>
          <w:szCs w:val="22"/>
        </w:rPr>
        <w:t>or lipase concentrations (up to five times greater than normal levels).</w:t>
      </w:r>
    </w:p>
    <w:p w14:paraId="6E669D53" w14:textId="61D1A9B7" w:rsidR="00B71B84" w:rsidRPr="002F7F0A" w:rsidRDefault="00EA1F82" w:rsidP="002F7F0A">
      <w:pPr>
        <w:pStyle w:val="Heading1"/>
        <w:keepLines/>
        <w:shd w:val="clear" w:color="auto" w:fill="D9D9D9" w:themeFill="background1" w:themeFillShade="D9"/>
        <w:tabs>
          <w:tab w:val="clear" w:pos="720"/>
        </w:tabs>
        <w:spacing w:after="0"/>
        <w:ind w:left="0" w:right="-390" w:firstLine="0"/>
        <w:rPr>
          <w:rFonts w:asciiTheme="minorHAnsi" w:hAnsiTheme="minorHAnsi" w:cstheme="minorHAnsi"/>
          <w:b w:val="0"/>
          <w:bCs w:val="0"/>
          <w:color w:val="244061" w:themeColor="accent1" w:themeShade="80"/>
          <w:kern w:val="0"/>
        </w:rPr>
      </w:pPr>
      <w:r w:rsidRPr="002F7F0A">
        <w:rPr>
          <w:rFonts w:asciiTheme="minorHAnsi" w:hAnsiTheme="minorHAnsi" w:cstheme="minorHAnsi"/>
          <w:b w:val="0"/>
          <w:bCs w:val="0"/>
          <w:color w:val="244061" w:themeColor="accent1" w:themeShade="80"/>
          <w:kern w:val="0"/>
        </w:rPr>
        <w:t>Differential Diagnosis</w:t>
      </w:r>
    </w:p>
    <w:p w14:paraId="4AFFC600" w14:textId="358F7561" w:rsidR="00B71B84" w:rsidRPr="002F7F0A" w:rsidRDefault="00EA1F82" w:rsidP="002F7F0A">
      <w:pPr>
        <w:pStyle w:val="ListParagraph"/>
        <w:numPr>
          <w:ilvl w:val="0"/>
          <w:numId w:val="6"/>
        </w:numPr>
        <w:spacing w:before="15"/>
        <w:ind w:right="-390"/>
        <w:rPr>
          <w:rFonts w:asciiTheme="minorHAnsi" w:eastAsia="Calibri" w:hAnsiTheme="minorHAnsi" w:cstheme="minorHAnsi"/>
          <w:sz w:val="28"/>
          <w:szCs w:val="28"/>
        </w:rPr>
      </w:pPr>
      <w:r w:rsidRPr="002F7F0A">
        <w:rPr>
          <w:rFonts w:asciiTheme="minorHAnsi" w:eastAsia="Calibri" w:hAnsiTheme="minorHAnsi" w:cstheme="minorHAnsi"/>
          <w:b/>
          <w:sz w:val="28"/>
          <w:szCs w:val="28"/>
        </w:rPr>
        <w:t>Gastrointestinal conditions</w:t>
      </w:r>
    </w:p>
    <w:p w14:paraId="515BB81A" w14:textId="6B56EBF2" w:rsidR="00B71B84" w:rsidRPr="002F7F0A" w:rsidRDefault="00EA1F82" w:rsidP="002F7F0A">
      <w:pPr>
        <w:pStyle w:val="ListParagraph"/>
        <w:numPr>
          <w:ilvl w:val="0"/>
          <w:numId w:val="7"/>
        </w:numPr>
        <w:spacing w:before="4" w:line="236" w:lineRule="auto"/>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Gastroenteritis, gastroparesis, achalasia, GERD, peptic ulcer disease, </w:t>
      </w:r>
      <w:r w:rsidRPr="002F7F0A">
        <w:rPr>
          <w:rFonts w:asciiTheme="minorHAnsi" w:eastAsia="Calibri" w:hAnsiTheme="minorHAnsi" w:cstheme="minorHAnsi"/>
          <w:i/>
          <w:sz w:val="22"/>
          <w:szCs w:val="22"/>
        </w:rPr>
        <w:t>Helico bacter pylori</w:t>
      </w:r>
      <w:r w:rsidRPr="002F7F0A">
        <w:rPr>
          <w:rFonts w:asciiTheme="minorHAnsi" w:eastAsia="Calibri" w:hAnsiTheme="minorHAnsi" w:cstheme="minorHAnsi"/>
          <w:sz w:val="22"/>
          <w:szCs w:val="22"/>
        </w:rPr>
        <w:t>, biliary tract disease, hepatitis, intestinal obstruction, pancreatitis</w:t>
      </w:r>
      <w:r w:rsidR="00B915D8" w:rsidRPr="002F7F0A">
        <w:rPr>
          <w:rFonts w:asciiTheme="minorHAnsi" w:eastAsia="Calibri" w:hAnsiTheme="minorHAnsi" w:cstheme="minorHAnsi"/>
          <w:sz w:val="22"/>
          <w:szCs w:val="22"/>
        </w:rPr>
        <w:t>.</w:t>
      </w:r>
    </w:p>
    <w:p w14:paraId="501452A4" w14:textId="5B96EC78" w:rsidR="00B71B84" w:rsidRPr="002F7F0A" w:rsidRDefault="00EA1F82" w:rsidP="002F7F0A">
      <w:pPr>
        <w:pStyle w:val="ListParagraph"/>
        <w:numPr>
          <w:ilvl w:val="0"/>
          <w:numId w:val="6"/>
        </w:numPr>
        <w:ind w:right="-390"/>
        <w:rPr>
          <w:rFonts w:asciiTheme="minorHAnsi" w:eastAsia="Calibri" w:hAnsiTheme="minorHAnsi" w:cstheme="minorHAnsi"/>
          <w:sz w:val="28"/>
          <w:szCs w:val="28"/>
        </w:rPr>
      </w:pPr>
      <w:r w:rsidRPr="002F7F0A">
        <w:rPr>
          <w:rFonts w:asciiTheme="minorHAnsi" w:eastAsia="Calibri" w:hAnsiTheme="minorHAnsi" w:cstheme="minorHAnsi"/>
          <w:b/>
          <w:sz w:val="28"/>
          <w:szCs w:val="28"/>
        </w:rPr>
        <w:t>Conditions of the genitourinary tract</w:t>
      </w:r>
    </w:p>
    <w:p w14:paraId="36B35038" w14:textId="00A6952F" w:rsidR="00B71B84" w:rsidRPr="002F7F0A" w:rsidRDefault="00EA1F82" w:rsidP="002F7F0A">
      <w:pPr>
        <w:pStyle w:val="ListParagraph"/>
        <w:numPr>
          <w:ilvl w:val="0"/>
          <w:numId w:val="9"/>
        </w:numPr>
        <w:spacing w:before="2"/>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Pyelonephritis, uremia, ovarian torsion, kidney stones, degenerating uterine leiomyoma</w:t>
      </w:r>
      <w:r w:rsidR="00B915D8" w:rsidRPr="002F7F0A">
        <w:rPr>
          <w:rFonts w:asciiTheme="minorHAnsi" w:eastAsia="Calibri" w:hAnsiTheme="minorHAnsi" w:cstheme="minorHAnsi"/>
          <w:sz w:val="22"/>
          <w:szCs w:val="22"/>
        </w:rPr>
        <w:t>.</w:t>
      </w:r>
    </w:p>
    <w:p w14:paraId="1D54F8B3" w14:textId="47FA9674" w:rsidR="00B71B84" w:rsidRPr="002F7F0A" w:rsidRDefault="00EA1F82" w:rsidP="002F7F0A">
      <w:pPr>
        <w:pStyle w:val="ListParagraph"/>
        <w:numPr>
          <w:ilvl w:val="0"/>
          <w:numId w:val="6"/>
        </w:numPr>
        <w:ind w:right="-390"/>
        <w:rPr>
          <w:rFonts w:asciiTheme="minorHAnsi" w:eastAsia="Calibri" w:hAnsiTheme="minorHAnsi" w:cstheme="minorHAnsi"/>
          <w:sz w:val="28"/>
          <w:szCs w:val="28"/>
        </w:rPr>
      </w:pPr>
      <w:r w:rsidRPr="002F7F0A">
        <w:rPr>
          <w:rFonts w:asciiTheme="minorHAnsi" w:eastAsia="Calibri" w:hAnsiTheme="minorHAnsi" w:cstheme="minorHAnsi"/>
          <w:b/>
          <w:sz w:val="28"/>
          <w:szCs w:val="28"/>
        </w:rPr>
        <w:t>Metabolic conditions</w:t>
      </w:r>
    </w:p>
    <w:p w14:paraId="5FD59BCE" w14:textId="338408EB" w:rsidR="00B71B84" w:rsidRPr="002F7F0A" w:rsidRDefault="00EA1F82" w:rsidP="002F7F0A">
      <w:pPr>
        <w:pStyle w:val="ListParagraph"/>
        <w:numPr>
          <w:ilvl w:val="0"/>
          <w:numId w:val="9"/>
        </w:numPr>
        <w:spacing w:before="2"/>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Diabetic ketoacidosis, porphyria, Addison’s disease, hyperthyroidism, hyperparathyroidism</w:t>
      </w:r>
      <w:r w:rsidR="00B915D8" w:rsidRPr="002F7F0A">
        <w:rPr>
          <w:rFonts w:asciiTheme="minorHAnsi" w:eastAsia="Calibri" w:hAnsiTheme="minorHAnsi" w:cstheme="minorHAnsi"/>
          <w:sz w:val="22"/>
          <w:szCs w:val="22"/>
        </w:rPr>
        <w:t>.</w:t>
      </w:r>
    </w:p>
    <w:p w14:paraId="0FEB5919" w14:textId="736AB854" w:rsidR="00B71B84" w:rsidRPr="002F7F0A" w:rsidRDefault="00EA1F82" w:rsidP="002F7F0A">
      <w:pPr>
        <w:pStyle w:val="ListParagraph"/>
        <w:numPr>
          <w:ilvl w:val="0"/>
          <w:numId w:val="6"/>
        </w:numPr>
        <w:ind w:right="-390"/>
        <w:rPr>
          <w:rFonts w:asciiTheme="minorHAnsi" w:eastAsia="Calibri" w:hAnsiTheme="minorHAnsi" w:cstheme="minorHAnsi"/>
          <w:sz w:val="28"/>
          <w:szCs w:val="28"/>
        </w:rPr>
      </w:pPr>
      <w:r w:rsidRPr="002F7F0A">
        <w:rPr>
          <w:rFonts w:asciiTheme="minorHAnsi" w:eastAsia="Calibri" w:hAnsiTheme="minorHAnsi" w:cstheme="minorHAnsi"/>
          <w:b/>
          <w:sz w:val="28"/>
          <w:szCs w:val="28"/>
        </w:rPr>
        <w:t>Neurologic disorders</w:t>
      </w:r>
    </w:p>
    <w:p w14:paraId="52C5D4D2" w14:textId="532452A9" w:rsidR="00B71B84" w:rsidRPr="002F7F0A" w:rsidRDefault="00EA1F82" w:rsidP="002F7F0A">
      <w:pPr>
        <w:pStyle w:val="ListParagraph"/>
        <w:numPr>
          <w:ilvl w:val="0"/>
          <w:numId w:val="9"/>
        </w:numPr>
        <w:spacing w:before="2"/>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Pseudotumor cerebri, vestibular lesions, migraines, tumors of the central nervous system, lymphocytic hypophysitis</w:t>
      </w:r>
      <w:r w:rsidR="00B915D8" w:rsidRPr="002F7F0A">
        <w:rPr>
          <w:rFonts w:asciiTheme="minorHAnsi" w:eastAsia="Calibri" w:hAnsiTheme="minorHAnsi" w:cstheme="minorHAnsi"/>
          <w:sz w:val="22"/>
          <w:szCs w:val="22"/>
        </w:rPr>
        <w:t>.</w:t>
      </w:r>
    </w:p>
    <w:p w14:paraId="44D305CC" w14:textId="602E66B3" w:rsidR="00B71B84" w:rsidRPr="002F7F0A" w:rsidRDefault="00EA1F82" w:rsidP="002F7F0A">
      <w:pPr>
        <w:pStyle w:val="ListParagraph"/>
        <w:numPr>
          <w:ilvl w:val="0"/>
          <w:numId w:val="6"/>
        </w:numPr>
        <w:ind w:right="-390"/>
        <w:rPr>
          <w:rFonts w:asciiTheme="minorHAnsi" w:eastAsia="Calibri" w:hAnsiTheme="minorHAnsi" w:cstheme="minorHAnsi"/>
          <w:sz w:val="28"/>
          <w:szCs w:val="28"/>
        </w:rPr>
      </w:pPr>
      <w:r w:rsidRPr="002F7F0A">
        <w:rPr>
          <w:rFonts w:asciiTheme="minorHAnsi" w:eastAsia="Calibri" w:hAnsiTheme="minorHAnsi" w:cstheme="minorHAnsi"/>
          <w:b/>
          <w:sz w:val="28"/>
          <w:szCs w:val="28"/>
        </w:rPr>
        <w:t>Miscellaneous conditions</w:t>
      </w:r>
    </w:p>
    <w:p w14:paraId="6E924D48" w14:textId="78B1AC1A" w:rsidR="00B71B84" w:rsidRPr="002F7F0A" w:rsidRDefault="00EA1F82" w:rsidP="002F7F0A">
      <w:pPr>
        <w:pStyle w:val="ListParagraph"/>
        <w:numPr>
          <w:ilvl w:val="0"/>
          <w:numId w:val="9"/>
        </w:numPr>
        <w:spacing w:before="2"/>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Drug toxicity or intolerance, psychological conditions</w:t>
      </w:r>
      <w:r w:rsidR="00B915D8" w:rsidRPr="002F7F0A">
        <w:rPr>
          <w:rFonts w:asciiTheme="minorHAnsi" w:eastAsia="Calibri" w:hAnsiTheme="minorHAnsi" w:cstheme="minorHAnsi"/>
          <w:sz w:val="22"/>
          <w:szCs w:val="22"/>
        </w:rPr>
        <w:t>.</w:t>
      </w:r>
    </w:p>
    <w:p w14:paraId="3DE8FAD5" w14:textId="6F26C85A" w:rsidR="00B71B84" w:rsidRPr="002F7F0A" w:rsidRDefault="00EA1F82" w:rsidP="002F7F0A">
      <w:pPr>
        <w:pStyle w:val="ListParagraph"/>
        <w:numPr>
          <w:ilvl w:val="0"/>
          <w:numId w:val="6"/>
        </w:numPr>
        <w:ind w:right="-390"/>
        <w:rPr>
          <w:rFonts w:asciiTheme="minorHAnsi" w:eastAsia="Calibri" w:hAnsiTheme="minorHAnsi" w:cstheme="minorHAnsi"/>
          <w:sz w:val="28"/>
          <w:szCs w:val="28"/>
        </w:rPr>
      </w:pPr>
      <w:r w:rsidRPr="002F7F0A">
        <w:rPr>
          <w:rFonts w:asciiTheme="minorHAnsi" w:eastAsia="Calibri" w:hAnsiTheme="minorHAnsi" w:cstheme="minorHAnsi"/>
          <w:b/>
          <w:sz w:val="28"/>
          <w:szCs w:val="28"/>
        </w:rPr>
        <w:t>Pregnancy-related conditions</w:t>
      </w:r>
    </w:p>
    <w:p w14:paraId="73AB1EFD" w14:textId="7BC96842" w:rsidR="00B71B84" w:rsidRPr="002F7F0A" w:rsidRDefault="00EA1F82" w:rsidP="002F7F0A">
      <w:pPr>
        <w:pStyle w:val="ListParagraph"/>
        <w:numPr>
          <w:ilvl w:val="0"/>
          <w:numId w:val="9"/>
        </w:numPr>
        <w:spacing w:before="2"/>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Acute fatty liver of pregnancy, preeclampsi</w:t>
      </w:r>
      <w:r w:rsidR="00B915D8" w:rsidRPr="002F7F0A">
        <w:rPr>
          <w:rFonts w:asciiTheme="minorHAnsi" w:eastAsia="Calibri" w:hAnsiTheme="minorHAnsi" w:cstheme="minorHAnsi"/>
          <w:sz w:val="22"/>
          <w:szCs w:val="22"/>
        </w:rPr>
        <w:t>a.</w:t>
      </w:r>
    </w:p>
    <w:p w14:paraId="0CFAC658" w14:textId="799D91D3" w:rsidR="00B71B84" w:rsidRPr="002F7F0A" w:rsidRDefault="00EA1F82" w:rsidP="002F7F0A">
      <w:pPr>
        <w:pStyle w:val="Heading1"/>
        <w:keepLines/>
        <w:shd w:val="clear" w:color="auto" w:fill="D9D9D9" w:themeFill="background1" w:themeFillShade="D9"/>
        <w:tabs>
          <w:tab w:val="clear" w:pos="720"/>
        </w:tabs>
        <w:spacing w:after="0"/>
        <w:ind w:left="0" w:right="-390" w:firstLine="0"/>
        <w:rPr>
          <w:rFonts w:asciiTheme="minorHAnsi" w:hAnsiTheme="minorHAnsi" w:cstheme="minorHAnsi"/>
          <w:b w:val="0"/>
          <w:bCs w:val="0"/>
          <w:color w:val="244061" w:themeColor="accent1" w:themeShade="80"/>
          <w:kern w:val="0"/>
        </w:rPr>
      </w:pPr>
      <w:r w:rsidRPr="002F7F0A">
        <w:rPr>
          <w:rFonts w:asciiTheme="minorHAnsi" w:hAnsiTheme="minorHAnsi" w:cstheme="minorHAnsi"/>
          <w:b w:val="0"/>
          <w:bCs w:val="0"/>
          <w:color w:val="244061" w:themeColor="accent1" w:themeShade="80"/>
          <w:kern w:val="0"/>
        </w:rPr>
        <w:lastRenderedPageBreak/>
        <w:t xml:space="preserve">Management </w:t>
      </w:r>
      <w:r w:rsidR="00D312EA" w:rsidRPr="002F7F0A">
        <w:rPr>
          <w:rFonts w:asciiTheme="minorHAnsi" w:hAnsiTheme="minorHAnsi" w:cstheme="minorHAnsi"/>
          <w:b w:val="0"/>
          <w:bCs w:val="0"/>
          <w:color w:val="244061" w:themeColor="accent1" w:themeShade="80"/>
          <w:kern w:val="0"/>
        </w:rPr>
        <w:t>Of</w:t>
      </w:r>
      <w:r w:rsidRPr="002F7F0A">
        <w:rPr>
          <w:rFonts w:asciiTheme="minorHAnsi" w:hAnsiTheme="minorHAnsi" w:cstheme="minorHAnsi"/>
          <w:b w:val="0"/>
          <w:bCs w:val="0"/>
          <w:color w:val="244061" w:themeColor="accent1" w:themeShade="80"/>
          <w:kern w:val="0"/>
        </w:rPr>
        <w:t xml:space="preserve"> NVP </w:t>
      </w:r>
      <w:r w:rsidR="00D312EA" w:rsidRPr="002F7F0A">
        <w:rPr>
          <w:rFonts w:asciiTheme="minorHAnsi" w:hAnsiTheme="minorHAnsi" w:cstheme="minorHAnsi"/>
          <w:b w:val="0"/>
          <w:bCs w:val="0"/>
          <w:color w:val="244061" w:themeColor="accent1" w:themeShade="80"/>
          <w:kern w:val="0"/>
        </w:rPr>
        <w:t>A</w:t>
      </w:r>
      <w:r w:rsidRPr="002F7F0A">
        <w:rPr>
          <w:rFonts w:asciiTheme="minorHAnsi" w:hAnsiTheme="minorHAnsi" w:cstheme="minorHAnsi"/>
          <w:b w:val="0"/>
          <w:bCs w:val="0"/>
          <w:color w:val="244061" w:themeColor="accent1" w:themeShade="80"/>
          <w:kern w:val="0"/>
        </w:rPr>
        <w:t>nd H</w:t>
      </w:r>
      <w:r w:rsidR="009D666B" w:rsidRPr="002F7F0A">
        <w:rPr>
          <w:rFonts w:asciiTheme="minorHAnsi" w:hAnsiTheme="minorHAnsi" w:cstheme="minorHAnsi"/>
          <w:b w:val="0"/>
          <w:bCs w:val="0"/>
          <w:color w:val="244061" w:themeColor="accent1" w:themeShade="80"/>
          <w:kern w:val="0"/>
        </w:rPr>
        <w:t>G</w:t>
      </w:r>
    </w:p>
    <w:p w14:paraId="12288483" w14:textId="666BCF0A" w:rsidR="00B71B84" w:rsidRPr="002F7F0A" w:rsidRDefault="00EA1F82" w:rsidP="002F7F0A">
      <w:pPr>
        <w:spacing w:before="6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The majority of women with a PUQE-24 score &lt;13 can be managed in outpatient clinic. Ambulatory Day Stay facilities should be utilized for women who require parenteral fluid resuscitation and parenteral anti-emetic administration if they are unable to tolerate these orally drugs at home</w:t>
      </w:r>
      <w:r w:rsidR="009D666B" w:rsidRPr="002F7F0A">
        <w:rPr>
          <w:rFonts w:asciiTheme="minorHAnsi" w:eastAsia="Calibri" w:hAnsiTheme="minorHAnsi" w:cstheme="minorHAnsi"/>
          <w:sz w:val="22"/>
          <w:szCs w:val="22"/>
        </w:rPr>
        <w:t>.</w:t>
      </w:r>
    </w:p>
    <w:p w14:paraId="7258DADC" w14:textId="77777777" w:rsidR="00D312EA" w:rsidRPr="002F7F0A" w:rsidRDefault="00D312EA" w:rsidP="002F7F0A">
      <w:pPr>
        <w:ind w:right="-390"/>
        <w:rPr>
          <w:rFonts w:asciiTheme="minorHAnsi" w:eastAsia="Calibri" w:hAnsiTheme="minorHAnsi" w:cstheme="minorHAnsi"/>
          <w:b/>
          <w:sz w:val="22"/>
          <w:szCs w:val="22"/>
        </w:rPr>
      </w:pPr>
    </w:p>
    <w:p w14:paraId="685CB21B" w14:textId="650E5828" w:rsidR="00B71B84" w:rsidRPr="002F7F0A" w:rsidRDefault="00EA1F82" w:rsidP="002F7F0A">
      <w:pPr>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 xml:space="preserve">Hospitalization is indicated </w:t>
      </w:r>
      <w:r w:rsidRPr="002F7F0A">
        <w:rPr>
          <w:rFonts w:asciiTheme="minorHAnsi" w:eastAsia="Calibri" w:hAnsiTheme="minorHAnsi" w:cstheme="minorHAnsi"/>
          <w:sz w:val="22"/>
          <w:szCs w:val="22"/>
        </w:rPr>
        <w:t>for women with severe NVP or HG (PUQE score ≥13) or the</w:t>
      </w:r>
      <w:r w:rsidR="00D312EA" w:rsidRPr="002F7F0A">
        <w:rPr>
          <w:rFonts w:asciiTheme="minorHAnsi" w:eastAsia="Calibri" w:hAnsiTheme="minorHAnsi" w:cstheme="minorHAnsi"/>
          <w:sz w:val="22"/>
          <w:szCs w:val="22"/>
        </w:rPr>
        <w:t xml:space="preserve"> </w:t>
      </w:r>
      <w:r w:rsidRPr="002F7F0A">
        <w:rPr>
          <w:rFonts w:asciiTheme="minorHAnsi" w:eastAsia="Calibri" w:hAnsiTheme="minorHAnsi" w:cstheme="minorHAnsi"/>
          <w:sz w:val="22"/>
          <w:szCs w:val="22"/>
        </w:rPr>
        <w:t>following high-risk group:</w:t>
      </w:r>
    </w:p>
    <w:p w14:paraId="4729A920" w14:textId="7DB1006E" w:rsidR="00B71B84" w:rsidRPr="002F7F0A" w:rsidRDefault="00EA1F82" w:rsidP="002F7F0A">
      <w:pPr>
        <w:pStyle w:val="ListParagraph"/>
        <w:numPr>
          <w:ilvl w:val="0"/>
          <w:numId w:val="10"/>
        </w:numPr>
        <w:spacing w:before="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Severe electrolyte disturbance, </w:t>
      </w:r>
      <w:r w:rsidR="00AA0AC9" w:rsidRPr="002F7F0A">
        <w:rPr>
          <w:rFonts w:asciiTheme="minorHAnsi" w:eastAsia="Calibri" w:hAnsiTheme="minorHAnsi" w:cstheme="minorHAnsi"/>
          <w:sz w:val="22"/>
          <w:szCs w:val="22"/>
        </w:rPr>
        <w:t>e.g.,</w:t>
      </w:r>
      <w:r w:rsidRPr="002F7F0A">
        <w:rPr>
          <w:rFonts w:asciiTheme="minorHAnsi" w:eastAsia="Calibri" w:hAnsiTheme="minorHAnsi" w:cstheme="minorHAnsi"/>
          <w:sz w:val="22"/>
          <w:szCs w:val="22"/>
        </w:rPr>
        <w:t xml:space="preserve"> potassium &lt; 3.0 mmol/L</w:t>
      </w:r>
    </w:p>
    <w:p w14:paraId="2449F902" w14:textId="1CAE8D1F" w:rsidR="00B71B84" w:rsidRPr="002F7F0A" w:rsidRDefault="00EA1F82" w:rsidP="002F7F0A">
      <w:pPr>
        <w:pStyle w:val="ListParagraph"/>
        <w:numPr>
          <w:ilvl w:val="0"/>
          <w:numId w:val="10"/>
        </w:numPr>
        <w:spacing w:line="260" w:lineRule="exact"/>
        <w:ind w:right="-390"/>
        <w:rPr>
          <w:rFonts w:asciiTheme="minorHAnsi" w:eastAsia="Calibri" w:hAnsiTheme="minorHAnsi" w:cstheme="minorHAnsi"/>
          <w:sz w:val="22"/>
          <w:szCs w:val="22"/>
        </w:rPr>
      </w:pPr>
      <w:r w:rsidRPr="002F7F0A">
        <w:rPr>
          <w:rFonts w:asciiTheme="minorHAnsi" w:eastAsia="Calibri" w:hAnsiTheme="minorHAnsi" w:cstheme="minorHAnsi"/>
          <w:position w:val="1"/>
          <w:sz w:val="22"/>
          <w:szCs w:val="22"/>
        </w:rPr>
        <w:t>Significant renal impairment or acute kidney injury:  creatinine &gt; 1.5 mg/dL</w:t>
      </w:r>
    </w:p>
    <w:p w14:paraId="44E28709" w14:textId="405672C6" w:rsidR="00B71B84" w:rsidRPr="002F7F0A" w:rsidRDefault="00EA1F82" w:rsidP="002F7F0A">
      <w:pPr>
        <w:pStyle w:val="ListParagraph"/>
        <w:numPr>
          <w:ilvl w:val="0"/>
          <w:numId w:val="10"/>
        </w:numPr>
        <w:tabs>
          <w:tab w:val="left" w:pos="840"/>
        </w:tabs>
        <w:spacing w:before="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Concurrent significant co-morbidity, </w:t>
      </w:r>
      <w:r w:rsidR="00AA0AC9" w:rsidRPr="002F7F0A">
        <w:rPr>
          <w:rFonts w:asciiTheme="minorHAnsi" w:eastAsia="Calibri" w:hAnsiTheme="minorHAnsi" w:cstheme="minorHAnsi"/>
          <w:sz w:val="22"/>
          <w:szCs w:val="22"/>
        </w:rPr>
        <w:t>e.g.,</w:t>
      </w:r>
      <w:r w:rsidRPr="002F7F0A">
        <w:rPr>
          <w:rFonts w:asciiTheme="minorHAnsi" w:eastAsia="Calibri" w:hAnsiTheme="minorHAnsi" w:cstheme="minorHAnsi"/>
          <w:sz w:val="22"/>
          <w:szCs w:val="22"/>
        </w:rPr>
        <w:t xml:space="preserve"> Type 1 diabetes, poorly controlled epilepsy, transplant recipients, or those requiring essential immunosuppression</w:t>
      </w:r>
    </w:p>
    <w:p w14:paraId="41633EC8" w14:textId="4B78940F" w:rsidR="00B71B84" w:rsidRPr="002F7F0A" w:rsidRDefault="00EA1F82" w:rsidP="002F7F0A">
      <w:pPr>
        <w:pStyle w:val="ListParagraph"/>
        <w:numPr>
          <w:ilvl w:val="0"/>
          <w:numId w:val="10"/>
        </w:numPr>
        <w:tabs>
          <w:tab w:val="left" w:pos="840"/>
        </w:tabs>
        <w:spacing w:before="2" w:line="236" w:lineRule="auto"/>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Malnutrition/continuing significant weight loss despite therapy or starvation ketoacidosis</w:t>
      </w:r>
    </w:p>
    <w:p w14:paraId="29DEDDF7" w14:textId="78DA5DD3" w:rsidR="00A92E57" w:rsidRPr="002F7F0A" w:rsidRDefault="00EA1F82" w:rsidP="002F7F0A">
      <w:pPr>
        <w:pStyle w:val="ListParagraph"/>
        <w:numPr>
          <w:ilvl w:val="0"/>
          <w:numId w:val="10"/>
        </w:numPr>
        <w:spacing w:before="2"/>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Associated conditions requiring inpatient management, </w:t>
      </w:r>
      <w:r w:rsidR="00AA0AC9" w:rsidRPr="002F7F0A">
        <w:rPr>
          <w:rFonts w:asciiTheme="minorHAnsi" w:eastAsia="Calibri" w:hAnsiTheme="minorHAnsi" w:cstheme="minorHAnsi"/>
          <w:sz w:val="22"/>
          <w:szCs w:val="22"/>
        </w:rPr>
        <w:t>e.g.,</w:t>
      </w:r>
      <w:r w:rsidRPr="002F7F0A">
        <w:rPr>
          <w:rFonts w:asciiTheme="minorHAnsi" w:eastAsia="Calibri" w:hAnsiTheme="minorHAnsi" w:cstheme="minorHAnsi"/>
          <w:sz w:val="22"/>
          <w:szCs w:val="22"/>
        </w:rPr>
        <w:t xml:space="preserve"> infection, hematemesis</w:t>
      </w:r>
    </w:p>
    <w:p w14:paraId="4FC9334E" w14:textId="77777777" w:rsidR="00D312EA" w:rsidRPr="002F7F0A" w:rsidRDefault="00D312EA" w:rsidP="002F7F0A">
      <w:pPr>
        <w:spacing w:before="9"/>
        <w:ind w:right="-390"/>
        <w:rPr>
          <w:rFonts w:asciiTheme="minorHAnsi" w:eastAsia="Calibri" w:hAnsiTheme="minorHAnsi" w:cstheme="minorHAnsi"/>
          <w:b/>
          <w:sz w:val="22"/>
          <w:szCs w:val="22"/>
        </w:rPr>
      </w:pPr>
    </w:p>
    <w:p w14:paraId="446623F9" w14:textId="55D10C14" w:rsidR="00B71B84" w:rsidRPr="002F7F0A" w:rsidRDefault="00EA1F82" w:rsidP="002F7F0A">
      <w:pPr>
        <w:spacing w:before="9"/>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Non-pharmacological therapy (</w:t>
      </w:r>
      <w:r w:rsidRPr="002F7F0A">
        <w:rPr>
          <w:rFonts w:asciiTheme="minorHAnsi" w:eastAsia="Calibri" w:hAnsiTheme="minorHAnsi" w:cstheme="minorHAnsi"/>
          <w:b/>
          <w:w w:val="79"/>
          <w:sz w:val="22"/>
          <w:szCs w:val="22"/>
        </w:rPr>
        <w:t>First Line Therapy)</w:t>
      </w:r>
    </w:p>
    <w:p w14:paraId="1D7ED9E1" w14:textId="2740F22B" w:rsidR="00B71B84" w:rsidRPr="002F7F0A" w:rsidRDefault="00EA1F82" w:rsidP="002F7F0A">
      <w:pPr>
        <w:pStyle w:val="ListParagraph"/>
        <w:numPr>
          <w:ilvl w:val="0"/>
          <w:numId w:val="11"/>
        </w:numPr>
        <w:spacing w:before="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Modification of working patterns, exercise, daytime sleeps and an earlier bedtime</w:t>
      </w:r>
      <w:r w:rsidR="00FC3581" w:rsidRPr="002F7F0A">
        <w:rPr>
          <w:rFonts w:asciiTheme="minorHAnsi" w:eastAsia="Calibri" w:hAnsiTheme="minorHAnsi" w:cstheme="minorHAnsi"/>
          <w:sz w:val="22"/>
          <w:szCs w:val="22"/>
        </w:rPr>
        <w:t>.</w:t>
      </w:r>
    </w:p>
    <w:p w14:paraId="26795F16" w14:textId="217A56D4" w:rsidR="00B71B84" w:rsidRPr="002F7F0A" w:rsidRDefault="00EA1F82" w:rsidP="002F7F0A">
      <w:pPr>
        <w:pStyle w:val="ListParagraph"/>
        <w:numPr>
          <w:ilvl w:val="0"/>
          <w:numId w:val="11"/>
        </w:numPr>
        <w:spacing w:before="2"/>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Eating small, more frequent meals that are low in fat.</w:t>
      </w:r>
    </w:p>
    <w:p w14:paraId="19419A5F" w14:textId="15AE3CFF" w:rsidR="00B71B84" w:rsidRPr="002F7F0A" w:rsidRDefault="00EA1F82" w:rsidP="002F7F0A">
      <w:pPr>
        <w:pStyle w:val="ListParagraph"/>
        <w:numPr>
          <w:ilvl w:val="0"/>
          <w:numId w:val="11"/>
        </w:numPr>
        <w:tabs>
          <w:tab w:val="left" w:pos="840"/>
        </w:tabs>
        <w:spacing w:before="4" w:line="236" w:lineRule="auto"/>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Avoiding spicy or fatty foods, avoiding drinking cold or sweet beverages, avoiding strong </w:t>
      </w:r>
      <w:r w:rsidR="00AA0AC9" w:rsidRPr="002F7F0A">
        <w:rPr>
          <w:rFonts w:asciiTheme="minorHAnsi" w:eastAsia="Calibri" w:hAnsiTheme="minorHAnsi" w:cstheme="minorHAnsi"/>
          <w:sz w:val="22"/>
          <w:szCs w:val="22"/>
        </w:rPr>
        <w:t>odors</w:t>
      </w:r>
      <w:r w:rsidR="00FC3581" w:rsidRPr="002F7F0A">
        <w:rPr>
          <w:rFonts w:asciiTheme="minorHAnsi" w:eastAsia="Calibri" w:hAnsiTheme="minorHAnsi" w:cstheme="minorHAnsi"/>
          <w:sz w:val="22"/>
          <w:szCs w:val="22"/>
        </w:rPr>
        <w:t>.</w:t>
      </w:r>
    </w:p>
    <w:p w14:paraId="04CBFE04" w14:textId="7F0B7987" w:rsidR="00B71B84" w:rsidRPr="002F7F0A" w:rsidRDefault="00EA1F82" w:rsidP="002F7F0A">
      <w:pPr>
        <w:pStyle w:val="ListParagraph"/>
        <w:numPr>
          <w:ilvl w:val="0"/>
          <w:numId w:val="11"/>
        </w:numPr>
        <w:spacing w:before="2"/>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Eating bland or dry foods, high-protein snacks, and crackers in the morning</w:t>
      </w:r>
      <w:r w:rsidR="00FC3581" w:rsidRPr="002F7F0A">
        <w:rPr>
          <w:rFonts w:asciiTheme="minorHAnsi" w:eastAsia="Calibri" w:hAnsiTheme="minorHAnsi" w:cstheme="minorHAnsi"/>
          <w:sz w:val="22"/>
          <w:szCs w:val="22"/>
        </w:rPr>
        <w:t>.</w:t>
      </w:r>
    </w:p>
    <w:p w14:paraId="20DC8837" w14:textId="5958734C" w:rsidR="00B71B84" w:rsidRPr="002F7F0A" w:rsidRDefault="00EA1F82" w:rsidP="002F7F0A">
      <w:pPr>
        <w:pStyle w:val="ListParagraph"/>
        <w:numPr>
          <w:ilvl w:val="0"/>
          <w:numId w:val="11"/>
        </w:numPr>
        <w:tabs>
          <w:tab w:val="left" w:pos="840"/>
        </w:tabs>
        <w:spacing w:before="4" w:line="236" w:lineRule="auto"/>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Ginger has shown some beneficial effects in reducing nausea symptoms and can be considered as a non-pharmacological option.</w:t>
      </w:r>
    </w:p>
    <w:p w14:paraId="476278A0" w14:textId="49CC1247" w:rsidR="00B71B84" w:rsidRPr="002F7F0A" w:rsidRDefault="00EA1F82" w:rsidP="002F7F0A">
      <w:pPr>
        <w:pStyle w:val="ListParagraph"/>
        <w:numPr>
          <w:ilvl w:val="0"/>
          <w:numId w:val="11"/>
        </w:numPr>
        <w:tabs>
          <w:tab w:val="left" w:pos="840"/>
        </w:tabs>
        <w:spacing w:before="2"/>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Discontinue iron-containing prenatal vitamins during the first trimester and substitute them with folic acid.</w:t>
      </w:r>
    </w:p>
    <w:p w14:paraId="27BA7961" w14:textId="77777777" w:rsidR="00B71B84" w:rsidRPr="002F7F0A" w:rsidRDefault="00B71B84" w:rsidP="002F7F0A">
      <w:pPr>
        <w:spacing w:before="5" w:line="260" w:lineRule="exact"/>
        <w:ind w:right="-390"/>
        <w:rPr>
          <w:rFonts w:asciiTheme="minorHAnsi" w:hAnsiTheme="minorHAnsi" w:cstheme="minorHAnsi"/>
          <w:sz w:val="26"/>
          <w:szCs w:val="26"/>
        </w:rPr>
      </w:pPr>
    </w:p>
    <w:p w14:paraId="37CF3D41" w14:textId="60A7D84F" w:rsidR="00B71B84" w:rsidRPr="002F7F0A" w:rsidRDefault="00EA1F82" w:rsidP="002F7F0A">
      <w:pPr>
        <w:ind w:left="131"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Pharmacological therapy (</w:t>
      </w:r>
      <w:r w:rsidRPr="002F7F0A">
        <w:rPr>
          <w:rFonts w:asciiTheme="minorHAnsi" w:eastAsia="Calibri" w:hAnsiTheme="minorHAnsi" w:cstheme="minorHAnsi"/>
          <w:b/>
          <w:w w:val="79"/>
          <w:sz w:val="22"/>
          <w:szCs w:val="22"/>
        </w:rPr>
        <w:t>Second Line Therapy)</w:t>
      </w:r>
    </w:p>
    <w:p w14:paraId="246DB73D" w14:textId="77777777" w:rsidR="00B71B84" w:rsidRPr="002F7F0A" w:rsidRDefault="00EA1F82" w:rsidP="002F7F0A">
      <w:pPr>
        <w:spacing w:before="1"/>
        <w:ind w:left="131" w:right="-390" w:hanging="10"/>
        <w:rPr>
          <w:rFonts w:asciiTheme="minorHAnsi" w:eastAsia="Calibri" w:hAnsiTheme="minorHAnsi" w:cstheme="minorHAnsi"/>
          <w:sz w:val="22"/>
          <w:szCs w:val="22"/>
        </w:rPr>
      </w:pPr>
      <w:r w:rsidRPr="002F7F0A">
        <w:rPr>
          <w:rFonts w:asciiTheme="minorHAnsi" w:eastAsia="Calibri" w:hAnsiTheme="minorHAnsi" w:cstheme="minorHAnsi"/>
          <w:color w:val="171717"/>
          <w:sz w:val="22"/>
          <w:szCs w:val="22"/>
        </w:rPr>
        <w:t>Women who have nausea and vomiting but are not dehydrated can be managed in the community with oral antiemetic, support, reassurance, oral hydration and dietary advice.</w:t>
      </w:r>
    </w:p>
    <w:p w14:paraId="201B63B9" w14:textId="77777777" w:rsidR="00B71B84" w:rsidRPr="002F7F0A" w:rsidRDefault="00B71B84" w:rsidP="002F7F0A">
      <w:pPr>
        <w:spacing w:before="6" w:line="260" w:lineRule="exact"/>
        <w:ind w:right="-390"/>
        <w:rPr>
          <w:rFonts w:asciiTheme="minorHAnsi" w:hAnsiTheme="minorHAnsi" w:cstheme="minorHAnsi"/>
          <w:sz w:val="26"/>
          <w:szCs w:val="26"/>
        </w:rPr>
      </w:pPr>
    </w:p>
    <w:p w14:paraId="55CD6B66" w14:textId="77777777" w:rsidR="00B71B84" w:rsidRPr="002F7F0A" w:rsidRDefault="00EA1F82" w:rsidP="002F7F0A">
      <w:pPr>
        <w:ind w:left="126"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In mild-moderate NVP:</w:t>
      </w:r>
    </w:p>
    <w:p w14:paraId="449E14ED" w14:textId="30AC8E2C" w:rsidR="00B71B84" w:rsidRPr="002F7F0A" w:rsidRDefault="00EA1F82" w:rsidP="002F7F0A">
      <w:pPr>
        <w:pStyle w:val="ListParagraph"/>
        <w:numPr>
          <w:ilvl w:val="0"/>
          <w:numId w:val="12"/>
        </w:numPr>
        <w:spacing w:before="1"/>
        <w:ind w:left="720"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Start with ginger ± vitamin B6.</w:t>
      </w:r>
    </w:p>
    <w:p w14:paraId="7F959F03" w14:textId="796BFED8" w:rsidR="00B71B84" w:rsidRPr="002F7F0A" w:rsidRDefault="00EA1F82" w:rsidP="002F7F0A">
      <w:pPr>
        <w:pStyle w:val="ListParagraph"/>
        <w:numPr>
          <w:ilvl w:val="0"/>
          <w:numId w:val="12"/>
        </w:numPr>
        <w:spacing w:line="260" w:lineRule="exact"/>
        <w:ind w:left="720" w:right="-390"/>
        <w:rPr>
          <w:rFonts w:asciiTheme="minorHAnsi" w:eastAsia="Calibri" w:hAnsiTheme="minorHAnsi" w:cstheme="minorHAnsi"/>
          <w:sz w:val="22"/>
          <w:szCs w:val="22"/>
        </w:rPr>
      </w:pPr>
      <w:r w:rsidRPr="002F7F0A">
        <w:rPr>
          <w:rFonts w:asciiTheme="minorHAnsi" w:eastAsia="Calibri" w:hAnsiTheme="minorHAnsi" w:cstheme="minorHAnsi"/>
          <w:position w:val="1"/>
          <w:sz w:val="22"/>
          <w:szCs w:val="22"/>
        </w:rPr>
        <w:t>Add oral antihistamine or dopamine antagonist if needed.</w:t>
      </w:r>
    </w:p>
    <w:p w14:paraId="2A022AE8" w14:textId="77777777" w:rsidR="00B71B84" w:rsidRPr="002F7F0A" w:rsidRDefault="00B71B84" w:rsidP="002F7F0A">
      <w:pPr>
        <w:spacing w:before="11" w:line="260" w:lineRule="exact"/>
        <w:ind w:right="-390"/>
        <w:rPr>
          <w:rFonts w:asciiTheme="minorHAnsi" w:hAnsiTheme="minorHAnsi" w:cstheme="minorHAnsi"/>
          <w:sz w:val="26"/>
          <w:szCs w:val="26"/>
        </w:rPr>
      </w:pPr>
    </w:p>
    <w:p w14:paraId="3034C0A7" w14:textId="77777777" w:rsidR="00B71B84" w:rsidRPr="002F7F0A" w:rsidRDefault="00EA1F82" w:rsidP="002F7F0A">
      <w:pPr>
        <w:ind w:left="121"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In moderate-severe NVP or inadequate response to initial treatment:</w:t>
      </w:r>
    </w:p>
    <w:p w14:paraId="72CF8D3F" w14:textId="791A7257" w:rsidR="00B71B84" w:rsidRPr="002F7F0A" w:rsidRDefault="00EA1F82" w:rsidP="002F7F0A">
      <w:pPr>
        <w:pStyle w:val="ListParagraph"/>
        <w:numPr>
          <w:ilvl w:val="0"/>
          <w:numId w:val="13"/>
        </w:numPr>
        <w:spacing w:before="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Consider IV/IM antihistamine or dopamine antagonist.</w:t>
      </w:r>
    </w:p>
    <w:p w14:paraId="1F6AAE23" w14:textId="0C5E722A" w:rsidR="00B71B84" w:rsidRPr="002F7F0A" w:rsidRDefault="00EA1F82" w:rsidP="002F7F0A">
      <w:pPr>
        <w:pStyle w:val="ListParagraph"/>
        <w:numPr>
          <w:ilvl w:val="0"/>
          <w:numId w:val="13"/>
        </w:numPr>
        <w:spacing w:line="260" w:lineRule="exact"/>
        <w:ind w:right="-390"/>
        <w:rPr>
          <w:rFonts w:asciiTheme="minorHAnsi" w:eastAsia="Calibri" w:hAnsiTheme="minorHAnsi" w:cstheme="minorHAnsi"/>
          <w:sz w:val="22"/>
          <w:szCs w:val="22"/>
        </w:rPr>
      </w:pPr>
      <w:r w:rsidRPr="002F7F0A">
        <w:rPr>
          <w:rFonts w:asciiTheme="minorHAnsi" w:eastAsia="Calibri" w:hAnsiTheme="minorHAnsi" w:cstheme="minorHAnsi"/>
          <w:position w:val="1"/>
          <w:sz w:val="22"/>
          <w:szCs w:val="22"/>
        </w:rPr>
        <w:t>Excessive sedation or inadequate response: add /substitute oral serotonin</w:t>
      </w:r>
    </w:p>
    <w:p w14:paraId="5AA73F1E" w14:textId="77777777" w:rsidR="00B71B84" w:rsidRPr="002F7F0A" w:rsidRDefault="00EA1F82" w:rsidP="002F7F0A">
      <w:pPr>
        <w:pStyle w:val="ListParagraph"/>
        <w:numPr>
          <w:ilvl w:val="0"/>
          <w:numId w:val="13"/>
        </w:numPr>
        <w:spacing w:before="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antagonist at least during daytime</w:t>
      </w:r>
    </w:p>
    <w:p w14:paraId="5D2D49E6" w14:textId="07AFC68D" w:rsidR="00B71B84" w:rsidRPr="002F7F0A" w:rsidRDefault="00EA1F82" w:rsidP="002F7F0A">
      <w:pPr>
        <w:pStyle w:val="ListParagraph"/>
        <w:numPr>
          <w:ilvl w:val="0"/>
          <w:numId w:val="13"/>
        </w:numPr>
        <w:spacing w:before="1"/>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Add acid suppression therapy</w:t>
      </w:r>
    </w:p>
    <w:p w14:paraId="2D78DAE4" w14:textId="77777777" w:rsidR="00B71B84" w:rsidRPr="002F7F0A" w:rsidRDefault="00B71B84" w:rsidP="002F7F0A">
      <w:pPr>
        <w:spacing w:before="6" w:line="260" w:lineRule="exact"/>
        <w:ind w:right="-390"/>
        <w:rPr>
          <w:rFonts w:asciiTheme="minorHAnsi" w:hAnsiTheme="minorHAnsi" w:cstheme="minorHAnsi"/>
          <w:sz w:val="26"/>
          <w:szCs w:val="26"/>
        </w:rPr>
      </w:pPr>
    </w:p>
    <w:p w14:paraId="10722A9B" w14:textId="77777777" w:rsidR="00B71B84" w:rsidRPr="002F7F0A" w:rsidRDefault="00EA1F82" w:rsidP="002F7F0A">
      <w:pPr>
        <w:ind w:left="121"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In refractory NVP or HG:</w:t>
      </w:r>
    </w:p>
    <w:p w14:paraId="06D9449E" w14:textId="1059CB45" w:rsidR="00B71B84" w:rsidRPr="002F7F0A" w:rsidRDefault="00EA1F82" w:rsidP="002F7F0A">
      <w:pPr>
        <w:pStyle w:val="ListParagraph"/>
        <w:numPr>
          <w:ilvl w:val="0"/>
          <w:numId w:val="14"/>
        </w:numPr>
        <w:spacing w:before="1"/>
        <w:ind w:left="720"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Intensify acid suppression</w:t>
      </w:r>
    </w:p>
    <w:p w14:paraId="582A1FBD" w14:textId="4626FB21" w:rsidR="00B71B84" w:rsidRPr="002F7F0A" w:rsidRDefault="00EA1F82" w:rsidP="002F7F0A">
      <w:pPr>
        <w:pStyle w:val="ListParagraph"/>
        <w:numPr>
          <w:ilvl w:val="0"/>
          <w:numId w:val="14"/>
        </w:numPr>
        <w:spacing w:before="2"/>
        <w:ind w:left="720"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Consider corticosteroids in addition to other antiemetics</w:t>
      </w:r>
    </w:p>
    <w:p w14:paraId="0F376954" w14:textId="280A91F8" w:rsidR="00B71B84" w:rsidRPr="002F7F0A" w:rsidRDefault="00EA1F82" w:rsidP="002F7F0A">
      <w:pPr>
        <w:pStyle w:val="ListParagraph"/>
        <w:numPr>
          <w:ilvl w:val="0"/>
          <w:numId w:val="14"/>
        </w:numPr>
        <w:spacing w:line="260" w:lineRule="exact"/>
        <w:ind w:left="720" w:right="-390"/>
        <w:rPr>
          <w:rFonts w:asciiTheme="minorHAnsi" w:eastAsia="Calibri" w:hAnsiTheme="minorHAnsi" w:cstheme="minorHAnsi"/>
          <w:position w:val="1"/>
          <w:sz w:val="22"/>
          <w:szCs w:val="22"/>
        </w:rPr>
      </w:pPr>
      <w:r w:rsidRPr="002F7F0A">
        <w:rPr>
          <w:rFonts w:asciiTheme="minorHAnsi" w:eastAsia="Calibri" w:hAnsiTheme="minorHAnsi" w:cstheme="minorHAnsi"/>
          <w:position w:val="1"/>
          <w:sz w:val="22"/>
          <w:szCs w:val="22"/>
        </w:rPr>
        <w:t>Manage/prevent constipation with laxatives</w:t>
      </w:r>
    </w:p>
    <w:p w14:paraId="67F3C449" w14:textId="77777777" w:rsidR="00AF6C4C" w:rsidRPr="002F7F0A" w:rsidRDefault="00AF6C4C" w:rsidP="002F7F0A">
      <w:pPr>
        <w:spacing w:line="260" w:lineRule="exact"/>
        <w:ind w:left="481" w:right="-390"/>
        <w:rPr>
          <w:rFonts w:asciiTheme="minorHAnsi" w:eastAsia="Calibri" w:hAnsiTheme="minorHAnsi" w:cstheme="minorHAnsi"/>
          <w:position w:val="1"/>
          <w:sz w:val="22"/>
          <w:szCs w:val="22"/>
        </w:rPr>
      </w:pPr>
    </w:p>
    <w:p w14:paraId="0DBE17B0" w14:textId="77777777" w:rsidR="00AF6C4C" w:rsidRPr="002F7F0A" w:rsidRDefault="00AF6C4C" w:rsidP="002F7F0A">
      <w:pPr>
        <w:ind w:left="131"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Vitamin B</w:t>
      </w:r>
      <w:r w:rsidRPr="002F7F0A">
        <w:rPr>
          <w:rFonts w:asciiTheme="minorHAnsi" w:eastAsia="Calibri" w:hAnsiTheme="minorHAnsi" w:cstheme="minorHAnsi"/>
          <w:b/>
          <w:position w:val="-2"/>
          <w:sz w:val="14"/>
          <w:szCs w:val="14"/>
        </w:rPr>
        <w:t xml:space="preserve">6 </w:t>
      </w:r>
      <w:r w:rsidRPr="002F7F0A">
        <w:rPr>
          <w:rFonts w:asciiTheme="minorHAnsi" w:eastAsia="Calibri" w:hAnsiTheme="minorHAnsi" w:cstheme="minorHAnsi"/>
          <w:b/>
          <w:sz w:val="22"/>
          <w:szCs w:val="22"/>
        </w:rPr>
        <w:t>(Pyridoxine) With or Without Doxylamine</w:t>
      </w:r>
    </w:p>
    <w:p w14:paraId="509F7562" w14:textId="77777777" w:rsidR="00AF6C4C" w:rsidRPr="002F7F0A" w:rsidRDefault="00AF6C4C" w:rsidP="002F7F0A">
      <w:pPr>
        <w:spacing w:before="1"/>
        <w:ind w:left="131" w:right="-390" w:hanging="10"/>
        <w:rPr>
          <w:rFonts w:asciiTheme="minorHAnsi" w:eastAsia="Calibri" w:hAnsiTheme="minorHAnsi" w:cstheme="minorHAnsi"/>
          <w:sz w:val="22"/>
          <w:szCs w:val="22"/>
        </w:rPr>
      </w:pPr>
      <w:r w:rsidRPr="002F7F0A">
        <w:rPr>
          <w:rFonts w:asciiTheme="minorHAnsi" w:eastAsia="Calibri" w:hAnsiTheme="minorHAnsi" w:cstheme="minorHAnsi"/>
          <w:sz w:val="22"/>
          <w:szCs w:val="22"/>
        </w:rPr>
        <w:t>Considered first-line pharmacotherapy. The combination of vitamin B</w:t>
      </w:r>
      <w:r w:rsidRPr="002F7F0A">
        <w:rPr>
          <w:rFonts w:asciiTheme="minorHAnsi" w:eastAsia="Calibri" w:hAnsiTheme="minorHAnsi" w:cstheme="minorHAnsi"/>
          <w:position w:val="-2"/>
          <w:sz w:val="14"/>
          <w:szCs w:val="14"/>
        </w:rPr>
        <w:t xml:space="preserve">6  </w:t>
      </w:r>
      <w:r w:rsidRPr="002F7F0A">
        <w:rPr>
          <w:rFonts w:asciiTheme="minorHAnsi" w:eastAsia="Calibri" w:hAnsiTheme="minorHAnsi" w:cstheme="minorHAnsi"/>
          <w:sz w:val="22"/>
          <w:szCs w:val="22"/>
        </w:rPr>
        <w:t>(pyridoxine) (10 mg) plus doxylamine (10 mg) has FDA approval. The standard recommended starting dose is 4 tablets a day. However, a review of the safety of doxylamine /pyridoxine taken in doses as high as 5 to 12 tablets a day has been reported. Treatment should be tapered rather than stopped at once.</w:t>
      </w:r>
    </w:p>
    <w:p w14:paraId="11D540EF" w14:textId="77777777" w:rsidR="002F7F0A" w:rsidRPr="002F7F0A" w:rsidRDefault="002F7F0A" w:rsidP="002F7F0A">
      <w:pPr>
        <w:ind w:left="131" w:right="-390"/>
        <w:rPr>
          <w:rFonts w:asciiTheme="minorHAnsi" w:eastAsia="Calibri" w:hAnsiTheme="minorHAnsi" w:cstheme="minorHAnsi"/>
          <w:b/>
          <w:sz w:val="22"/>
          <w:szCs w:val="22"/>
        </w:rPr>
      </w:pPr>
    </w:p>
    <w:p w14:paraId="63A2E5BE" w14:textId="77777777" w:rsidR="002F7F0A" w:rsidRPr="002F7F0A" w:rsidRDefault="002F7F0A" w:rsidP="002F7F0A">
      <w:pPr>
        <w:ind w:left="131" w:right="-390"/>
        <w:rPr>
          <w:rFonts w:asciiTheme="minorHAnsi" w:eastAsia="Calibri" w:hAnsiTheme="minorHAnsi" w:cstheme="minorHAnsi"/>
          <w:b/>
          <w:sz w:val="22"/>
          <w:szCs w:val="22"/>
        </w:rPr>
      </w:pPr>
    </w:p>
    <w:p w14:paraId="7561BACC" w14:textId="77777777" w:rsidR="002F7F0A" w:rsidRPr="002F7F0A" w:rsidRDefault="002F7F0A" w:rsidP="002F7F0A">
      <w:pPr>
        <w:ind w:left="131" w:right="-390"/>
        <w:rPr>
          <w:rFonts w:asciiTheme="minorHAnsi" w:eastAsia="Calibri" w:hAnsiTheme="minorHAnsi" w:cstheme="minorHAnsi"/>
          <w:b/>
          <w:sz w:val="22"/>
          <w:szCs w:val="22"/>
        </w:rPr>
      </w:pPr>
    </w:p>
    <w:p w14:paraId="0704EA0E" w14:textId="77777777" w:rsidR="002F7F0A" w:rsidRPr="002F7F0A" w:rsidRDefault="002F7F0A" w:rsidP="002F7F0A">
      <w:pPr>
        <w:ind w:left="131" w:right="-390"/>
        <w:rPr>
          <w:rFonts w:asciiTheme="minorHAnsi" w:eastAsia="Calibri" w:hAnsiTheme="minorHAnsi" w:cstheme="minorHAnsi"/>
          <w:b/>
          <w:sz w:val="22"/>
          <w:szCs w:val="22"/>
        </w:rPr>
      </w:pPr>
    </w:p>
    <w:p w14:paraId="5A30F7EE" w14:textId="4148201E" w:rsidR="00AF6C4C" w:rsidRPr="002F7F0A" w:rsidRDefault="00AF6C4C" w:rsidP="002F7F0A">
      <w:pPr>
        <w:ind w:left="131"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lastRenderedPageBreak/>
        <w:t>Antihistamines</w:t>
      </w:r>
    </w:p>
    <w:p w14:paraId="23A45688" w14:textId="77777777" w:rsidR="00AF6C4C" w:rsidRPr="002F7F0A" w:rsidRDefault="00AF6C4C" w:rsidP="002F7F0A">
      <w:pPr>
        <w:spacing w:before="1"/>
        <w:ind w:left="131" w:right="-390" w:hanging="10"/>
        <w:rPr>
          <w:rFonts w:asciiTheme="minorHAnsi" w:eastAsia="Calibri" w:hAnsiTheme="minorHAnsi" w:cstheme="minorHAnsi"/>
          <w:sz w:val="22"/>
          <w:szCs w:val="22"/>
        </w:rPr>
      </w:pPr>
      <w:r w:rsidRPr="002F7F0A">
        <w:rPr>
          <w:rFonts w:asciiTheme="minorHAnsi" w:eastAsia="Calibri" w:hAnsiTheme="minorHAnsi" w:cstheme="minorHAnsi"/>
          <w:sz w:val="22"/>
          <w:szCs w:val="22"/>
        </w:rPr>
        <w:t>Doxylamine is an H</w:t>
      </w:r>
      <w:r w:rsidRPr="002F7F0A">
        <w:rPr>
          <w:rFonts w:asciiTheme="minorHAnsi" w:eastAsia="Calibri" w:hAnsiTheme="minorHAnsi" w:cstheme="minorHAnsi"/>
          <w:position w:val="-2"/>
          <w:sz w:val="14"/>
          <w:szCs w:val="14"/>
        </w:rPr>
        <w:t xml:space="preserve">1 </w:t>
      </w:r>
      <w:r w:rsidRPr="002F7F0A">
        <w:rPr>
          <w:rFonts w:asciiTheme="minorHAnsi" w:eastAsia="Calibri" w:hAnsiTheme="minorHAnsi" w:cstheme="minorHAnsi"/>
          <w:sz w:val="22"/>
          <w:szCs w:val="22"/>
        </w:rPr>
        <w:t>receptor antagonist that has been shown to be safe and effective in the treatment of NVP. Other Antihistamines (such as dimenhydrinate and diphenhydramine) have common adverse effects including sedation, dry mouth, lightheadedness, and constipation.</w:t>
      </w:r>
    </w:p>
    <w:p w14:paraId="7298568D" w14:textId="77777777" w:rsidR="00AF6C4C" w:rsidRPr="002F7F0A" w:rsidRDefault="00AF6C4C" w:rsidP="002F7F0A">
      <w:pPr>
        <w:spacing w:before="6" w:line="260" w:lineRule="exact"/>
        <w:ind w:right="-390"/>
        <w:rPr>
          <w:rFonts w:asciiTheme="minorHAnsi" w:hAnsiTheme="minorHAnsi" w:cstheme="minorHAnsi"/>
          <w:sz w:val="26"/>
          <w:szCs w:val="26"/>
        </w:rPr>
      </w:pPr>
    </w:p>
    <w:p w14:paraId="593D536F" w14:textId="77777777" w:rsidR="00AF6C4C" w:rsidRPr="002F7F0A" w:rsidRDefault="00AF6C4C" w:rsidP="002F7F0A">
      <w:pPr>
        <w:ind w:left="136"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Dopamine Antagonists</w:t>
      </w:r>
    </w:p>
    <w:p w14:paraId="1DCBA3D3" w14:textId="78B6C784" w:rsidR="00AF6C4C" w:rsidRPr="002F7F0A" w:rsidRDefault="00AF6C4C" w:rsidP="002F7F0A">
      <w:pPr>
        <w:spacing w:before="1"/>
        <w:ind w:left="136" w:right="-390" w:hanging="10"/>
        <w:rPr>
          <w:rFonts w:asciiTheme="minorHAnsi" w:eastAsia="Calibri" w:hAnsiTheme="minorHAnsi" w:cstheme="minorHAnsi"/>
          <w:sz w:val="22"/>
          <w:szCs w:val="22"/>
        </w:rPr>
      </w:pPr>
      <w:r w:rsidRPr="002F7F0A">
        <w:rPr>
          <w:rFonts w:asciiTheme="minorHAnsi" w:eastAsia="Calibri" w:hAnsiTheme="minorHAnsi" w:cstheme="minorHAnsi"/>
          <w:sz w:val="22"/>
          <w:szCs w:val="22"/>
        </w:rPr>
        <w:t>Metoclopramide and various phenothiazine medications (prochlorperazine, or chlorpromazine): These medications may be given orally, rectally, intramuscularly, o</w:t>
      </w:r>
      <w:r w:rsidR="001C3C41" w:rsidRPr="002F7F0A">
        <w:rPr>
          <w:rFonts w:asciiTheme="minorHAnsi" w:eastAsia="Calibri" w:hAnsiTheme="minorHAnsi" w:cstheme="minorHAnsi"/>
          <w:sz w:val="22"/>
          <w:szCs w:val="22"/>
        </w:rPr>
        <w:t>r</w:t>
      </w:r>
      <w:r w:rsidR="00D312EA" w:rsidRPr="002F7F0A">
        <w:rPr>
          <w:rFonts w:asciiTheme="minorHAnsi" w:eastAsia="Calibri" w:hAnsiTheme="minorHAnsi" w:cstheme="minorHAnsi"/>
          <w:sz w:val="22"/>
          <w:szCs w:val="22"/>
        </w:rPr>
        <w:t xml:space="preserve">     </w:t>
      </w:r>
      <w:r w:rsidRPr="002F7F0A">
        <w:rPr>
          <w:rFonts w:asciiTheme="minorHAnsi" w:eastAsia="Calibri" w:hAnsiTheme="minorHAnsi" w:cstheme="minorHAnsi"/>
          <w:sz w:val="22"/>
          <w:szCs w:val="22"/>
        </w:rPr>
        <w:t>intravenously, but the rates of drowsiness, dizziness, and dystonia were less with metoclopramide use. Adverse effects of these medications include dry mouth, drowsiness, dystonia, and sedation.</w:t>
      </w:r>
    </w:p>
    <w:p w14:paraId="28588A2E" w14:textId="77777777" w:rsidR="00AF6C4C" w:rsidRPr="002F7F0A" w:rsidRDefault="00AF6C4C" w:rsidP="002F7F0A">
      <w:pPr>
        <w:spacing w:before="13" w:line="260" w:lineRule="exact"/>
        <w:ind w:right="-390"/>
        <w:rPr>
          <w:rFonts w:asciiTheme="minorHAnsi" w:hAnsiTheme="minorHAnsi" w:cstheme="minorHAnsi"/>
          <w:sz w:val="26"/>
          <w:szCs w:val="26"/>
        </w:rPr>
      </w:pPr>
    </w:p>
    <w:p w14:paraId="5EF2BA1F" w14:textId="77777777" w:rsidR="001C3C41" w:rsidRPr="002F7F0A" w:rsidRDefault="00AF6C4C" w:rsidP="002F7F0A">
      <w:pPr>
        <w:ind w:right="-390"/>
        <w:rPr>
          <w:rFonts w:asciiTheme="minorHAnsi" w:eastAsia="Calibri" w:hAnsiTheme="minorHAnsi" w:cstheme="minorHAnsi"/>
          <w:b/>
          <w:sz w:val="22"/>
          <w:szCs w:val="22"/>
        </w:rPr>
      </w:pPr>
      <w:r w:rsidRPr="002F7F0A">
        <w:rPr>
          <w:rFonts w:asciiTheme="minorHAnsi" w:eastAsia="Calibri" w:hAnsiTheme="minorHAnsi" w:cstheme="minorHAnsi"/>
          <w:b/>
          <w:sz w:val="22"/>
          <w:szCs w:val="22"/>
        </w:rPr>
        <w:t xml:space="preserve">Serotonin 5-hydroxytryptamine type 3 receptor antagonists </w:t>
      </w:r>
    </w:p>
    <w:p w14:paraId="67B9C6D9" w14:textId="20DB294E" w:rsidR="00AF6C4C" w:rsidRPr="002F7F0A" w:rsidRDefault="00AF6C4C" w:rsidP="002F7F0A">
      <w:pPr>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Evidence is limited on the safety or efficacy of the serotonin 5-HT3 inhibitors (e.g., ondansetron, granisetron) for nausea and vomiting of pregnancy; however, their use appears to be increasing. Common adverse effects of ondansetron include headache, drowsiness, fatigue, and constipation. Ondansetron can prolong the QT interval, especially in patients with underlying heart problems, hypokalemia, or hypomagnesemia.</w:t>
      </w:r>
    </w:p>
    <w:p w14:paraId="5D0E5F40" w14:textId="77777777" w:rsidR="00AF6C4C" w:rsidRPr="002F7F0A" w:rsidRDefault="00AF6C4C" w:rsidP="002F7F0A">
      <w:pPr>
        <w:spacing w:before="12" w:line="260" w:lineRule="exact"/>
        <w:ind w:right="-390"/>
        <w:rPr>
          <w:rFonts w:asciiTheme="minorHAnsi" w:hAnsiTheme="minorHAnsi" w:cstheme="minorHAnsi"/>
          <w:sz w:val="26"/>
          <w:szCs w:val="26"/>
        </w:rPr>
      </w:pPr>
    </w:p>
    <w:p w14:paraId="0B691416" w14:textId="77777777" w:rsidR="00AF6C4C" w:rsidRPr="002F7F0A" w:rsidRDefault="00AF6C4C" w:rsidP="002F7F0A">
      <w:pPr>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Steroids</w:t>
      </w:r>
    </w:p>
    <w:p w14:paraId="593450CE" w14:textId="77777777" w:rsidR="00AF6C4C" w:rsidRPr="002F7F0A" w:rsidRDefault="00AF6C4C" w:rsidP="002F7F0A">
      <w:pPr>
        <w:spacing w:before="56"/>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Several case series have suggested a benefit of corticosteroids in the treatment of hyperemesis gravidarum.</w:t>
      </w:r>
    </w:p>
    <w:p w14:paraId="470CCD3F" w14:textId="77777777" w:rsidR="00AF6C4C" w:rsidRPr="002F7F0A" w:rsidRDefault="00AF6C4C" w:rsidP="002F7F0A">
      <w:pPr>
        <w:spacing w:before="60"/>
        <w:ind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Corticosteroids should be avoided during the first trimester because of possible increased risk of oral clefting and should be restricted to refractory cases.</w:t>
      </w:r>
    </w:p>
    <w:p w14:paraId="512ABEA1" w14:textId="77777777" w:rsidR="00AF6C4C" w:rsidRPr="002F7F0A" w:rsidRDefault="00AF6C4C" w:rsidP="002F7F0A">
      <w:pPr>
        <w:spacing w:before="6" w:line="180" w:lineRule="exact"/>
        <w:ind w:right="-390"/>
        <w:rPr>
          <w:rFonts w:asciiTheme="minorHAnsi" w:hAnsiTheme="minorHAnsi" w:cstheme="minorHAnsi"/>
          <w:sz w:val="18"/>
          <w:szCs w:val="18"/>
        </w:rPr>
      </w:pPr>
    </w:p>
    <w:p w14:paraId="6FE01109" w14:textId="77777777" w:rsidR="00AF6C4C" w:rsidRPr="002F7F0A" w:rsidRDefault="00AF6C4C" w:rsidP="002F7F0A">
      <w:pPr>
        <w:spacing w:line="200" w:lineRule="exact"/>
        <w:ind w:right="-390"/>
        <w:rPr>
          <w:rFonts w:asciiTheme="minorHAnsi" w:hAnsiTheme="minorHAnsi" w:cstheme="minorHAnsi"/>
        </w:rPr>
      </w:pPr>
    </w:p>
    <w:p w14:paraId="01FA6B5A" w14:textId="77777777" w:rsidR="00AF6C4C" w:rsidRPr="002F7F0A" w:rsidRDefault="00AF6C4C" w:rsidP="002F7F0A">
      <w:pPr>
        <w:spacing w:line="260" w:lineRule="exact"/>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Adjuvant therapy</w:t>
      </w:r>
    </w:p>
    <w:p w14:paraId="7EF51084" w14:textId="77777777" w:rsidR="00AF6C4C" w:rsidRPr="002F7F0A" w:rsidRDefault="00AF6C4C" w:rsidP="002F7F0A">
      <w:pPr>
        <w:spacing w:line="180" w:lineRule="exact"/>
        <w:ind w:right="-390"/>
        <w:rPr>
          <w:rFonts w:asciiTheme="minorHAnsi" w:hAnsiTheme="minorHAnsi" w:cstheme="minorHAnsi"/>
          <w:sz w:val="18"/>
          <w:szCs w:val="18"/>
        </w:rPr>
      </w:pPr>
    </w:p>
    <w:p w14:paraId="5F387B87" w14:textId="77777777" w:rsidR="00AF6C4C" w:rsidRPr="002F7F0A" w:rsidRDefault="00AF6C4C" w:rsidP="002F7F0A">
      <w:pPr>
        <w:pStyle w:val="ListParagraph"/>
        <w:numPr>
          <w:ilvl w:val="0"/>
          <w:numId w:val="15"/>
        </w:numPr>
        <w:spacing w:before="15"/>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Gastro-oesophageal reflux therapies</w:t>
      </w:r>
    </w:p>
    <w:p w14:paraId="14E7E348" w14:textId="77777777" w:rsidR="00AF6C4C" w:rsidRPr="002F7F0A" w:rsidRDefault="00AF6C4C" w:rsidP="002F7F0A">
      <w:pPr>
        <w:spacing w:before="56"/>
        <w:ind w:left="720"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Antacids containing magnesium, calcium, or aluminum are used in pregnancy as first-line treatment for reflux. There is no evidence of teratogenic effect in the recommended doses.</w:t>
      </w:r>
    </w:p>
    <w:p w14:paraId="1F06F097" w14:textId="77777777" w:rsidR="00AF6C4C" w:rsidRPr="002F7F0A" w:rsidRDefault="00AF6C4C" w:rsidP="002F7F0A">
      <w:pPr>
        <w:spacing w:before="54"/>
        <w:ind w:left="720" w:right="-39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Antacids containing bicarbonate </w:t>
      </w:r>
      <w:r w:rsidRPr="002F7F0A">
        <w:rPr>
          <w:rFonts w:asciiTheme="minorHAnsi" w:eastAsia="Calibri" w:hAnsiTheme="minorHAnsi" w:cstheme="minorHAnsi"/>
          <w:b/>
          <w:sz w:val="22"/>
          <w:szCs w:val="22"/>
        </w:rPr>
        <w:t xml:space="preserve">should be avoided </w:t>
      </w:r>
      <w:r w:rsidRPr="002F7F0A">
        <w:rPr>
          <w:rFonts w:asciiTheme="minorHAnsi" w:eastAsia="Calibri" w:hAnsiTheme="minorHAnsi" w:cstheme="minorHAnsi"/>
          <w:sz w:val="22"/>
          <w:szCs w:val="22"/>
        </w:rPr>
        <w:t>in pregnancy because they may cause metabolic alkalosis and fluid overload in both mother and fetus.</w:t>
      </w:r>
    </w:p>
    <w:p w14:paraId="68488381" w14:textId="77777777" w:rsidR="00AF6C4C" w:rsidRPr="002F7F0A" w:rsidRDefault="00AF6C4C" w:rsidP="002F7F0A">
      <w:pPr>
        <w:spacing w:before="60"/>
        <w:ind w:left="730" w:right="-390" w:hanging="10"/>
        <w:rPr>
          <w:rFonts w:asciiTheme="minorHAnsi" w:eastAsia="Calibri" w:hAnsiTheme="minorHAnsi" w:cstheme="minorHAnsi"/>
          <w:sz w:val="22"/>
          <w:szCs w:val="22"/>
        </w:rPr>
      </w:pPr>
      <w:r w:rsidRPr="002F7F0A">
        <w:rPr>
          <w:rFonts w:asciiTheme="minorHAnsi" w:eastAsia="Calibri" w:hAnsiTheme="minorHAnsi" w:cstheme="minorHAnsi"/>
          <w:sz w:val="22"/>
          <w:szCs w:val="22"/>
        </w:rPr>
        <w:t>H</w:t>
      </w:r>
      <w:r w:rsidRPr="002F7F0A">
        <w:rPr>
          <w:rFonts w:asciiTheme="minorHAnsi" w:eastAsia="Calibri" w:hAnsiTheme="minorHAnsi" w:cstheme="minorHAnsi"/>
          <w:position w:val="-2"/>
          <w:sz w:val="14"/>
          <w:szCs w:val="14"/>
        </w:rPr>
        <w:t xml:space="preserve">2 </w:t>
      </w:r>
      <w:r w:rsidRPr="002F7F0A">
        <w:rPr>
          <w:rFonts w:asciiTheme="minorHAnsi" w:eastAsia="Calibri" w:hAnsiTheme="minorHAnsi" w:cstheme="minorHAnsi"/>
          <w:sz w:val="22"/>
          <w:szCs w:val="22"/>
        </w:rPr>
        <w:t>receptor antagonists, including cimetidine, and famotidine, are the most commonly used drugs to manage reflux when antacids are not effective.</w:t>
      </w:r>
    </w:p>
    <w:p w14:paraId="40E9E3F9" w14:textId="77777777" w:rsidR="00AF6C4C" w:rsidRPr="002F7F0A" w:rsidRDefault="00AF6C4C" w:rsidP="002F7F0A">
      <w:pPr>
        <w:spacing w:before="6" w:line="180" w:lineRule="exact"/>
        <w:ind w:right="-390"/>
        <w:rPr>
          <w:rFonts w:asciiTheme="minorHAnsi" w:hAnsiTheme="minorHAnsi" w:cstheme="minorHAnsi"/>
          <w:sz w:val="18"/>
          <w:szCs w:val="18"/>
        </w:rPr>
      </w:pPr>
    </w:p>
    <w:p w14:paraId="67DBA7D0" w14:textId="77777777" w:rsidR="00AF6C4C" w:rsidRPr="002F7F0A" w:rsidRDefault="00AF6C4C" w:rsidP="002F7F0A">
      <w:pPr>
        <w:spacing w:line="200" w:lineRule="exact"/>
        <w:ind w:right="-390"/>
        <w:rPr>
          <w:rFonts w:asciiTheme="minorHAnsi" w:hAnsiTheme="minorHAnsi" w:cstheme="minorHAnsi"/>
        </w:rPr>
      </w:pPr>
    </w:p>
    <w:p w14:paraId="70C1C707" w14:textId="77777777" w:rsidR="00AF6C4C" w:rsidRPr="002F7F0A" w:rsidRDefault="00AF6C4C" w:rsidP="002F7F0A">
      <w:pPr>
        <w:pStyle w:val="ListParagraph"/>
        <w:numPr>
          <w:ilvl w:val="0"/>
          <w:numId w:val="15"/>
        </w:numPr>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Laxatives and stool softeners</w:t>
      </w:r>
    </w:p>
    <w:p w14:paraId="54FD4A08" w14:textId="77777777" w:rsidR="00AF6C4C" w:rsidRPr="002F7F0A" w:rsidRDefault="00AF6C4C" w:rsidP="002F7F0A">
      <w:pPr>
        <w:spacing w:before="61"/>
        <w:ind w:left="730" w:right="-390" w:hanging="10"/>
        <w:rPr>
          <w:rFonts w:asciiTheme="minorHAnsi" w:eastAsia="Calibri" w:hAnsiTheme="minorHAnsi" w:cstheme="minorHAnsi"/>
          <w:sz w:val="22"/>
          <w:szCs w:val="22"/>
        </w:rPr>
      </w:pPr>
      <w:r w:rsidRPr="002F7F0A">
        <w:rPr>
          <w:rFonts w:asciiTheme="minorHAnsi" w:eastAsia="Calibri" w:hAnsiTheme="minorHAnsi" w:cstheme="minorHAnsi"/>
          <w:sz w:val="22"/>
          <w:szCs w:val="22"/>
        </w:rPr>
        <w:t>Dehydration, gastric dysrhythmia and other drugs used for treatment of NVP, particularly ondansetron, can contribute to significant and symptomatic constipation in women with NVP and HG. Increasing dietary fiber and fluids is the preferred treatment of constipation during pregnancy. For refractory cases, occasional use of magnesium salts or lactulose is considered suitable for use in pregnancy.</w:t>
      </w:r>
    </w:p>
    <w:p w14:paraId="140E03BA" w14:textId="77777777" w:rsidR="00AF6C4C" w:rsidRPr="002F7F0A" w:rsidRDefault="00AF6C4C" w:rsidP="002F7F0A">
      <w:pPr>
        <w:spacing w:before="7" w:line="180" w:lineRule="exact"/>
        <w:ind w:right="-390"/>
        <w:rPr>
          <w:rFonts w:asciiTheme="minorHAnsi" w:hAnsiTheme="minorHAnsi" w:cstheme="minorHAnsi"/>
          <w:sz w:val="18"/>
          <w:szCs w:val="18"/>
        </w:rPr>
      </w:pPr>
    </w:p>
    <w:p w14:paraId="78B1C2D8" w14:textId="77777777" w:rsidR="00AF6C4C" w:rsidRPr="002F7F0A" w:rsidRDefault="00AF6C4C" w:rsidP="002F7F0A">
      <w:pPr>
        <w:spacing w:line="200" w:lineRule="exact"/>
        <w:ind w:right="-390"/>
        <w:rPr>
          <w:rFonts w:asciiTheme="minorHAnsi" w:hAnsiTheme="minorHAnsi" w:cstheme="minorHAnsi"/>
        </w:rPr>
      </w:pPr>
    </w:p>
    <w:p w14:paraId="568CD539" w14:textId="77777777" w:rsidR="00AF6C4C" w:rsidRPr="002F7F0A" w:rsidRDefault="00AF6C4C" w:rsidP="002F7F0A">
      <w:pPr>
        <w:pStyle w:val="ListParagraph"/>
        <w:numPr>
          <w:ilvl w:val="0"/>
          <w:numId w:val="15"/>
        </w:numPr>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Intravenous fluid and parenteral feeding</w:t>
      </w:r>
    </w:p>
    <w:p w14:paraId="73DCD62D" w14:textId="77777777" w:rsidR="00AF6C4C" w:rsidRPr="002F7F0A" w:rsidRDefault="00AF6C4C" w:rsidP="002F7F0A">
      <w:pPr>
        <w:spacing w:before="61"/>
        <w:ind w:left="730" w:right="-390" w:hanging="10"/>
        <w:rPr>
          <w:rFonts w:asciiTheme="minorHAnsi" w:eastAsia="Calibri" w:hAnsiTheme="minorHAnsi" w:cstheme="minorHAnsi"/>
          <w:sz w:val="22"/>
          <w:szCs w:val="22"/>
        </w:rPr>
      </w:pPr>
      <w:r w:rsidRPr="002F7F0A">
        <w:rPr>
          <w:rFonts w:asciiTheme="minorHAnsi" w:eastAsia="Calibri" w:hAnsiTheme="minorHAnsi" w:cstheme="minorHAnsi"/>
          <w:sz w:val="22"/>
          <w:szCs w:val="22"/>
        </w:rPr>
        <w:t>Used for correction of dehydration in women with NVP or HG associated dehydration and electrolyte disorders.</w:t>
      </w:r>
    </w:p>
    <w:p w14:paraId="7A1180D1" w14:textId="77777777" w:rsidR="00AF6C4C" w:rsidRPr="002F7F0A" w:rsidRDefault="00AF6C4C" w:rsidP="002F7F0A">
      <w:pPr>
        <w:spacing w:before="6" w:line="180" w:lineRule="exact"/>
        <w:ind w:right="-390"/>
        <w:rPr>
          <w:rFonts w:asciiTheme="minorHAnsi" w:hAnsiTheme="minorHAnsi" w:cstheme="minorHAnsi"/>
          <w:sz w:val="18"/>
          <w:szCs w:val="18"/>
        </w:rPr>
      </w:pPr>
    </w:p>
    <w:p w14:paraId="0C87D787" w14:textId="77777777" w:rsidR="00AF6C4C" w:rsidRPr="002F7F0A" w:rsidRDefault="00AF6C4C" w:rsidP="002F7F0A">
      <w:pPr>
        <w:spacing w:line="200" w:lineRule="exact"/>
        <w:ind w:right="-390"/>
        <w:rPr>
          <w:rFonts w:asciiTheme="minorHAnsi" w:hAnsiTheme="minorHAnsi" w:cstheme="minorHAnsi"/>
        </w:rPr>
      </w:pPr>
    </w:p>
    <w:p w14:paraId="5264046C" w14:textId="77777777" w:rsidR="00AF6C4C" w:rsidRPr="002F7F0A" w:rsidRDefault="00AF6C4C" w:rsidP="002F7F0A">
      <w:pPr>
        <w:pStyle w:val="ListParagraph"/>
        <w:numPr>
          <w:ilvl w:val="0"/>
          <w:numId w:val="15"/>
        </w:numPr>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Enteral and parenteral nutrition</w:t>
      </w:r>
    </w:p>
    <w:p w14:paraId="15BEDBC3" w14:textId="77777777" w:rsidR="00AF6C4C" w:rsidRPr="002F7F0A" w:rsidRDefault="00AF6C4C" w:rsidP="002F7F0A">
      <w:pPr>
        <w:spacing w:before="56"/>
        <w:ind w:left="730" w:right="-390" w:hanging="10"/>
        <w:rPr>
          <w:rFonts w:asciiTheme="minorHAnsi" w:eastAsia="Calibri" w:hAnsiTheme="minorHAnsi" w:cstheme="minorHAnsi"/>
          <w:sz w:val="22"/>
          <w:szCs w:val="22"/>
        </w:rPr>
      </w:pPr>
      <w:r w:rsidRPr="002F7F0A">
        <w:rPr>
          <w:rFonts w:asciiTheme="minorHAnsi" w:eastAsia="Calibri" w:hAnsiTheme="minorHAnsi" w:cstheme="minorHAnsi"/>
          <w:sz w:val="22"/>
          <w:szCs w:val="22"/>
        </w:rPr>
        <w:t xml:space="preserve">HG leads to dehydration, fluid and electrolyte abnormalities, and inadequate nutrition in severe cases. Dextrose and vitamins should be included in the therapy when prolonged vomiting is present, and thiamine should be administered before dextrose infusion to prevent Wernicke encephalopathy. Enteral tube feeding (nasogastric or nasoduodenal) </w:t>
      </w:r>
      <w:r w:rsidRPr="002F7F0A">
        <w:rPr>
          <w:rFonts w:asciiTheme="minorHAnsi" w:eastAsia="Calibri" w:hAnsiTheme="minorHAnsi" w:cstheme="minorHAnsi"/>
          <w:sz w:val="22"/>
          <w:szCs w:val="22"/>
        </w:rPr>
        <w:lastRenderedPageBreak/>
        <w:t>should be initiated as the first-line treatment to provide nutritional support to the woman with hyperemesis gravidarum who is not responsive to medical therapy and cannot maintain her weigh</w:t>
      </w:r>
      <w:r w:rsidR="006B2B50" w:rsidRPr="002F7F0A">
        <w:rPr>
          <w:rFonts w:asciiTheme="minorHAnsi" w:eastAsia="Calibri" w:hAnsiTheme="minorHAnsi" w:cstheme="minorHAnsi"/>
          <w:sz w:val="22"/>
          <w:szCs w:val="22"/>
        </w:rPr>
        <w:t>t.</w:t>
      </w:r>
    </w:p>
    <w:p w14:paraId="4FA846F2" w14:textId="77777777" w:rsidR="006529C7" w:rsidRPr="002F7F0A" w:rsidRDefault="006529C7" w:rsidP="002F7F0A">
      <w:pPr>
        <w:spacing w:before="56"/>
        <w:ind w:left="730" w:right="-390" w:hanging="10"/>
        <w:rPr>
          <w:rFonts w:asciiTheme="minorHAnsi" w:eastAsia="Calibri" w:hAnsiTheme="minorHAnsi" w:cstheme="minorHAnsi"/>
          <w:sz w:val="22"/>
          <w:szCs w:val="22"/>
        </w:rPr>
      </w:pPr>
    </w:p>
    <w:p w14:paraId="384F602E" w14:textId="3717AF81" w:rsidR="00B71B84" w:rsidRPr="002F7F0A" w:rsidRDefault="00EA1F82" w:rsidP="002F7F0A">
      <w:pPr>
        <w:pStyle w:val="Heading1"/>
        <w:keepLines/>
        <w:shd w:val="clear" w:color="auto" w:fill="D9D9D9" w:themeFill="background1" w:themeFillShade="D9"/>
        <w:tabs>
          <w:tab w:val="clear" w:pos="720"/>
        </w:tabs>
        <w:spacing w:before="0" w:after="0"/>
        <w:ind w:left="0" w:right="-390" w:firstLine="0"/>
        <w:rPr>
          <w:rFonts w:asciiTheme="minorHAnsi" w:hAnsiTheme="minorHAnsi" w:cstheme="minorHAnsi"/>
          <w:b w:val="0"/>
          <w:bCs w:val="0"/>
          <w:color w:val="244061" w:themeColor="accent1" w:themeShade="80"/>
          <w:kern w:val="0"/>
        </w:rPr>
      </w:pPr>
      <w:r w:rsidRPr="002F7F0A">
        <w:rPr>
          <w:rFonts w:asciiTheme="minorHAnsi" w:hAnsiTheme="minorHAnsi" w:cstheme="minorHAnsi"/>
          <w:b w:val="0"/>
          <w:bCs w:val="0"/>
          <w:color w:val="244061" w:themeColor="accent1" w:themeShade="80"/>
          <w:kern w:val="0"/>
        </w:rPr>
        <w:t>Summary of Recommendations</w:t>
      </w:r>
    </w:p>
    <w:p w14:paraId="58299E19" w14:textId="77777777" w:rsidR="00B71B84" w:rsidRPr="002F7F0A" w:rsidRDefault="00EA1F82" w:rsidP="002F7F0A">
      <w:pPr>
        <w:spacing w:before="19"/>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 xml:space="preserve">6.1. </w:t>
      </w:r>
      <w:r w:rsidRPr="002F7F0A">
        <w:rPr>
          <w:rFonts w:asciiTheme="minorHAnsi" w:eastAsia="Calibri" w:hAnsiTheme="minorHAnsi" w:cstheme="minorHAnsi"/>
          <w:b/>
          <w:sz w:val="22"/>
          <w:szCs w:val="22"/>
          <w:u w:val="single" w:color="000000"/>
        </w:rPr>
        <w:t>The following recommendations are based on good and consistent scientific evidence</w:t>
      </w:r>
    </w:p>
    <w:p w14:paraId="4FA319AB" w14:textId="77777777" w:rsidR="00B71B84" w:rsidRPr="002F7F0A" w:rsidRDefault="00000000" w:rsidP="002F7F0A">
      <w:pPr>
        <w:spacing w:before="1"/>
        <w:ind w:right="-390"/>
        <w:rPr>
          <w:rFonts w:asciiTheme="minorHAnsi" w:eastAsia="Calibri" w:hAnsiTheme="minorHAnsi" w:cstheme="minorHAnsi"/>
          <w:sz w:val="22"/>
          <w:szCs w:val="22"/>
        </w:rPr>
      </w:pPr>
      <w:r>
        <w:rPr>
          <w:rFonts w:asciiTheme="minorHAnsi" w:hAnsiTheme="minorHAnsi" w:cstheme="minorHAnsi"/>
          <w:sz w:val="22"/>
          <w:szCs w:val="22"/>
        </w:rPr>
        <w:pict w14:anchorId="6B0B3507">
          <v:group id="_x0000_s1044" alt="" style="position:absolute;margin-left:90.25pt;margin-top:12.55pt;width:6.95pt;height:9.3pt;z-index:-251659776;mso-position-horizontal-relative:page" coordorigin="1805,251" coordsize="139,186">
            <v:shape id="_x0000_s1045" alt="" style="position:absolute;left:1805;top:251;width:139;height:186" coordorigin="1805,251" coordsize="139,186" path="m1805,251r,186l1944,347,1805,251xe" fillcolor="black" stroked="f">
              <v:path arrowok="t"/>
            </v:shape>
            <w10:wrap anchorx="page"/>
          </v:group>
        </w:pict>
      </w:r>
      <w:r w:rsidR="00EA1F82" w:rsidRPr="002F7F0A">
        <w:rPr>
          <w:rFonts w:asciiTheme="minorHAnsi" w:eastAsia="Calibri" w:hAnsiTheme="minorHAnsi" w:cstheme="minorHAnsi"/>
          <w:b/>
          <w:sz w:val="22"/>
          <w:szCs w:val="22"/>
          <w:u w:val="single" w:color="000000"/>
        </w:rPr>
        <w:t>(Level A)</w:t>
      </w:r>
    </w:p>
    <w:p w14:paraId="3F1CA73D" w14:textId="77777777" w:rsidR="00B71B84" w:rsidRPr="002F7F0A" w:rsidRDefault="00000000" w:rsidP="002F7F0A">
      <w:pPr>
        <w:spacing w:before="1"/>
        <w:ind w:left="466" w:right="-390" w:hanging="160"/>
        <w:rPr>
          <w:rFonts w:asciiTheme="minorHAnsi" w:eastAsia="Calibri" w:hAnsiTheme="minorHAnsi" w:cstheme="minorHAnsi"/>
          <w:sz w:val="22"/>
          <w:szCs w:val="22"/>
        </w:rPr>
      </w:pPr>
      <w:r>
        <w:rPr>
          <w:rFonts w:asciiTheme="minorHAnsi" w:hAnsiTheme="minorHAnsi" w:cstheme="minorHAnsi"/>
          <w:sz w:val="22"/>
          <w:szCs w:val="22"/>
        </w:rPr>
        <w:pict w14:anchorId="5E6D1300">
          <v:group id="_x0000_s1042" alt="" style="position:absolute;left:0;text-align:left;margin-left:90.25pt;margin-top:36.95pt;width:6.95pt;height:9.3pt;z-index:-251658752;mso-position-horizontal-relative:page" coordorigin="1805,739" coordsize="139,186">
            <v:shape id="_x0000_s1043" alt="" style="position:absolute;left:1805;top:739;width:139;height:186" coordorigin="1805,739" coordsize="139,186" path="m1805,739r,186l1944,835,1805,739xe" fillcolor="black" stroked="f">
              <v:path arrowok="t"/>
            </v:shape>
            <w10:wrap anchorx="page"/>
          </v:group>
        </w:pict>
      </w:r>
      <w:r w:rsidR="00EA1F82" w:rsidRPr="002F7F0A">
        <w:rPr>
          <w:rFonts w:asciiTheme="minorHAnsi" w:eastAsia="Calibri" w:hAnsiTheme="minorHAnsi" w:cstheme="minorHAnsi"/>
          <w:sz w:val="22"/>
          <w:szCs w:val="22"/>
        </w:rPr>
        <w:t>Treatment of nausea and vomiting of pregnancy with vitamin B</w:t>
      </w:r>
      <w:r w:rsidR="00EA1F82" w:rsidRPr="002F7F0A">
        <w:rPr>
          <w:rFonts w:asciiTheme="minorHAnsi" w:eastAsia="Calibri" w:hAnsiTheme="minorHAnsi" w:cstheme="minorHAnsi"/>
          <w:position w:val="-2"/>
          <w:sz w:val="22"/>
          <w:szCs w:val="22"/>
        </w:rPr>
        <w:t xml:space="preserve">6  </w:t>
      </w:r>
      <w:r w:rsidR="00EA1F82" w:rsidRPr="002F7F0A">
        <w:rPr>
          <w:rFonts w:asciiTheme="minorHAnsi" w:eastAsia="Calibri" w:hAnsiTheme="minorHAnsi" w:cstheme="minorHAnsi"/>
          <w:sz w:val="22"/>
          <w:szCs w:val="22"/>
        </w:rPr>
        <w:t>(pyridoxine) alone or vitamin B</w:t>
      </w:r>
      <w:r w:rsidR="00EA1F82" w:rsidRPr="002F7F0A">
        <w:rPr>
          <w:rFonts w:asciiTheme="minorHAnsi" w:eastAsia="Calibri" w:hAnsiTheme="minorHAnsi" w:cstheme="minorHAnsi"/>
          <w:position w:val="-2"/>
          <w:sz w:val="22"/>
          <w:szCs w:val="22"/>
        </w:rPr>
        <w:t xml:space="preserve">6 </w:t>
      </w:r>
      <w:r w:rsidR="00EA1F82" w:rsidRPr="002F7F0A">
        <w:rPr>
          <w:rFonts w:asciiTheme="minorHAnsi" w:eastAsia="Calibri" w:hAnsiTheme="minorHAnsi" w:cstheme="minorHAnsi"/>
          <w:sz w:val="22"/>
          <w:szCs w:val="22"/>
        </w:rPr>
        <w:t>(pyridoxine) plus doxylamine in combination is safe and effective and should be considered first- line pharmacotherapy.</w:t>
      </w:r>
    </w:p>
    <w:p w14:paraId="49489B23" w14:textId="77777777" w:rsidR="00B71B84" w:rsidRPr="002F7F0A" w:rsidRDefault="00000000" w:rsidP="002F7F0A">
      <w:pPr>
        <w:spacing w:before="4" w:line="235" w:lineRule="auto"/>
        <w:ind w:left="466" w:right="-390" w:hanging="160"/>
        <w:rPr>
          <w:rFonts w:asciiTheme="minorHAnsi" w:eastAsia="Calibri" w:hAnsiTheme="minorHAnsi" w:cstheme="minorHAnsi"/>
          <w:sz w:val="22"/>
          <w:szCs w:val="22"/>
        </w:rPr>
      </w:pPr>
      <w:r>
        <w:rPr>
          <w:rFonts w:asciiTheme="minorHAnsi" w:hAnsiTheme="minorHAnsi" w:cstheme="minorHAnsi"/>
          <w:sz w:val="22"/>
          <w:szCs w:val="22"/>
        </w:rPr>
        <w:pict w14:anchorId="2F626226">
          <v:group id="_x0000_s1040" alt="" style="position:absolute;left:0;text-align:left;margin-left:90.25pt;margin-top:24.6pt;width:6.95pt;height:9.3pt;z-index:-251657728;mso-position-horizontal-relative:page" coordorigin="1805,492" coordsize="139,186">
            <v:shape id="_x0000_s1041" alt="" style="position:absolute;left:1805;top:492;width:139;height:186" coordorigin="1805,492" coordsize="139,186" path="m1805,492r,186l1944,588,1805,492xe" fillcolor="black" stroked="f">
              <v:path arrowok="t"/>
            </v:shape>
            <w10:wrap anchorx="page"/>
          </v:group>
        </w:pict>
      </w:r>
      <w:r w:rsidR="00EA1F82" w:rsidRPr="002F7F0A">
        <w:rPr>
          <w:rFonts w:asciiTheme="minorHAnsi" w:eastAsia="Calibri" w:hAnsiTheme="minorHAnsi" w:cstheme="minorHAnsi"/>
          <w:sz w:val="22"/>
          <w:szCs w:val="22"/>
        </w:rPr>
        <w:t>The standard recommendation to take prenatal vitamins for 1 month before fertilization may reduce the incidence and severity of nausea and vomiting of pregnancy.</w:t>
      </w:r>
    </w:p>
    <w:p w14:paraId="01746E9A" w14:textId="77777777" w:rsidR="00B71B84" w:rsidRPr="002F7F0A" w:rsidRDefault="00EA1F82" w:rsidP="002F7F0A">
      <w:pPr>
        <w:spacing w:before="1"/>
        <w:ind w:left="466" w:right="-390" w:hanging="160"/>
        <w:rPr>
          <w:rFonts w:asciiTheme="minorHAnsi" w:eastAsia="Calibri" w:hAnsiTheme="minorHAnsi" w:cstheme="minorHAnsi"/>
          <w:sz w:val="22"/>
          <w:szCs w:val="22"/>
        </w:rPr>
      </w:pPr>
      <w:r w:rsidRPr="002F7F0A">
        <w:rPr>
          <w:rFonts w:asciiTheme="minorHAnsi" w:eastAsia="Calibri" w:hAnsiTheme="minorHAnsi" w:cstheme="minorHAnsi"/>
          <w:sz w:val="22"/>
          <w:szCs w:val="22"/>
        </w:rPr>
        <w:t>The appropriate management of abnormal maternal thyroid tests attributable to gestational transient thyrotoxicosis, or hyperemesis gravidarum, or both, includes supportive therapy, and antithyroid drugs are not recommended.</w:t>
      </w:r>
    </w:p>
    <w:p w14:paraId="6AC3B819" w14:textId="77777777" w:rsidR="00B71B84" w:rsidRPr="002F7F0A" w:rsidRDefault="00B71B84" w:rsidP="002F7F0A">
      <w:pPr>
        <w:spacing w:before="5" w:line="240" w:lineRule="exact"/>
        <w:ind w:right="-390"/>
        <w:rPr>
          <w:rFonts w:asciiTheme="minorHAnsi" w:hAnsiTheme="minorHAnsi" w:cstheme="minorHAnsi"/>
          <w:sz w:val="22"/>
          <w:szCs w:val="22"/>
        </w:rPr>
      </w:pPr>
    </w:p>
    <w:p w14:paraId="717A9316" w14:textId="77777777" w:rsidR="00B71B84" w:rsidRPr="002F7F0A" w:rsidRDefault="00EA1F82" w:rsidP="002F7F0A">
      <w:pPr>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 xml:space="preserve">6.2. </w:t>
      </w:r>
      <w:r w:rsidRPr="002F7F0A">
        <w:rPr>
          <w:rFonts w:asciiTheme="minorHAnsi" w:eastAsia="Calibri" w:hAnsiTheme="minorHAnsi" w:cstheme="minorHAnsi"/>
          <w:b/>
          <w:sz w:val="22"/>
          <w:szCs w:val="22"/>
          <w:u w:val="single" w:color="000000"/>
        </w:rPr>
        <w:t>The following recommendations are based on limited or inconsistent scientific evidence</w:t>
      </w:r>
    </w:p>
    <w:p w14:paraId="0669AFE7" w14:textId="77777777" w:rsidR="00B71B84" w:rsidRPr="002F7F0A" w:rsidRDefault="00000000" w:rsidP="002F7F0A">
      <w:pPr>
        <w:spacing w:line="240" w:lineRule="exact"/>
        <w:ind w:right="-390"/>
        <w:rPr>
          <w:rFonts w:asciiTheme="minorHAnsi" w:eastAsia="Calibri" w:hAnsiTheme="minorHAnsi" w:cstheme="minorHAnsi"/>
          <w:sz w:val="22"/>
          <w:szCs w:val="22"/>
        </w:rPr>
      </w:pPr>
      <w:r>
        <w:rPr>
          <w:rFonts w:asciiTheme="minorHAnsi" w:hAnsiTheme="minorHAnsi" w:cstheme="minorHAnsi"/>
          <w:sz w:val="22"/>
          <w:szCs w:val="22"/>
        </w:rPr>
        <w:pict w14:anchorId="241A73C4">
          <v:group id="_x0000_s1038" alt="" style="position:absolute;margin-left:90.25pt;margin-top:12.3pt;width:6.95pt;height:9.3pt;z-index:-251656704;mso-position-horizontal-relative:page" coordorigin="1805,246" coordsize="139,186">
            <v:shape id="_x0000_s1039" alt="" style="position:absolute;left:1805;top:246;width:139;height:186" coordorigin="1805,246" coordsize="139,186" path="m1805,246r,186l1944,342,1805,246xe" fillcolor="black" stroked="f">
              <v:path arrowok="t"/>
            </v:shape>
            <w10:wrap anchorx="page"/>
          </v:group>
        </w:pict>
      </w:r>
      <w:r w:rsidR="00EA1F82" w:rsidRPr="002F7F0A">
        <w:rPr>
          <w:rFonts w:asciiTheme="minorHAnsi" w:eastAsia="Calibri" w:hAnsiTheme="minorHAnsi" w:cstheme="minorHAnsi"/>
          <w:b/>
          <w:position w:val="1"/>
          <w:sz w:val="22"/>
          <w:szCs w:val="22"/>
          <w:u w:val="single" w:color="000000"/>
        </w:rPr>
        <w:t>(Level B)</w:t>
      </w:r>
    </w:p>
    <w:p w14:paraId="1F8DDC9A" w14:textId="77777777" w:rsidR="00B71B84" w:rsidRPr="002F7F0A" w:rsidRDefault="00000000" w:rsidP="002F7F0A">
      <w:pPr>
        <w:ind w:left="466" w:right="-390" w:hanging="160"/>
        <w:rPr>
          <w:rFonts w:asciiTheme="minorHAnsi" w:eastAsia="Calibri" w:hAnsiTheme="minorHAnsi" w:cstheme="minorHAnsi"/>
          <w:sz w:val="22"/>
          <w:szCs w:val="22"/>
        </w:rPr>
      </w:pPr>
      <w:r>
        <w:rPr>
          <w:rFonts w:asciiTheme="minorHAnsi" w:hAnsiTheme="minorHAnsi" w:cstheme="minorHAnsi"/>
          <w:sz w:val="22"/>
          <w:szCs w:val="22"/>
        </w:rPr>
        <w:pict w14:anchorId="6608AB65">
          <v:group id="_x0000_s1036" alt="" style="position:absolute;left:0;text-align:left;margin-left:90.25pt;margin-top:24.7pt;width:6.95pt;height:9.3pt;z-index:-251655680;mso-position-horizontal-relative:page" coordorigin="1805,494" coordsize="139,186">
            <v:shape id="_x0000_s1037" alt="" style="position:absolute;left:1805;top:494;width:139;height:186" coordorigin="1805,494" coordsize="139,186" path="m1805,494r,186l1944,590,1805,494xe" fillcolor="black" stroked="f">
              <v:path arrowok="t"/>
            </v:shape>
            <w10:wrap anchorx="page"/>
          </v:group>
        </w:pict>
      </w:r>
      <w:r w:rsidR="00EA1F82" w:rsidRPr="002F7F0A">
        <w:rPr>
          <w:rFonts w:asciiTheme="minorHAnsi" w:eastAsia="Calibri" w:hAnsiTheme="minorHAnsi" w:cstheme="minorHAnsi"/>
          <w:sz w:val="22"/>
          <w:szCs w:val="22"/>
        </w:rPr>
        <w:t>Treatment of nausea and vomiting of pregnancy with ginger has shown some beneficial effects in reducing nausea symptoms and can be considered as a non-pharmacologic option.</w:t>
      </w:r>
    </w:p>
    <w:p w14:paraId="2054D5D1" w14:textId="77777777" w:rsidR="00B71B84" w:rsidRPr="002F7F0A" w:rsidRDefault="00EA1F82" w:rsidP="002F7F0A">
      <w:pPr>
        <w:ind w:left="466" w:right="-390" w:hanging="160"/>
        <w:jc w:val="both"/>
        <w:rPr>
          <w:rFonts w:asciiTheme="minorHAnsi" w:eastAsia="Calibri" w:hAnsiTheme="minorHAnsi" w:cstheme="minorHAnsi"/>
          <w:sz w:val="22"/>
          <w:szCs w:val="22"/>
        </w:rPr>
      </w:pPr>
      <w:r w:rsidRPr="002F7F0A">
        <w:rPr>
          <w:rFonts w:asciiTheme="minorHAnsi" w:eastAsia="Calibri" w:hAnsiTheme="minorHAnsi" w:cstheme="minorHAnsi"/>
          <w:sz w:val="22"/>
          <w:szCs w:val="22"/>
        </w:rPr>
        <w:t>Treatment of severe nausea and vomiting of pregnancy or hyperemesis gravidarum with methylprednisolone may be efficacious in refractory cases; however, the risk profile of methylprednisolone suggests it should be a last-resort treatment.</w:t>
      </w:r>
    </w:p>
    <w:p w14:paraId="719B6C8B" w14:textId="77777777" w:rsidR="00B71B84" w:rsidRPr="002F7F0A" w:rsidRDefault="00B71B84" w:rsidP="002F7F0A">
      <w:pPr>
        <w:spacing w:before="20" w:line="220" w:lineRule="exact"/>
        <w:ind w:right="-390"/>
        <w:rPr>
          <w:rFonts w:asciiTheme="minorHAnsi" w:hAnsiTheme="minorHAnsi" w:cstheme="minorHAnsi"/>
          <w:sz w:val="22"/>
          <w:szCs w:val="22"/>
        </w:rPr>
      </w:pPr>
    </w:p>
    <w:p w14:paraId="72A0047B" w14:textId="77777777" w:rsidR="00B71B84" w:rsidRPr="002F7F0A" w:rsidRDefault="00EA1F82" w:rsidP="002F7F0A">
      <w:pPr>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rPr>
        <w:t xml:space="preserve">6.3. </w:t>
      </w:r>
      <w:r w:rsidRPr="002F7F0A">
        <w:rPr>
          <w:rFonts w:asciiTheme="minorHAnsi" w:eastAsia="Calibri" w:hAnsiTheme="minorHAnsi" w:cstheme="minorHAnsi"/>
          <w:b/>
          <w:sz w:val="22"/>
          <w:szCs w:val="22"/>
          <w:u w:val="single" w:color="000000"/>
        </w:rPr>
        <w:t>The following recommendations are based primarily on consensus and expert opinion</w:t>
      </w:r>
    </w:p>
    <w:p w14:paraId="7FD8E9C7" w14:textId="77777777" w:rsidR="00B71B84" w:rsidRPr="002F7F0A" w:rsidRDefault="00EA1F82" w:rsidP="002F7F0A">
      <w:pPr>
        <w:spacing w:before="1"/>
        <w:ind w:right="-390"/>
        <w:rPr>
          <w:rFonts w:asciiTheme="minorHAnsi" w:eastAsia="Calibri" w:hAnsiTheme="minorHAnsi" w:cstheme="minorHAnsi"/>
          <w:sz w:val="22"/>
          <w:szCs w:val="22"/>
        </w:rPr>
      </w:pPr>
      <w:r w:rsidRPr="002F7F0A">
        <w:rPr>
          <w:rFonts w:asciiTheme="minorHAnsi" w:eastAsia="Calibri" w:hAnsiTheme="minorHAnsi" w:cstheme="minorHAnsi"/>
          <w:b/>
          <w:sz w:val="22"/>
          <w:szCs w:val="22"/>
          <w:u w:val="single" w:color="000000"/>
        </w:rPr>
        <w:t>(Level C)</w:t>
      </w:r>
    </w:p>
    <w:p w14:paraId="3F8D6450" w14:textId="77777777" w:rsidR="00B71B84" w:rsidRPr="002F7F0A" w:rsidRDefault="00000000" w:rsidP="002F7F0A">
      <w:pPr>
        <w:spacing w:before="1"/>
        <w:ind w:left="461" w:right="-390"/>
        <w:rPr>
          <w:rFonts w:asciiTheme="minorHAnsi" w:eastAsia="Calibri" w:hAnsiTheme="minorHAnsi" w:cstheme="minorHAnsi"/>
          <w:sz w:val="22"/>
          <w:szCs w:val="22"/>
        </w:rPr>
      </w:pPr>
      <w:r>
        <w:rPr>
          <w:rFonts w:asciiTheme="minorHAnsi" w:hAnsiTheme="minorHAnsi" w:cstheme="minorHAnsi"/>
          <w:sz w:val="22"/>
          <w:szCs w:val="22"/>
        </w:rPr>
        <w:pict w14:anchorId="394182B6">
          <v:group id="_x0000_s1034" alt="" style="position:absolute;left:0;text-align:left;margin-left:91pt;margin-top:3.35pt;width:6.95pt;height:6.05pt;z-index:-251651584;mso-position-horizontal-relative:page" coordorigin="1820,67" coordsize="139,121">
            <v:shape id="_x0000_s1035" alt="" style="position:absolute;left:1820;top:67;width:139;height:121" coordorigin="1820,67" coordsize="139,121" path="m1820,67r,122l1959,130,1820,67xe" fillcolor="black" stroked="f">
              <v:path arrowok="t"/>
            </v:shape>
            <w10:wrap anchorx="page"/>
          </v:group>
        </w:pict>
      </w:r>
      <w:r w:rsidR="00EA1F82" w:rsidRPr="002F7F0A">
        <w:rPr>
          <w:rFonts w:asciiTheme="minorHAnsi" w:eastAsia="Calibri" w:hAnsiTheme="minorHAnsi" w:cstheme="minorHAnsi"/>
          <w:sz w:val="22"/>
          <w:szCs w:val="22"/>
        </w:rPr>
        <w:t>Early treatment of nausea and vomiting of pregnancy may be beneficial to prevent progression to hyperemesis gravidarum.</w:t>
      </w:r>
    </w:p>
    <w:p w14:paraId="2E4E35FE" w14:textId="77777777" w:rsidR="00B71B84" w:rsidRPr="002F7F0A" w:rsidRDefault="00000000" w:rsidP="002F7F0A">
      <w:pPr>
        <w:spacing w:line="220" w:lineRule="exact"/>
        <w:ind w:left="481" w:right="-390"/>
        <w:rPr>
          <w:rFonts w:asciiTheme="minorHAnsi" w:eastAsia="Calibri" w:hAnsiTheme="minorHAnsi" w:cstheme="minorHAnsi"/>
          <w:sz w:val="22"/>
          <w:szCs w:val="22"/>
        </w:rPr>
      </w:pPr>
      <w:r>
        <w:rPr>
          <w:rFonts w:asciiTheme="minorHAnsi" w:hAnsiTheme="minorHAnsi" w:cstheme="minorHAnsi"/>
          <w:sz w:val="22"/>
          <w:szCs w:val="22"/>
        </w:rPr>
        <w:pict w14:anchorId="390D889D">
          <v:group id="_x0000_s1032" alt="" style="position:absolute;left:0;text-align:left;margin-left:91pt;margin-top:4.4pt;width:6.95pt;height:6.05pt;z-index:-251650560;mso-position-horizontal-relative:page" coordorigin="1820,88" coordsize="139,121">
            <v:shape id="_x0000_s1033" alt="" style="position:absolute;left:1820;top:88;width:139;height:121" coordorigin="1820,88" coordsize="139,121" path="m1820,88r,122l1959,151,1820,88xe" fillcolor="black" stroked="f">
              <v:path arrowok="t"/>
            </v:shape>
            <w10:wrap anchorx="page"/>
          </v:group>
        </w:pict>
      </w:r>
      <w:r w:rsidR="00EA1F82" w:rsidRPr="002F7F0A">
        <w:rPr>
          <w:rFonts w:asciiTheme="minorHAnsi" w:eastAsia="Calibri" w:hAnsiTheme="minorHAnsi" w:cstheme="minorHAnsi"/>
          <w:position w:val="1"/>
          <w:sz w:val="22"/>
          <w:szCs w:val="22"/>
        </w:rPr>
        <w:t>Intravenous hydration should be used for the patient who cannot tolerate oral liquids             for</w:t>
      </w:r>
    </w:p>
    <w:p w14:paraId="097A1E74" w14:textId="77777777" w:rsidR="00B71B84" w:rsidRPr="002F7F0A" w:rsidRDefault="00000000" w:rsidP="002F7F0A">
      <w:pPr>
        <w:spacing w:before="1"/>
        <w:ind w:left="481" w:right="-390"/>
        <w:rPr>
          <w:rFonts w:asciiTheme="minorHAnsi" w:eastAsia="Calibri" w:hAnsiTheme="minorHAnsi" w:cstheme="minorHAnsi"/>
          <w:sz w:val="22"/>
          <w:szCs w:val="22"/>
        </w:rPr>
      </w:pPr>
      <w:r>
        <w:rPr>
          <w:rFonts w:asciiTheme="minorHAnsi" w:hAnsiTheme="minorHAnsi" w:cstheme="minorHAnsi"/>
          <w:sz w:val="22"/>
          <w:szCs w:val="22"/>
        </w:rPr>
        <w:pict w14:anchorId="1CAD6212">
          <v:group id="_x0000_s1030" alt="" style="position:absolute;left:0;text-align:left;margin-left:90pt;margin-top:12.5pt;width:6.95pt;height:9.3pt;z-index:-251654656;mso-position-horizontal-relative:page" coordorigin="1800,250" coordsize="139,186">
            <v:shape id="_x0000_s1031" alt="" style="position:absolute;left:1800;top:250;width:139;height:186" coordorigin="1800,250" coordsize="139,186" path="m1800,250r,186l1939,346,1800,250xe" fillcolor="black" stroked="f">
              <v:path arrowok="t"/>
            </v:shape>
            <w10:wrap anchorx="page"/>
          </v:group>
        </w:pict>
      </w:r>
      <w:r w:rsidR="00EA1F82" w:rsidRPr="002F7F0A">
        <w:rPr>
          <w:rFonts w:asciiTheme="minorHAnsi" w:eastAsia="Calibri" w:hAnsiTheme="minorHAnsi" w:cstheme="minorHAnsi"/>
          <w:sz w:val="22"/>
          <w:szCs w:val="22"/>
        </w:rPr>
        <w:t>a prolonged period or if clinical signs of dehydration are present.</w:t>
      </w:r>
    </w:p>
    <w:p w14:paraId="2CEEFF11" w14:textId="77777777" w:rsidR="00B71B84" w:rsidRPr="002F7F0A" w:rsidRDefault="00000000" w:rsidP="002F7F0A">
      <w:pPr>
        <w:spacing w:before="1"/>
        <w:ind w:left="481" w:right="-390" w:hanging="45"/>
        <w:rPr>
          <w:rFonts w:asciiTheme="minorHAnsi" w:eastAsia="Calibri" w:hAnsiTheme="minorHAnsi" w:cstheme="minorHAnsi"/>
          <w:sz w:val="22"/>
          <w:szCs w:val="22"/>
        </w:rPr>
      </w:pPr>
      <w:r>
        <w:rPr>
          <w:rFonts w:asciiTheme="minorHAnsi" w:hAnsiTheme="minorHAnsi" w:cstheme="minorHAnsi"/>
          <w:sz w:val="22"/>
          <w:szCs w:val="22"/>
        </w:rPr>
        <w:pict w14:anchorId="5CE663E2">
          <v:group id="_x0000_s1028" alt="" style="position:absolute;left:0;text-align:left;margin-left:90.25pt;margin-top:36.85pt;width:6.95pt;height:9.3pt;z-index:-251653632;mso-position-horizontal-relative:page" coordorigin="1805,737" coordsize="139,186">
            <v:shape id="_x0000_s1029" alt="" style="position:absolute;left:1805;top:737;width:139;height:186" coordorigin="1805,737" coordsize="139,186" path="m1805,737r,186l1944,834,1805,737xe" fillcolor="black" stroked="f">
              <v:path arrowok="t"/>
            </v:shape>
            <w10:wrap anchorx="page"/>
          </v:group>
        </w:pict>
      </w:r>
      <w:r w:rsidR="00EA1F82" w:rsidRPr="002F7F0A">
        <w:rPr>
          <w:rFonts w:asciiTheme="minorHAnsi" w:eastAsia="Calibri" w:hAnsiTheme="minorHAnsi" w:cstheme="minorHAnsi"/>
          <w:sz w:val="22"/>
          <w:szCs w:val="22"/>
        </w:rPr>
        <w:t>Correction of ketosis and vitamin deficiency should be strongly considered. Dextrose and vitamins should be included in the therapy when prolonged vomiting is present, and thiamine should be administered before dextrose infusion to prevent Wernicke encephalopathy.</w:t>
      </w:r>
    </w:p>
    <w:p w14:paraId="67BBE81F" w14:textId="77777777" w:rsidR="00B71B84" w:rsidRPr="002F7F0A" w:rsidRDefault="00000000" w:rsidP="002F7F0A">
      <w:pPr>
        <w:spacing w:before="1"/>
        <w:ind w:left="466" w:right="-390"/>
        <w:jc w:val="both"/>
        <w:rPr>
          <w:rFonts w:asciiTheme="minorHAnsi" w:eastAsia="Calibri" w:hAnsiTheme="minorHAnsi" w:cstheme="minorHAnsi"/>
          <w:sz w:val="22"/>
          <w:szCs w:val="22"/>
        </w:rPr>
      </w:pPr>
      <w:r>
        <w:rPr>
          <w:rFonts w:asciiTheme="minorHAnsi" w:hAnsiTheme="minorHAnsi" w:cstheme="minorHAnsi"/>
          <w:sz w:val="22"/>
          <w:szCs w:val="22"/>
        </w:rPr>
        <w:pict w14:anchorId="4F25E708">
          <v:group id="_x0000_s1026" alt="" style="position:absolute;left:0;text-align:left;margin-left:90pt;margin-top:36.7pt;width:6.95pt;height:9.3pt;z-index:-251652608;mso-position-horizontal-relative:page" coordorigin="1800,734" coordsize="139,186">
            <v:shape id="_x0000_s1027" alt="" style="position:absolute;left:1800;top:734;width:139;height:186" coordorigin="1800,734" coordsize="139,186" path="m1800,734r,186l1939,830,1800,734xe" fillcolor="black" stroked="f">
              <v:path arrowok="t"/>
            </v:shape>
            <w10:wrap anchorx="page"/>
          </v:group>
        </w:pict>
      </w:r>
      <w:r w:rsidR="00EA1F82" w:rsidRPr="002F7F0A">
        <w:rPr>
          <w:rFonts w:asciiTheme="minorHAnsi" w:eastAsia="Calibri" w:hAnsiTheme="minorHAnsi" w:cstheme="minorHAnsi"/>
          <w:sz w:val="22"/>
          <w:szCs w:val="22"/>
        </w:rPr>
        <w:t>Enteral tube feeding (nasogastric or nasoduodenal) should be initiated as the first-line treatment to provide nutritional support to the woman with hyperemesis gravidarum who is not responsive to medical therapy and cannot maintain her weight.</w:t>
      </w:r>
    </w:p>
    <w:p w14:paraId="4E5BFF03" w14:textId="22B4C141" w:rsidR="00B71B84" w:rsidRPr="002F7F0A" w:rsidRDefault="00EA1F82" w:rsidP="002F7F0A">
      <w:pPr>
        <w:spacing w:before="1"/>
        <w:ind w:left="131" w:right="-390" w:firstLine="305"/>
        <w:rPr>
          <w:rFonts w:asciiTheme="minorHAnsi" w:eastAsia="Calibri" w:hAnsiTheme="minorHAnsi" w:cstheme="minorHAnsi"/>
          <w:sz w:val="22"/>
          <w:szCs w:val="22"/>
        </w:rPr>
      </w:pPr>
      <w:r w:rsidRPr="002F7F0A">
        <w:rPr>
          <w:rFonts w:asciiTheme="minorHAnsi" w:eastAsia="Calibri" w:hAnsiTheme="minorHAnsi" w:cstheme="minorHAnsi"/>
          <w:sz w:val="22"/>
          <w:szCs w:val="22"/>
        </w:rPr>
        <w:t>Peripherally inserted central catheters should not be used routinely in women with hyperemesis gravidarum given the significant complications associated with this intervention. Peripherally inserted central catheters should be utilized only as a last resort in the management of a woman with hyperemesis gravidarum because of the potential of severe maternal morbidity.</w:t>
      </w:r>
    </w:p>
    <w:sectPr w:rsidR="00B71B84" w:rsidRPr="002F7F0A" w:rsidSect="00B71B84">
      <w:pgSz w:w="11920" w:h="16840"/>
      <w:pgMar w:top="140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1542E" w14:textId="77777777" w:rsidR="00B218FD" w:rsidRDefault="00B218FD" w:rsidP="009D666B">
      <w:r>
        <w:separator/>
      </w:r>
    </w:p>
  </w:endnote>
  <w:endnote w:type="continuationSeparator" w:id="0">
    <w:p w14:paraId="3C4C76C8" w14:textId="77777777" w:rsidR="00B218FD" w:rsidRDefault="00B218FD" w:rsidP="009D6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3137829"/>
      <w:docPartObj>
        <w:docPartGallery w:val="Page Numbers (Bottom of Page)"/>
        <w:docPartUnique/>
      </w:docPartObj>
    </w:sdtPr>
    <w:sdtContent>
      <w:p w14:paraId="6B64D75C" w14:textId="179EEADC" w:rsidR="009D666B" w:rsidRDefault="009D666B" w:rsidP="005324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F7F0A">
          <w:rPr>
            <w:rStyle w:val="PageNumber"/>
            <w:noProof/>
          </w:rPr>
          <w:t>1</w:t>
        </w:r>
        <w:r>
          <w:rPr>
            <w:rStyle w:val="PageNumber"/>
          </w:rPr>
          <w:fldChar w:fldCharType="end"/>
        </w:r>
      </w:p>
    </w:sdtContent>
  </w:sdt>
  <w:p w14:paraId="201BF3CE" w14:textId="77777777" w:rsidR="009D666B" w:rsidRDefault="009D666B" w:rsidP="009D66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8698740"/>
      <w:docPartObj>
        <w:docPartGallery w:val="Page Numbers (Bottom of Page)"/>
        <w:docPartUnique/>
      </w:docPartObj>
    </w:sdtPr>
    <w:sdtContent>
      <w:p w14:paraId="5A268425" w14:textId="27A2B0A1" w:rsidR="009D666B" w:rsidRDefault="009D666B" w:rsidP="005324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68237E" w14:textId="77777777" w:rsidR="009D666B" w:rsidRDefault="009D666B" w:rsidP="009D66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F45FE" w14:textId="77777777" w:rsidR="00B218FD" w:rsidRDefault="00B218FD" w:rsidP="009D666B">
      <w:r>
        <w:separator/>
      </w:r>
    </w:p>
  </w:footnote>
  <w:footnote w:type="continuationSeparator" w:id="0">
    <w:p w14:paraId="2F68406F" w14:textId="77777777" w:rsidR="00B218FD" w:rsidRDefault="00B218FD" w:rsidP="009D6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C7B"/>
    <w:multiLevelType w:val="hybridMultilevel"/>
    <w:tmpl w:val="181890FA"/>
    <w:lvl w:ilvl="0" w:tplc="FFFFFFFF">
      <w:start w:val="1"/>
      <w:numFmt w:val="bullet"/>
      <w:lvlText w:val=""/>
      <w:lvlJc w:val="left"/>
      <w:pPr>
        <w:ind w:left="1080" w:hanging="360"/>
      </w:pPr>
      <w:rPr>
        <w:rFonts w:ascii="Wingdings" w:hAnsi="Wingdings" w:hint="default"/>
        <w:sz w:val="20"/>
        <w:szCs w:val="20"/>
      </w:rPr>
    </w:lvl>
    <w:lvl w:ilvl="1" w:tplc="CDF24F08">
      <w:start w:val="1"/>
      <w:numFmt w:val="bullet"/>
      <w:lvlText w:val=""/>
      <w:lvlJc w:val="left"/>
      <w:pPr>
        <w:ind w:left="1800" w:hanging="360"/>
      </w:pPr>
      <w:rPr>
        <w:rFonts w:ascii="Wingdings" w:hAnsi="Wingdings" w:hint="default"/>
        <w:sz w:val="20"/>
        <w:szCs w:val="20"/>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A7257A8"/>
    <w:multiLevelType w:val="hybridMultilevel"/>
    <w:tmpl w:val="31063E86"/>
    <w:lvl w:ilvl="0" w:tplc="CDF24F08">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E47D32"/>
    <w:multiLevelType w:val="hybridMultilevel"/>
    <w:tmpl w:val="CC4047F6"/>
    <w:lvl w:ilvl="0" w:tplc="FFFFFFFF">
      <w:start w:val="1"/>
      <w:numFmt w:val="bullet"/>
      <w:lvlText w:val=""/>
      <w:lvlJc w:val="left"/>
      <w:pPr>
        <w:ind w:left="720" w:hanging="360"/>
      </w:pPr>
      <w:rPr>
        <w:rFonts w:ascii="Wingdings" w:hAnsi="Wingdings" w:hint="default"/>
        <w:sz w:val="20"/>
        <w:szCs w:val="20"/>
      </w:rPr>
    </w:lvl>
    <w:lvl w:ilvl="1" w:tplc="CDF24F08">
      <w:start w:val="1"/>
      <w:numFmt w:val="bullet"/>
      <w:lvlText w:val=""/>
      <w:lvlJc w:val="left"/>
      <w:pPr>
        <w:ind w:left="1440" w:hanging="360"/>
      </w:pPr>
      <w:rPr>
        <w:rFonts w:ascii="Wingdings" w:hAnsi="Wingdings"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DC6603"/>
    <w:multiLevelType w:val="hybridMultilevel"/>
    <w:tmpl w:val="8B385C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62F4A"/>
    <w:multiLevelType w:val="hybridMultilevel"/>
    <w:tmpl w:val="DE7E19F0"/>
    <w:lvl w:ilvl="0" w:tplc="04090005">
      <w:start w:val="1"/>
      <w:numFmt w:val="bullet"/>
      <w:lvlText w:val=""/>
      <w:lvlJc w:val="left"/>
      <w:pPr>
        <w:ind w:left="841" w:hanging="360"/>
      </w:pPr>
      <w:rPr>
        <w:rFonts w:ascii="Wingdings" w:hAnsi="Wingdings" w:hint="default"/>
      </w:rPr>
    </w:lvl>
    <w:lvl w:ilvl="1" w:tplc="04090003">
      <w:start w:val="1"/>
      <w:numFmt w:val="bullet"/>
      <w:lvlText w:val="o"/>
      <w:lvlJc w:val="left"/>
      <w:pPr>
        <w:ind w:left="1561" w:hanging="360"/>
      </w:pPr>
      <w:rPr>
        <w:rFonts w:ascii="Courier New" w:hAnsi="Courier New" w:cs="Courier New" w:hint="default"/>
      </w:rPr>
    </w:lvl>
    <w:lvl w:ilvl="2" w:tplc="04090005">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5" w15:restartNumberingAfterBreak="0">
    <w:nsid w:val="146A4978"/>
    <w:multiLevelType w:val="hybridMultilevel"/>
    <w:tmpl w:val="6A2C72D0"/>
    <w:lvl w:ilvl="0" w:tplc="FFFFFFFF">
      <w:start w:val="1"/>
      <w:numFmt w:val="bullet"/>
      <w:lvlText w:val=""/>
      <w:lvlJc w:val="left"/>
      <w:pPr>
        <w:ind w:left="720" w:hanging="360"/>
      </w:pPr>
      <w:rPr>
        <w:rFonts w:ascii="Wingdings" w:hAnsi="Wingdings" w:hint="default"/>
        <w:sz w:val="20"/>
        <w:szCs w:val="20"/>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B4467E"/>
    <w:multiLevelType w:val="hybridMultilevel"/>
    <w:tmpl w:val="23C81812"/>
    <w:lvl w:ilvl="0" w:tplc="CDF24F08">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86087"/>
    <w:multiLevelType w:val="hybridMultilevel"/>
    <w:tmpl w:val="BCB278E4"/>
    <w:lvl w:ilvl="0" w:tplc="CDF24F0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07E56"/>
    <w:multiLevelType w:val="hybridMultilevel"/>
    <w:tmpl w:val="666CA00C"/>
    <w:lvl w:ilvl="0" w:tplc="CDF24F08">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7C52F314">
      <w:numFmt w:val="bullet"/>
      <w:lvlText w:val="•"/>
      <w:lvlJc w:val="left"/>
      <w:pPr>
        <w:ind w:left="2180" w:hanging="380"/>
      </w:pPr>
      <w:rPr>
        <w:rFonts w:ascii="Arial" w:eastAsia="Arial"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F6189"/>
    <w:multiLevelType w:val="multilevel"/>
    <w:tmpl w:val="405C85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1B14067"/>
    <w:multiLevelType w:val="hybridMultilevel"/>
    <w:tmpl w:val="029441CE"/>
    <w:lvl w:ilvl="0" w:tplc="CDF24F08">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448C1"/>
    <w:multiLevelType w:val="hybridMultilevel"/>
    <w:tmpl w:val="C47C79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D673F"/>
    <w:multiLevelType w:val="hybridMultilevel"/>
    <w:tmpl w:val="6136B9F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68D32C56"/>
    <w:multiLevelType w:val="hybridMultilevel"/>
    <w:tmpl w:val="3048AA54"/>
    <w:lvl w:ilvl="0" w:tplc="04090005">
      <w:start w:val="1"/>
      <w:numFmt w:val="bullet"/>
      <w:lvlText w:val=""/>
      <w:lvlJc w:val="left"/>
      <w:pPr>
        <w:ind w:left="486" w:hanging="360"/>
      </w:pPr>
      <w:rPr>
        <w:rFonts w:ascii="Wingdings" w:hAnsi="Wingdings" w:hint="default"/>
      </w:rPr>
    </w:lvl>
    <w:lvl w:ilvl="1" w:tplc="04090003">
      <w:start w:val="1"/>
      <w:numFmt w:val="bullet"/>
      <w:lvlText w:val="o"/>
      <w:lvlJc w:val="left"/>
      <w:pPr>
        <w:ind w:left="1206" w:hanging="360"/>
      </w:pPr>
      <w:rPr>
        <w:rFonts w:ascii="Courier New" w:hAnsi="Courier New" w:cs="Courier New" w:hint="default"/>
      </w:rPr>
    </w:lvl>
    <w:lvl w:ilvl="2" w:tplc="04090005">
      <w:start w:val="1"/>
      <w:numFmt w:val="bullet"/>
      <w:lvlText w:val=""/>
      <w:lvlJc w:val="left"/>
      <w:pPr>
        <w:ind w:left="1926" w:hanging="360"/>
      </w:pPr>
      <w:rPr>
        <w:rFonts w:ascii="Wingdings" w:hAnsi="Wingdings" w:hint="default"/>
      </w:rPr>
    </w:lvl>
    <w:lvl w:ilvl="3" w:tplc="04090001" w:tentative="1">
      <w:start w:val="1"/>
      <w:numFmt w:val="bullet"/>
      <w:lvlText w:val=""/>
      <w:lvlJc w:val="left"/>
      <w:pPr>
        <w:ind w:left="2646" w:hanging="360"/>
      </w:pPr>
      <w:rPr>
        <w:rFonts w:ascii="Symbol" w:hAnsi="Symbol" w:hint="default"/>
      </w:rPr>
    </w:lvl>
    <w:lvl w:ilvl="4" w:tplc="04090003" w:tentative="1">
      <w:start w:val="1"/>
      <w:numFmt w:val="bullet"/>
      <w:lvlText w:val="o"/>
      <w:lvlJc w:val="left"/>
      <w:pPr>
        <w:ind w:left="3366" w:hanging="360"/>
      </w:pPr>
      <w:rPr>
        <w:rFonts w:ascii="Courier New" w:hAnsi="Courier New" w:cs="Courier New" w:hint="default"/>
      </w:rPr>
    </w:lvl>
    <w:lvl w:ilvl="5" w:tplc="04090005" w:tentative="1">
      <w:start w:val="1"/>
      <w:numFmt w:val="bullet"/>
      <w:lvlText w:val=""/>
      <w:lvlJc w:val="left"/>
      <w:pPr>
        <w:ind w:left="4086" w:hanging="360"/>
      </w:pPr>
      <w:rPr>
        <w:rFonts w:ascii="Wingdings" w:hAnsi="Wingdings" w:hint="default"/>
      </w:rPr>
    </w:lvl>
    <w:lvl w:ilvl="6" w:tplc="04090001" w:tentative="1">
      <w:start w:val="1"/>
      <w:numFmt w:val="bullet"/>
      <w:lvlText w:val=""/>
      <w:lvlJc w:val="left"/>
      <w:pPr>
        <w:ind w:left="4806" w:hanging="360"/>
      </w:pPr>
      <w:rPr>
        <w:rFonts w:ascii="Symbol" w:hAnsi="Symbol" w:hint="default"/>
      </w:rPr>
    </w:lvl>
    <w:lvl w:ilvl="7" w:tplc="04090003" w:tentative="1">
      <w:start w:val="1"/>
      <w:numFmt w:val="bullet"/>
      <w:lvlText w:val="o"/>
      <w:lvlJc w:val="left"/>
      <w:pPr>
        <w:ind w:left="5526" w:hanging="360"/>
      </w:pPr>
      <w:rPr>
        <w:rFonts w:ascii="Courier New" w:hAnsi="Courier New" w:cs="Courier New" w:hint="default"/>
      </w:rPr>
    </w:lvl>
    <w:lvl w:ilvl="8" w:tplc="04090005" w:tentative="1">
      <w:start w:val="1"/>
      <w:numFmt w:val="bullet"/>
      <w:lvlText w:val=""/>
      <w:lvlJc w:val="left"/>
      <w:pPr>
        <w:ind w:left="6246" w:hanging="360"/>
      </w:pPr>
      <w:rPr>
        <w:rFonts w:ascii="Wingdings" w:hAnsi="Wingdings" w:hint="default"/>
      </w:rPr>
    </w:lvl>
  </w:abstractNum>
  <w:abstractNum w:abstractNumId="14" w15:restartNumberingAfterBreak="0">
    <w:nsid w:val="6A377ECA"/>
    <w:multiLevelType w:val="hybridMultilevel"/>
    <w:tmpl w:val="CBDA12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0016E"/>
    <w:multiLevelType w:val="hybridMultilevel"/>
    <w:tmpl w:val="7864F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708343">
    <w:abstractNumId w:val="9"/>
  </w:num>
  <w:num w:numId="2" w16cid:durableId="1193154318">
    <w:abstractNumId w:val="7"/>
  </w:num>
  <w:num w:numId="3" w16cid:durableId="983315323">
    <w:abstractNumId w:val="6"/>
  </w:num>
  <w:num w:numId="4" w16cid:durableId="1854104286">
    <w:abstractNumId w:val="2"/>
  </w:num>
  <w:num w:numId="5" w16cid:durableId="908616293">
    <w:abstractNumId w:val="10"/>
  </w:num>
  <w:num w:numId="6" w16cid:durableId="1075127918">
    <w:abstractNumId w:val="8"/>
  </w:num>
  <w:num w:numId="7" w16cid:durableId="1878931311">
    <w:abstractNumId w:val="0"/>
  </w:num>
  <w:num w:numId="8" w16cid:durableId="958487714">
    <w:abstractNumId w:val="5"/>
  </w:num>
  <w:num w:numId="9" w16cid:durableId="167449903">
    <w:abstractNumId w:val="1"/>
  </w:num>
  <w:num w:numId="10" w16cid:durableId="954599512">
    <w:abstractNumId w:val="11"/>
  </w:num>
  <w:num w:numId="11" w16cid:durableId="890117198">
    <w:abstractNumId w:val="3"/>
  </w:num>
  <w:num w:numId="12" w16cid:durableId="132908991">
    <w:abstractNumId w:val="13"/>
  </w:num>
  <w:num w:numId="13" w16cid:durableId="1780682358">
    <w:abstractNumId w:val="14"/>
  </w:num>
  <w:num w:numId="14" w16cid:durableId="590554698">
    <w:abstractNumId w:val="4"/>
  </w:num>
  <w:num w:numId="15" w16cid:durableId="1555389132">
    <w:abstractNumId w:val="15"/>
  </w:num>
  <w:num w:numId="16" w16cid:durableId="19352834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1B84"/>
    <w:rsid w:val="001130BA"/>
    <w:rsid w:val="0016274B"/>
    <w:rsid w:val="001C3C41"/>
    <w:rsid w:val="00281D7A"/>
    <w:rsid w:val="002D6297"/>
    <w:rsid w:val="002E5954"/>
    <w:rsid w:val="002F7F0A"/>
    <w:rsid w:val="00307375"/>
    <w:rsid w:val="00472B93"/>
    <w:rsid w:val="00490827"/>
    <w:rsid w:val="00496047"/>
    <w:rsid w:val="00554BF6"/>
    <w:rsid w:val="0057691F"/>
    <w:rsid w:val="006529C7"/>
    <w:rsid w:val="00682C83"/>
    <w:rsid w:val="006B2B50"/>
    <w:rsid w:val="00731521"/>
    <w:rsid w:val="007B077A"/>
    <w:rsid w:val="009D666B"/>
    <w:rsid w:val="00A73BB9"/>
    <w:rsid w:val="00A92E57"/>
    <w:rsid w:val="00AA0AC9"/>
    <w:rsid w:val="00AF6C4C"/>
    <w:rsid w:val="00B218FD"/>
    <w:rsid w:val="00B71B84"/>
    <w:rsid w:val="00B915D8"/>
    <w:rsid w:val="00BD443B"/>
    <w:rsid w:val="00CB727B"/>
    <w:rsid w:val="00D26AB4"/>
    <w:rsid w:val="00D312EA"/>
    <w:rsid w:val="00DC651D"/>
    <w:rsid w:val="00DC77B2"/>
    <w:rsid w:val="00E4553F"/>
    <w:rsid w:val="00EA1F82"/>
    <w:rsid w:val="00EA796F"/>
    <w:rsid w:val="00ED3F56"/>
    <w:rsid w:val="00EE2C88"/>
    <w:rsid w:val="00EE6196"/>
    <w:rsid w:val="00EF4A24"/>
    <w:rsid w:val="00FC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DE94ADD"/>
  <w15:docId w15:val="{94F75494-8FCA-5841-9E3A-E3B91166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D26AB4"/>
    <w:pPr>
      <w:ind w:left="720"/>
      <w:contextualSpacing/>
    </w:pPr>
  </w:style>
  <w:style w:type="paragraph" w:styleId="Footer">
    <w:name w:val="footer"/>
    <w:basedOn w:val="Normal"/>
    <w:link w:val="FooterChar"/>
    <w:uiPriority w:val="99"/>
    <w:unhideWhenUsed/>
    <w:rsid w:val="009D666B"/>
    <w:pPr>
      <w:tabs>
        <w:tab w:val="center" w:pos="4680"/>
        <w:tab w:val="right" w:pos="9360"/>
      </w:tabs>
    </w:pPr>
  </w:style>
  <w:style w:type="character" w:customStyle="1" w:styleId="FooterChar">
    <w:name w:val="Footer Char"/>
    <w:basedOn w:val="DefaultParagraphFont"/>
    <w:link w:val="Footer"/>
    <w:uiPriority w:val="99"/>
    <w:rsid w:val="009D666B"/>
  </w:style>
  <w:style w:type="character" w:styleId="PageNumber">
    <w:name w:val="page number"/>
    <w:basedOn w:val="DefaultParagraphFont"/>
    <w:uiPriority w:val="99"/>
    <w:semiHidden/>
    <w:unhideWhenUsed/>
    <w:rsid w:val="009D666B"/>
  </w:style>
  <w:style w:type="character" w:styleId="Hyperlink">
    <w:name w:val="Hyperlink"/>
    <w:basedOn w:val="DefaultParagraphFont"/>
    <w:uiPriority w:val="99"/>
    <w:unhideWhenUsed/>
    <w:rsid w:val="002D6297"/>
    <w:rPr>
      <w:color w:val="0000FF" w:themeColor="hyperlink"/>
      <w:u w:val="single"/>
    </w:rPr>
  </w:style>
  <w:style w:type="character" w:styleId="UnresolvedMention">
    <w:name w:val="Unresolved Mention"/>
    <w:basedOn w:val="DefaultParagraphFont"/>
    <w:uiPriority w:val="99"/>
    <w:semiHidden/>
    <w:unhideWhenUsed/>
    <w:rsid w:val="002D6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cog.org.uk/media/y3fen1x1/gtg69-hyperemesis.pdf" TargetMode="External"/><Relationship Id="rId3" Type="http://schemas.openxmlformats.org/officeDocument/2006/relationships/settings" Target="settings.xml"/><Relationship Id="rId7" Type="http://schemas.openxmlformats.org/officeDocument/2006/relationships/hyperlink" Target="https://www.somanz.org/content/uploads/2020/07/NVP-GUIDELINE-1.2.20-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DR_ALAA</dc:creator>
  <cp:lastModifiedBy>Abdelhamid Attia</cp:lastModifiedBy>
  <cp:revision>15</cp:revision>
  <cp:lastPrinted>2023-10-30T16:11:00Z</cp:lastPrinted>
  <dcterms:created xsi:type="dcterms:W3CDTF">2023-05-25T04:57:00Z</dcterms:created>
  <dcterms:modified xsi:type="dcterms:W3CDTF">2023-10-30T18:03:00Z</dcterms:modified>
</cp:coreProperties>
</file>