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Montserrat" w:hAnsi="Montserrat" w:eastAsia="Montserrat"/>
          <w:b/>
          <w:i w:val="0"/>
          <w:color w:val="A48111"/>
          <w:sz w:val="20"/>
        </w:rPr>
        <w:t>DIGITAL CHANGE ADVISORS</w:t>
      </w:r>
    </w:p>
    <w:p>
      <w:pPr>
        <w:spacing w:after="320"/>
      </w:pPr>
      <w:r>
        <w:rPr>
          <w:rFonts w:ascii="Montserrat" w:hAnsi="Montserrat" w:eastAsia="Montserrat"/>
          <w:b w:val="0"/>
          <w:i w:val="0"/>
          <w:color w:val="6B7280"/>
          <w:sz w:val="20"/>
        </w:rPr>
        <w:t>Reporte de instrumento · AILS · AI Leadership Style</w:t>
      </w:r>
    </w:p>
    <w:p>
      <w:pPr>
        <w:spacing w:after="80"/>
      </w:pPr>
      <w:r>
        <w:rPr>
          <w:rFonts w:ascii="Marcellus" w:hAnsi="Marcellus" w:eastAsia="Marcellus"/>
          <w:b w:val="0"/>
          <w:i w:val="0"/>
          <w:color w:val="1E2A38"/>
          <w:sz w:val="52"/>
        </w:rPr>
        <w:t>Lente de Liderazgo</w:t>
      </w:r>
    </w:p>
    <w:p>
      <w:pPr>
        <w:spacing w:after="240"/>
      </w:pPr>
      <w:r>
        <w:rPr>
          <w:rFonts w:ascii="Marcellus" w:hAnsi="Marcellus" w:eastAsia="Marcellus"/>
          <w:b w:val="0"/>
          <w:i w:val="0"/>
          <w:color w:val="2E8B76"/>
          <w:sz w:val="28"/>
        </w:rPr>
        <w:t>Vertecsa Group · Equipo de Ingeniería de Software</w:t>
      </w:r>
    </w:p>
    <w:p>
      <w:r>
        <w:rPr>
          <w:rFonts w:ascii="Montserrat" w:hAnsi="Montserrat" w:eastAsia="Montserrat"/>
          <w:b w:val="0"/>
          <w:i/>
          <w:color w:val="6B7280"/>
          <w:sz w:val="20"/>
        </w:rPr>
        <w:t>Diagnóstico de Brecha AI Personas. Observadores: 49 de 55 desarrolladores · Referente: liderazgo de la organización (agregado). Q1 2026 · Modalidad anónima multi-observador · Ninguna empresa real está representada.</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A48111"/>
                <w:sz w:val="17"/>
              </w:rPr>
              <w:t xml:space="preserve">NOTA METODOLÓGICA IMPORTANTE   </w:t>
            </w:r>
            <w:r>
              <w:rPr>
                <w:rFonts w:ascii="Montserrat" w:hAnsi="Montserrat" w:eastAsia="Montserrat"/>
                <w:b w:val="0"/>
                <w:i w:val="0"/>
                <w:color w:val="1E2A38"/>
                <w:sz w:val="20"/>
              </w:rPr>
              <w:t>El AILS es un instrumento de observación de terceros: el equipo observa los comportamientos del liderazgo, no los propios. Por su diseño multi-observador, opera como señal indicativa, no como medición de precisión individual. Su interpretación clínica requiere triangulación con los otros dos instrumentos.</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C1 — Síntesis ejecutiva de la lente</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Resume lo que la medición del liderazgo revela sobre los comportamientos observados por el equipo de ingeniería de Vertecsa Group.</w:t>
            </w:r>
          </w:p>
        </w:tc>
      </w:tr>
    </w:tbl>
    <w:p>
      <w:pPr>
        <w:spacing w:after="40"/>
      </w:pPr>
    </w:p>
    <w:p>
      <w:r>
        <w:rPr>
          <w:rFonts w:ascii="Montserrat" w:hAnsi="Montserrat" w:eastAsia="Montserrat"/>
          <w:b w:val="0"/>
          <w:i w:val="0"/>
          <w:color w:val="1E2A38"/>
          <w:sz w:val="20"/>
        </w:rPr>
        <w:t>El AILS presenta un perfil con una contradicción interna en la competencia de Coherencia: el patrocinio público de la IA (D21) está en Diestro-Óptimo, porque el liderazgo comunica activamente su compromiso, mientras que el uso personal de IA (D9) y la coherencia en decisiones basadas en datos (D12) están en Vulnerable. El equipo observa discurso y práctica que no se alinean en el mismo líder.</w:t>
      </w:r>
    </w:p>
    <w:p>
      <w:r>
        <w:rPr>
          <w:rFonts w:ascii="Montserrat" w:hAnsi="Montserrat" w:eastAsia="Montserrat"/>
          <w:b w:val="0"/>
          <w:i w:val="0"/>
          <w:color w:val="1E2A38"/>
          <w:sz w:val="20"/>
        </w:rPr>
        <w:t>El segundo hallazgo: en Confianza, D8 (la conducta del liderazgo al remover las fricciones que bloquean la adopción) y D7 (la facilitación del aprendizaje entre pares) están en Cautela. Los tech leads no están eliminando las barreras que el equipo encuentra y no han diseñado espacios para que lo que funciona en un equipo llegue a otro.</w:t>
      </w:r>
    </w:p>
    <w:p>
      <w:r>
        <w:rPr>
          <w:rFonts w:ascii="Montserrat" w:hAnsi="Montserrat" w:eastAsia="Montserrat"/>
          <w:b w:val="0"/>
          <w:i w:val="0"/>
          <w:color w:val="1E2A38"/>
          <w:sz w:val="20"/>
        </w:rPr>
        <w:t>El tercer hallazgo: en Cocreación, D16 (la conducta del liderazgo al derribar silos entre equipos) está en Cautela, y en Cuidado, D19 (el sostén de la capacidad de adopción bajo presión de entrega) también.</w:t>
      </w:r>
    </w:p>
    <w:p>
      <w:pPr>
        <w:keepNext/>
        <w:spacing w:before="320" w:after="120"/>
        <w:pBdr>
          <w:bottom w:val="single" w:sz="8" w:space="2" w:color="2e8b76"/>
        </w:pBdr>
      </w:pPr>
      <w:r>
        <w:rPr>
          <w:rFonts w:ascii="Marcellus" w:hAnsi="Marcellus" w:eastAsia="Marcellus"/>
          <w:b w:val="0"/>
          <w:i w:val="0"/>
          <w:color w:val="1E2A38"/>
          <w:sz w:val="38"/>
        </w:rPr>
        <w:t>C2 — Qué mide esta lente y cómo leerla</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Explica qué mide el AILS, quién responde y cómo se organiza. Es especialmente importante leer la nota sobre su naturaleza indicativa antes de interpretar los resultados.</w:t>
            </w:r>
          </w:p>
        </w:tc>
      </w:tr>
    </w:tbl>
    <w:p>
      <w:pPr>
        <w:spacing w:after="40"/>
      </w:pPr>
    </w:p>
    <w:p>
      <w:pPr>
        <w:keepNext/>
        <w:spacing w:before="220" w:after="60"/>
      </w:pPr>
      <w:r>
        <w:rPr>
          <w:rFonts w:ascii="Marcellus" w:hAnsi="Marcellus" w:eastAsia="Marcellus"/>
          <w:b w:val="0"/>
          <w:i w:val="0"/>
          <w:color w:val="1E2A38"/>
          <w:sz w:val="26"/>
        </w:rPr>
        <w:t>El plano de medición: la conducta observable del liderazgo</w:t>
      </w:r>
    </w:p>
    <w:p>
      <w:r>
        <w:rPr>
          <w:rFonts w:ascii="Montserrat" w:hAnsi="Montserrat" w:eastAsia="Montserrat"/>
          <w:b w:val="0"/>
          <w:i w:val="0"/>
          <w:color w:val="1E2A38"/>
          <w:sz w:val="20"/>
        </w:rPr>
        <w:t>El AILS mide comportamientos observables del liderazgo tal como los percibe el equipo. No mide intenciones ni capacidades declaradas: mide lo que el equipo puede observar en el comportamiento cotidiano de quien lidera. Cubre 21 comportamientos organizados en las cinco competencias del framework 5Cs:</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1E2A38"/>
          </w:tcPr>
          <w:p>
            <w:pPr>
              <w:spacing w:after="20"/>
            </w:pPr>
            <w:r/>
            <w:r>
              <w:rPr>
                <w:rFonts w:ascii="Montserrat" w:hAnsi="Montserrat" w:eastAsia="Montserrat"/>
                <w:b/>
                <w:i w:val="0"/>
                <w:color w:val="FFFFFF"/>
                <w:sz w:val="18"/>
              </w:rPr>
              <w:t>Competencia</w:t>
            </w:r>
          </w:p>
        </w:tc>
        <w:tc>
          <w:tcPr>
            <w:tcW w:type="dxa" w:w="6123"/>
            <w:shd w:val="clear" w:color="auto" w:fill="1E2A38"/>
          </w:tcPr>
          <w:p>
            <w:pPr>
              <w:spacing w:after="20"/>
            </w:pPr>
            <w:r/>
            <w:r>
              <w:rPr>
                <w:rFonts w:ascii="Montserrat" w:hAnsi="Montserrat" w:eastAsia="Montserrat"/>
                <w:b/>
                <w:i w:val="0"/>
                <w:color w:val="FFFFFF"/>
                <w:sz w:val="18"/>
              </w:rPr>
              <w:t>Esencia</w:t>
            </w:r>
          </w:p>
        </w:tc>
        <w:tc>
          <w:tcPr>
            <w:tcW w:type="dxa" w:w="1587"/>
            <w:shd w:val="clear" w:color="auto" w:fill="1E2A38"/>
          </w:tcPr>
          <w:p>
            <w:pPr>
              <w:spacing w:after="20"/>
            </w:pPr>
            <w:r/>
            <w:r>
              <w:rPr>
                <w:rFonts w:ascii="Montserrat" w:hAnsi="Montserrat" w:eastAsia="Montserrat"/>
                <w:b/>
                <w:i w:val="0"/>
                <w:color w:val="FFFFFF"/>
                <w:sz w:val="18"/>
              </w:rPr>
              <w:t>Comportamientos</w:t>
            </w:r>
          </w:p>
        </w:tc>
      </w:tr>
      <w:tr>
        <w:tc>
          <w:tcPr>
            <w:tcW w:type="dxa" w:w="1701"/>
          </w:tcPr>
          <w:p>
            <w:pPr>
              <w:spacing w:after="20"/>
            </w:pPr>
            <w:r/>
            <w:r>
              <w:rPr>
                <w:rFonts w:ascii="Montserrat" w:hAnsi="Montserrat" w:eastAsia="Montserrat"/>
                <w:b/>
                <w:i w:val="0"/>
                <w:color w:val="1E2A38"/>
                <w:sz w:val="18"/>
              </w:rPr>
              <w:t>Conexión</w:t>
            </w:r>
          </w:p>
        </w:tc>
        <w:tc>
          <w:tcPr>
            <w:tcW w:type="dxa" w:w="6123"/>
          </w:tcPr>
          <w:p>
            <w:pPr>
              <w:spacing w:after="20"/>
            </w:pPr>
            <w:r/>
            <w:r>
              <w:rPr>
                <w:rFonts w:ascii="Montserrat" w:hAnsi="Montserrat" w:eastAsia="Montserrat"/>
                <w:b w:val="0"/>
                <w:i w:val="0"/>
                <w:color w:val="1E2A38"/>
                <w:sz w:val="18"/>
              </w:rPr>
              <w:t>Inteligencia relacional en entornos de IA: crear vínculos que soporten equipos humanos en entornos acelerados</w:t>
            </w:r>
          </w:p>
        </w:tc>
        <w:tc>
          <w:tcPr>
            <w:tcW w:type="dxa" w:w="1587"/>
          </w:tcPr>
          <w:p>
            <w:pPr>
              <w:spacing w:after="20"/>
            </w:pPr>
            <w:r/>
            <w:r>
              <w:rPr>
                <w:rFonts w:ascii="Montserrat" w:hAnsi="Montserrat" w:eastAsia="Montserrat"/>
                <w:b w:val="0"/>
                <w:i w:val="0"/>
                <w:color w:val="1E2A38"/>
                <w:sz w:val="18"/>
              </w:rPr>
              <w:t>D1–D4</w:t>
            </w:r>
          </w:p>
        </w:tc>
      </w:tr>
      <w:tr>
        <w:tc>
          <w:tcPr>
            <w:tcW w:type="dxa" w:w="1701"/>
            <w:shd w:val="clear" w:color="auto" w:fill="EEF0EF"/>
          </w:tcPr>
          <w:p>
            <w:pPr>
              <w:spacing w:after="20"/>
            </w:pPr>
            <w:r/>
            <w:r>
              <w:rPr>
                <w:rFonts w:ascii="Montserrat" w:hAnsi="Montserrat" w:eastAsia="Montserrat"/>
                <w:b/>
                <w:i w:val="0"/>
                <w:color w:val="1E2A38"/>
                <w:sz w:val="18"/>
              </w:rPr>
              <w:t>Confianza</w:t>
            </w:r>
          </w:p>
        </w:tc>
        <w:tc>
          <w:tcPr>
            <w:tcW w:type="dxa" w:w="6123"/>
            <w:shd w:val="clear" w:color="auto" w:fill="EEF0EF"/>
          </w:tcPr>
          <w:p>
            <w:pPr>
              <w:spacing w:after="20"/>
            </w:pPr>
            <w:r/>
            <w:r>
              <w:rPr>
                <w:rFonts w:ascii="Montserrat" w:hAnsi="Montserrat" w:eastAsia="Montserrat"/>
                <w:b w:val="0"/>
                <w:i w:val="0"/>
                <w:color w:val="1E2A38"/>
                <w:sz w:val="18"/>
              </w:rPr>
              <w:t>Construcción de agencia y remoción de barreras para que cada persona opere con criterio propio ante la IA</w:t>
            </w:r>
          </w:p>
        </w:tc>
        <w:tc>
          <w:tcPr>
            <w:tcW w:type="dxa" w:w="1587"/>
            <w:shd w:val="clear" w:color="auto" w:fill="EEF0EF"/>
          </w:tcPr>
          <w:p>
            <w:pPr>
              <w:spacing w:after="20"/>
            </w:pPr>
            <w:r/>
            <w:r>
              <w:rPr>
                <w:rFonts w:ascii="Montserrat" w:hAnsi="Montserrat" w:eastAsia="Montserrat"/>
                <w:b w:val="0"/>
                <w:i w:val="0"/>
                <w:color w:val="1E2A38"/>
                <w:sz w:val="18"/>
              </w:rPr>
              <w:t>D5–D8</w:t>
            </w:r>
          </w:p>
        </w:tc>
      </w:tr>
      <w:tr>
        <w:tc>
          <w:tcPr>
            <w:tcW w:type="dxa" w:w="1701"/>
          </w:tcPr>
          <w:p>
            <w:pPr>
              <w:spacing w:after="20"/>
            </w:pPr>
            <w:r/>
            <w:r>
              <w:rPr>
                <w:rFonts w:ascii="Montserrat" w:hAnsi="Montserrat" w:eastAsia="Montserrat"/>
                <w:b/>
                <w:i w:val="0"/>
                <w:color w:val="1E2A38"/>
                <w:sz w:val="18"/>
              </w:rPr>
              <w:t>Coherencia</w:t>
            </w:r>
          </w:p>
        </w:tc>
        <w:tc>
          <w:tcPr>
            <w:tcW w:type="dxa" w:w="6123"/>
          </w:tcPr>
          <w:p>
            <w:pPr>
              <w:spacing w:after="20"/>
            </w:pPr>
            <w:r/>
            <w:r>
              <w:rPr>
                <w:rFonts w:ascii="Montserrat" w:hAnsi="Montserrat" w:eastAsia="Montserrat"/>
                <w:b w:val="0"/>
                <w:i w:val="0"/>
                <w:color w:val="1E2A38"/>
                <w:sz w:val="18"/>
              </w:rPr>
              <w:t>Adoptar la IA personalmente para convertirse en modelo de rol. Consistencia entre discurso y práctica</w:t>
            </w:r>
          </w:p>
        </w:tc>
        <w:tc>
          <w:tcPr>
            <w:tcW w:type="dxa" w:w="1587"/>
          </w:tcPr>
          <w:p>
            <w:pPr>
              <w:spacing w:after="20"/>
            </w:pPr>
            <w:r/>
            <w:r>
              <w:rPr>
                <w:rFonts w:ascii="Montserrat" w:hAnsi="Montserrat" w:eastAsia="Montserrat"/>
                <w:b w:val="0"/>
                <w:i w:val="0"/>
                <w:color w:val="1E2A38"/>
                <w:sz w:val="18"/>
              </w:rPr>
              <w:t>D9–D12, D21</w:t>
            </w:r>
          </w:p>
        </w:tc>
      </w:tr>
      <w:tr>
        <w:tc>
          <w:tcPr>
            <w:tcW w:type="dxa" w:w="1701"/>
            <w:shd w:val="clear" w:color="auto" w:fill="EEF0EF"/>
          </w:tcPr>
          <w:p>
            <w:pPr>
              <w:spacing w:after="20"/>
            </w:pPr>
            <w:r/>
            <w:r>
              <w:rPr>
                <w:rFonts w:ascii="Montserrat" w:hAnsi="Montserrat" w:eastAsia="Montserrat"/>
                <w:b/>
                <w:i w:val="0"/>
                <w:color w:val="1E2A38"/>
                <w:sz w:val="18"/>
              </w:rPr>
              <w:t>Cocreación</w:t>
            </w:r>
          </w:p>
        </w:tc>
        <w:tc>
          <w:tcPr>
            <w:tcW w:type="dxa" w:w="6123"/>
            <w:shd w:val="clear" w:color="auto" w:fill="EEF0EF"/>
          </w:tcPr>
          <w:p>
            <w:pPr>
              <w:spacing w:after="20"/>
            </w:pPr>
            <w:r/>
            <w:r>
              <w:rPr>
                <w:rFonts w:ascii="Montserrat" w:hAnsi="Montserrat" w:eastAsia="Montserrat"/>
                <w:b w:val="0"/>
                <w:i w:val="0"/>
                <w:color w:val="1E2A38"/>
                <w:sz w:val="18"/>
              </w:rPr>
              <w:t>Colaboración inteligente que enriquece decisiones y acelera la adopción colectiva</w:t>
            </w:r>
          </w:p>
        </w:tc>
        <w:tc>
          <w:tcPr>
            <w:tcW w:type="dxa" w:w="1587"/>
            <w:shd w:val="clear" w:color="auto" w:fill="EEF0EF"/>
          </w:tcPr>
          <w:p>
            <w:pPr>
              <w:spacing w:after="20"/>
            </w:pPr>
            <w:r/>
            <w:r>
              <w:rPr>
                <w:rFonts w:ascii="Montserrat" w:hAnsi="Montserrat" w:eastAsia="Montserrat"/>
                <w:b w:val="0"/>
                <w:i w:val="0"/>
                <w:color w:val="1E2A38"/>
                <w:sz w:val="18"/>
              </w:rPr>
              <w:t>D13–D16</w:t>
            </w:r>
          </w:p>
        </w:tc>
      </w:tr>
      <w:tr>
        <w:tc>
          <w:tcPr>
            <w:tcW w:type="dxa" w:w="1701"/>
          </w:tcPr>
          <w:p>
            <w:pPr>
              <w:spacing w:after="20"/>
            </w:pPr>
            <w:r/>
            <w:r>
              <w:rPr>
                <w:rFonts w:ascii="Montserrat" w:hAnsi="Montserrat" w:eastAsia="Montserrat"/>
                <w:b/>
                <w:i w:val="0"/>
                <w:color w:val="1E2A38"/>
                <w:sz w:val="18"/>
              </w:rPr>
              <w:t>Cuidado</w:t>
            </w:r>
          </w:p>
        </w:tc>
        <w:tc>
          <w:tcPr>
            <w:tcW w:type="dxa" w:w="6123"/>
          </w:tcPr>
          <w:p>
            <w:pPr>
              <w:spacing w:after="20"/>
            </w:pPr>
            <w:r/>
            <w:r>
              <w:rPr>
                <w:rFonts w:ascii="Montserrat" w:hAnsi="Montserrat" w:eastAsia="Montserrat"/>
                <w:b w:val="0"/>
                <w:i w:val="0"/>
                <w:color w:val="1E2A38"/>
                <w:sz w:val="18"/>
              </w:rPr>
              <w:t>Sostener la seguridad psicológica como condición para que el talento experimente con IA</w:t>
            </w:r>
          </w:p>
        </w:tc>
        <w:tc>
          <w:tcPr>
            <w:tcW w:type="dxa" w:w="1587"/>
          </w:tcPr>
          <w:p>
            <w:pPr>
              <w:spacing w:after="20"/>
            </w:pPr>
            <w:r/>
            <w:r>
              <w:rPr>
                <w:rFonts w:ascii="Montserrat" w:hAnsi="Montserrat" w:eastAsia="Montserrat"/>
                <w:b w:val="0"/>
                <w:i w:val="0"/>
                <w:color w:val="1E2A38"/>
                <w:sz w:val="18"/>
              </w:rPr>
              <w:t>D17–D20</w:t>
            </w:r>
          </w:p>
        </w:tc>
      </w:tr>
    </w:tbl>
    <w:p>
      <w:pPr>
        <w:spacing w:after="40"/>
      </w:pPr>
    </w:p>
    <w:p>
      <w:pPr>
        <w:keepNext/>
        <w:spacing w:before="220" w:after="60"/>
      </w:pPr>
      <w:r>
        <w:rPr>
          <w:rFonts w:ascii="Marcellus" w:hAnsi="Marcellus" w:eastAsia="Marcellus"/>
          <w:b w:val="0"/>
          <w:i w:val="0"/>
          <w:color w:val="1E2A38"/>
          <w:sz w:val="26"/>
        </w:rPr>
        <w:t>La escala de 4 niveles aplicada al liderazgo</w:t>
      </w:r>
    </w:p>
    <w:tbl>
      <w:tblPr>
        <w:tblStyle w:val="TableGrid"/>
        <w:tblW w:type="auto" w:w="0"/>
        <w:tblLook w:firstColumn="1" w:firstRow="1" w:lastColumn="0" w:lastRow="0" w:noHBand="0" w:noVBand="1" w:val="04A0"/>
      </w:tblPr>
      <w:tblGrid>
        <w:gridCol w:w="4873"/>
        <w:gridCol w:w="4873"/>
      </w:tblGrid>
      <w:tr>
        <w:tc>
          <w:tcPr>
            <w:tcW w:type="dxa" w:w="1701"/>
            <w:shd w:val="clear" w:color="auto" w:fill="1E2A38"/>
          </w:tcPr>
          <w:p>
            <w:pPr>
              <w:spacing w:after="20"/>
            </w:pPr>
            <w:r/>
            <w:r>
              <w:rPr>
                <w:rFonts w:ascii="Montserrat" w:hAnsi="Montserrat" w:eastAsia="Montserrat"/>
                <w:b/>
                <w:i w:val="0"/>
                <w:color w:val="FFFFFF"/>
                <w:sz w:val="18"/>
              </w:rPr>
              <w:t>Nivel</w:t>
            </w:r>
          </w:p>
        </w:tc>
        <w:tc>
          <w:tcPr>
            <w:tcW w:type="dxa" w:w="7710"/>
            <w:shd w:val="clear" w:color="auto" w:fill="1E2A38"/>
          </w:tcPr>
          <w:p>
            <w:pPr>
              <w:spacing w:after="20"/>
            </w:pPr>
            <w:r/>
            <w:r>
              <w:rPr>
                <w:rFonts w:ascii="Montserrat" w:hAnsi="Montserrat" w:eastAsia="Montserrat"/>
                <w:b/>
                <w:i w:val="0"/>
                <w:color w:val="FFFFFF"/>
                <w:sz w:val="18"/>
              </w:rPr>
              <w:t>Qué significa para una conducta de liderazgo</w:t>
            </w:r>
          </w:p>
        </w:tc>
      </w:tr>
      <w:tr>
        <w:tc>
          <w:tcPr>
            <w:tcW w:type="dxa" w:w="1701"/>
            <w:shd w:val="clear" w:color="auto" w:fill="C2593F"/>
          </w:tcPr>
          <w:p>
            <w:pPr>
              <w:spacing w:after="20"/>
            </w:pPr>
            <w:r/>
            <w:r>
              <w:rPr>
                <w:rFonts w:ascii="Montserrat" w:hAnsi="Montserrat" w:eastAsia="Montserrat"/>
                <w:b/>
                <w:i w:val="0"/>
                <w:color w:val="FFFFFF"/>
                <w:sz w:val="18"/>
              </w:rPr>
              <w:t>Cautela</w:t>
            </w:r>
          </w:p>
        </w:tc>
        <w:tc>
          <w:tcPr>
            <w:tcW w:type="dxa" w:w="7710"/>
          </w:tcPr>
          <w:p>
            <w:pPr>
              <w:spacing w:after="20"/>
            </w:pPr>
            <w:r/>
            <w:r>
              <w:rPr>
                <w:rFonts w:ascii="Montserrat" w:hAnsi="Montserrat" w:eastAsia="Montserrat"/>
                <w:b w:val="0"/>
                <w:i w:val="0"/>
                <w:color w:val="1E2A38"/>
                <w:sz w:val="18"/>
              </w:rPr>
              <w:t>La conducta habilitante está ausente. El equipo no observa que el liderazgo modele el uso de IA, remueva barreras o genere condiciones para experimentar. La ausencia tiene efecto de señal: si el liderazgo no lo hace, el equipo interpreta que no es prioritario o que no es seguro.</w:t>
            </w:r>
          </w:p>
        </w:tc>
      </w:tr>
      <w:tr>
        <w:tc>
          <w:tcPr>
            <w:tcW w:type="dxa" w:w="1701"/>
            <w:shd w:val="clear" w:color="auto" w:fill="E67E22"/>
          </w:tcPr>
          <w:p>
            <w:pPr>
              <w:spacing w:after="20"/>
            </w:pPr>
            <w:r/>
            <w:r>
              <w:rPr>
                <w:rFonts w:ascii="Montserrat" w:hAnsi="Montserrat" w:eastAsia="Montserrat"/>
                <w:b/>
                <w:i w:val="0"/>
                <w:color w:val="FFFFFF"/>
                <w:sz w:val="18"/>
              </w:rPr>
              <w:t>Vulnerable</w:t>
            </w:r>
          </w:p>
        </w:tc>
        <w:tc>
          <w:tcPr>
            <w:tcW w:type="dxa" w:w="7710"/>
            <w:shd w:val="clear" w:color="auto" w:fill="EEF0EF"/>
          </w:tcPr>
          <w:p>
            <w:pPr>
              <w:spacing w:after="20"/>
            </w:pPr>
            <w:r/>
            <w:r>
              <w:rPr>
                <w:rFonts w:ascii="Montserrat" w:hAnsi="Montserrat" w:eastAsia="Montserrat"/>
                <w:b w:val="0"/>
                <w:i w:val="0"/>
                <w:color w:val="1E2A38"/>
                <w:sz w:val="18"/>
              </w:rPr>
              <w:t>La conducta es intermitente o inconsistente. El liderazgo muestra compromiso en ciertos espacios formales pero no en la práctica cotidiana. El equipo recibe señales mixtas.</w:t>
            </w:r>
          </w:p>
        </w:tc>
      </w:tr>
      <w:tr>
        <w:tc>
          <w:tcPr>
            <w:tcW w:type="dxa" w:w="1701"/>
            <w:shd w:val="clear" w:color="auto" w:fill="F4A500"/>
          </w:tcPr>
          <w:p>
            <w:pPr>
              <w:spacing w:after="20"/>
            </w:pPr>
            <w:r/>
            <w:r>
              <w:rPr>
                <w:rFonts w:ascii="Montserrat" w:hAnsi="Montserrat" w:eastAsia="Montserrat"/>
                <w:b/>
                <w:i w:val="0"/>
                <w:color w:val="1E2A38"/>
                <w:sz w:val="18"/>
              </w:rPr>
              <w:t>Diestro</w:t>
            </w:r>
          </w:p>
        </w:tc>
        <w:tc>
          <w:tcPr>
            <w:tcW w:type="dxa" w:w="7710"/>
          </w:tcPr>
          <w:p>
            <w:pPr>
              <w:spacing w:after="20"/>
            </w:pPr>
            <w:r/>
            <w:r>
              <w:rPr>
                <w:rFonts w:ascii="Montserrat" w:hAnsi="Montserrat" w:eastAsia="Montserrat"/>
                <w:b w:val="0"/>
                <w:i w:val="0"/>
                <w:color w:val="1E2A38"/>
                <w:sz w:val="18"/>
              </w:rPr>
              <w:t>La conducta está presente y es confiable. El equipo observa consistencia entre lo que el liderazgo comunica y lo que hace.</w:t>
            </w:r>
          </w:p>
        </w:tc>
      </w:tr>
      <w:tr>
        <w:tc>
          <w:tcPr>
            <w:tcW w:type="dxa" w:w="1701"/>
            <w:shd w:val="clear" w:color="auto" w:fill="2E8B76"/>
          </w:tcPr>
          <w:p>
            <w:pPr>
              <w:spacing w:after="20"/>
            </w:pPr>
            <w:r/>
            <w:r>
              <w:rPr>
                <w:rFonts w:ascii="Montserrat" w:hAnsi="Montserrat" w:eastAsia="Montserrat"/>
                <w:b/>
                <w:i w:val="0"/>
                <w:color w:val="FFFFFF"/>
                <w:sz w:val="18"/>
              </w:rPr>
              <w:t>Óptimo</w:t>
            </w:r>
          </w:p>
        </w:tc>
        <w:tc>
          <w:tcPr>
            <w:tcW w:type="dxa" w:w="7710"/>
            <w:shd w:val="clear" w:color="auto" w:fill="EEF0EF"/>
          </w:tcPr>
          <w:p>
            <w:pPr>
              <w:spacing w:after="20"/>
            </w:pPr>
            <w:r/>
            <w:r>
              <w:rPr>
                <w:rFonts w:ascii="Montserrat" w:hAnsi="Montserrat" w:eastAsia="Montserrat"/>
                <w:b w:val="0"/>
                <w:i w:val="0"/>
                <w:color w:val="1E2A38"/>
                <w:sz w:val="18"/>
              </w:rPr>
              <w:t>La conducta es ejemplar y contagia. El liderazgo es referente activo de adopción y crea condiciones para que el equipo experimente.</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C3 — Resultados en el constructo nativo (Capa 1)</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Resultados por cada una de las cinco competencias y los comportamientos de mayor relevancia diagnóstica. Los comportamientos se identifican por su código (D1–D21) para preservar la capa protegida del instrumento.</w:t>
            </w:r>
          </w:p>
        </w:tc>
      </w:tr>
    </w:tbl>
    <w:p>
      <w:pPr>
        <w:spacing w:after="40"/>
      </w:pPr>
    </w:p>
    <w:tbl>
      <w:tblPr>
        <w:tblStyle w:val="TableGrid"/>
        <w:tblW w:type="auto" w:w="0"/>
        <w:tblLook w:firstColumn="1" w:firstRow="1" w:lastColumn="0" w:lastRow="0" w:noHBand="0" w:noVBand="1" w:val="04A0"/>
      </w:tblPr>
      <w:tblGrid>
        <w:gridCol w:w="3249"/>
        <w:gridCol w:w="3249"/>
        <w:gridCol w:w="3249"/>
      </w:tblGrid>
      <w:tr>
        <w:tc>
          <w:tcPr>
            <w:tcW w:type="dxa" w:w="2494"/>
            <w:shd w:val="clear" w:color="auto" w:fill="1E2A38"/>
          </w:tcPr>
          <w:p>
            <w:pPr>
              <w:spacing w:after="20"/>
            </w:pPr>
            <w:r/>
            <w:r>
              <w:rPr>
                <w:rFonts w:ascii="Montserrat" w:hAnsi="Montserrat" w:eastAsia="Montserrat"/>
                <w:b/>
                <w:i w:val="0"/>
                <w:color w:val="FFFFFF"/>
                <w:sz w:val="18"/>
              </w:rPr>
              <w:t>Competencia</w:t>
            </w:r>
          </w:p>
        </w:tc>
        <w:tc>
          <w:tcPr>
            <w:tcW w:type="dxa" w:w="2041"/>
            <w:shd w:val="clear" w:color="auto" w:fill="1E2A38"/>
          </w:tcPr>
          <w:p>
            <w:pPr>
              <w:spacing w:after="20"/>
            </w:pPr>
            <w:r/>
            <w:r>
              <w:rPr>
                <w:rFonts w:ascii="Montserrat" w:hAnsi="Montserrat" w:eastAsia="Montserrat"/>
                <w:b/>
                <w:i w:val="0"/>
                <w:color w:val="FFFFFF"/>
                <w:sz w:val="18"/>
              </w:rPr>
              <w:t>Resultado agregado</w:t>
            </w:r>
          </w:p>
        </w:tc>
        <w:tc>
          <w:tcPr>
            <w:tcW w:type="dxa" w:w="4876"/>
            <w:shd w:val="clear" w:color="auto" w:fill="1E2A38"/>
          </w:tcPr>
          <w:p>
            <w:pPr>
              <w:spacing w:after="20"/>
            </w:pPr>
            <w:r/>
            <w:r>
              <w:rPr>
                <w:rFonts w:ascii="Montserrat" w:hAnsi="Montserrat" w:eastAsia="Montserrat"/>
                <w:b/>
                <w:i w:val="0"/>
                <w:color w:val="FFFFFF"/>
                <w:sz w:val="18"/>
              </w:rPr>
              <w:t>Comportamientos de mayor relevancia</w:t>
            </w:r>
          </w:p>
        </w:tc>
      </w:tr>
      <w:tr>
        <w:tc>
          <w:tcPr>
            <w:tcW w:type="dxa" w:w="2494"/>
          </w:tcPr>
          <w:p>
            <w:pPr>
              <w:spacing w:after="20"/>
            </w:pPr>
            <w:r/>
            <w:r>
              <w:rPr>
                <w:rFonts w:ascii="Montserrat" w:hAnsi="Montserrat" w:eastAsia="Montserrat"/>
                <w:b/>
                <w:i w:val="0"/>
                <w:color w:val="1E2A38"/>
                <w:sz w:val="18"/>
              </w:rPr>
              <w:t>Conexión (D1–D4)</w:t>
            </w:r>
          </w:p>
        </w:tc>
        <w:tc>
          <w:tcPr>
            <w:tcW w:type="dxa" w:w="2041"/>
            <w:shd w:val="clear" w:color="auto" w:fill="E67E22"/>
          </w:tcPr>
          <w:p>
            <w:pPr>
              <w:spacing w:after="20"/>
            </w:pPr>
            <w:r/>
            <w:r>
              <w:rPr>
                <w:rFonts w:ascii="Montserrat" w:hAnsi="Montserrat" w:eastAsia="Montserrat"/>
                <w:b/>
                <w:i w:val="0"/>
                <w:color w:val="FFFFFF"/>
                <w:sz w:val="18"/>
              </w:rPr>
              <w:t>Vulnerable</w:t>
            </w:r>
          </w:p>
        </w:tc>
        <w:tc>
          <w:tcPr>
            <w:tcW w:type="dxa" w:w="4876"/>
          </w:tcPr>
          <w:p>
            <w:pPr>
              <w:spacing w:after="20"/>
            </w:pPr>
            <w:r/>
            <w:r>
              <w:rPr>
                <w:rFonts w:ascii="Montserrat" w:hAnsi="Montserrat" w:eastAsia="Montserrat"/>
                <w:b w:val="0"/>
                <w:i w:val="0"/>
                <w:color w:val="1E2A38"/>
                <w:sz w:val="18"/>
              </w:rPr>
              <w:t>Relación básica sin activación específica para la adopción de IA. No es el área de mayor urgencia</w:t>
            </w:r>
          </w:p>
        </w:tc>
      </w:tr>
      <w:tr>
        <w:tc>
          <w:tcPr>
            <w:tcW w:type="dxa" w:w="2494"/>
            <w:shd w:val="clear" w:color="auto" w:fill="EEF0EF"/>
          </w:tcPr>
          <w:p>
            <w:pPr>
              <w:spacing w:after="20"/>
            </w:pPr>
            <w:r/>
            <w:r>
              <w:rPr>
                <w:rFonts w:ascii="Montserrat" w:hAnsi="Montserrat" w:eastAsia="Montserrat"/>
                <w:b/>
                <w:i w:val="0"/>
                <w:color w:val="1E2A38"/>
                <w:sz w:val="18"/>
              </w:rPr>
              <w:t>Confianza (D5–D8)</w:t>
            </w:r>
          </w:p>
        </w:tc>
        <w:tc>
          <w:tcPr>
            <w:tcW w:type="dxa" w:w="2041"/>
            <w:shd w:val="clear" w:color="auto" w:fill="EEF0EF"/>
          </w:tcPr>
          <w:p>
            <w:pPr>
              <w:spacing w:after="20"/>
            </w:pPr>
            <w:r/>
            <w:r>
              <w:rPr>
                <w:rFonts w:ascii="Montserrat" w:hAnsi="Montserrat" w:eastAsia="Montserrat"/>
                <w:b w:val="0"/>
                <w:i w:val="0"/>
                <w:color w:val="1E2A38"/>
                <w:sz w:val="18"/>
              </w:rPr>
              <w:t>Cautela-Vulnerable</w:t>
            </w:r>
          </w:p>
        </w:tc>
        <w:tc>
          <w:tcPr>
            <w:tcW w:type="dxa" w:w="4876"/>
            <w:shd w:val="clear" w:color="auto" w:fill="EEF0EF"/>
          </w:tcPr>
          <w:p>
            <w:pPr>
              <w:spacing w:after="20"/>
            </w:pPr>
            <w:r/>
            <w:r>
              <w:rPr>
                <w:rFonts w:ascii="Montserrat" w:hAnsi="Montserrat" w:eastAsia="Montserrat"/>
                <w:b w:val="0"/>
                <w:i w:val="0"/>
                <w:color w:val="1E2A38"/>
                <w:sz w:val="18"/>
              </w:rPr>
              <w:t>D7 y D8 en Cautela</w:t>
            </w:r>
          </w:p>
        </w:tc>
      </w:tr>
      <w:tr>
        <w:tc>
          <w:tcPr>
            <w:tcW w:type="dxa" w:w="2494"/>
          </w:tcPr>
          <w:p>
            <w:pPr>
              <w:spacing w:after="20"/>
            </w:pPr>
            <w:r/>
            <w:r>
              <w:rPr>
                <w:rFonts w:ascii="Montserrat" w:hAnsi="Montserrat" w:eastAsia="Montserrat"/>
                <w:b/>
                <w:i w:val="0"/>
                <w:color w:val="1E2A38"/>
                <w:sz w:val="18"/>
              </w:rPr>
              <w:t>Coherencia (D9–D12, D21)</w:t>
            </w:r>
          </w:p>
        </w:tc>
        <w:tc>
          <w:tcPr>
            <w:tcW w:type="dxa" w:w="2041"/>
          </w:tcPr>
          <w:p>
            <w:pPr>
              <w:spacing w:after="20"/>
            </w:pPr>
            <w:r/>
            <w:r>
              <w:rPr>
                <w:rFonts w:ascii="Montserrat" w:hAnsi="Montserrat" w:eastAsia="Montserrat"/>
                <w:b w:val="0"/>
                <w:i w:val="0"/>
                <w:color w:val="1E2A38"/>
                <w:sz w:val="18"/>
              </w:rPr>
              <w:t>Vulnerable-Diestro</w:t>
            </w:r>
          </w:p>
        </w:tc>
        <w:tc>
          <w:tcPr>
            <w:tcW w:type="dxa" w:w="4876"/>
          </w:tcPr>
          <w:p>
            <w:pPr>
              <w:spacing w:after="20"/>
            </w:pPr>
            <w:r/>
            <w:r>
              <w:rPr>
                <w:rFonts w:ascii="Montserrat" w:hAnsi="Montserrat" w:eastAsia="Montserrat"/>
                <w:b w:val="0"/>
                <w:i w:val="0"/>
                <w:color w:val="1E2A38"/>
                <w:sz w:val="18"/>
              </w:rPr>
              <w:t>D21 en Diestro; D9 y D12 en Vulnerable</w:t>
            </w:r>
          </w:p>
        </w:tc>
      </w:tr>
      <w:tr>
        <w:tc>
          <w:tcPr>
            <w:tcW w:type="dxa" w:w="2494"/>
            <w:shd w:val="clear" w:color="auto" w:fill="EEF0EF"/>
          </w:tcPr>
          <w:p>
            <w:pPr>
              <w:spacing w:after="20"/>
            </w:pPr>
            <w:r/>
            <w:r>
              <w:rPr>
                <w:rFonts w:ascii="Montserrat" w:hAnsi="Montserrat" w:eastAsia="Montserrat"/>
                <w:b/>
                <w:i w:val="0"/>
                <w:color w:val="1E2A38"/>
                <w:sz w:val="18"/>
              </w:rPr>
              <w:t>Cocreación (D13–D16)</w:t>
            </w:r>
          </w:p>
        </w:tc>
        <w:tc>
          <w:tcPr>
            <w:tcW w:type="dxa" w:w="2041"/>
            <w:shd w:val="clear" w:color="auto" w:fill="EEF0EF"/>
          </w:tcPr>
          <w:p>
            <w:pPr>
              <w:spacing w:after="20"/>
            </w:pPr>
            <w:r/>
            <w:r>
              <w:rPr>
                <w:rFonts w:ascii="Montserrat" w:hAnsi="Montserrat" w:eastAsia="Montserrat"/>
                <w:b w:val="0"/>
                <w:i w:val="0"/>
                <w:color w:val="1E2A38"/>
                <w:sz w:val="18"/>
              </w:rPr>
              <w:t>Cautela-Vulnerable</w:t>
            </w:r>
          </w:p>
        </w:tc>
        <w:tc>
          <w:tcPr>
            <w:tcW w:type="dxa" w:w="4876"/>
            <w:shd w:val="clear" w:color="auto" w:fill="EEF0EF"/>
          </w:tcPr>
          <w:p>
            <w:pPr>
              <w:spacing w:after="20"/>
            </w:pPr>
            <w:r/>
            <w:r>
              <w:rPr>
                <w:rFonts w:ascii="Montserrat" w:hAnsi="Montserrat" w:eastAsia="Montserrat"/>
                <w:b w:val="0"/>
                <w:i w:val="0"/>
                <w:color w:val="1E2A38"/>
                <w:sz w:val="18"/>
              </w:rPr>
              <w:t>D16 en Cautela</w:t>
            </w:r>
          </w:p>
        </w:tc>
      </w:tr>
      <w:tr>
        <w:tc>
          <w:tcPr>
            <w:tcW w:type="dxa" w:w="2494"/>
          </w:tcPr>
          <w:p>
            <w:pPr>
              <w:spacing w:after="20"/>
            </w:pPr>
            <w:r/>
            <w:r>
              <w:rPr>
                <w:rFonts w:ascii="Montserrat" w:hAnsi="Montserrat" w:eastAsia="Montserrat"/>
                <w:b/>
                <w:i w:val="0"/>
                <w:color w:val="1E2A38"/>
                <w:sz w:val="18"/>
              </w:rPr>
              <w:t>Cuidado (D17–D20)</w:t>
            </w:r>
          </w:p>
        </w:tc>
        <w:tc>
          <w:tcPr>
            <w:tcW w:type="dxa" w:w="2041"/>
          </w:tcPr>
          <w:p>
            <w:pPr>
              <w:spacing w:after="20"/>
            </w:pPr>
            <w:r/>
            <w:r>
              <w:rPr>
                <w:rFonts w:ascii="Montserrat" w:hAnsi="Montserrat" w:eastAsia="Montserrat"/>
                <w:b w:val="0"/>
                <w:i w:val="0"/>
                <w:color w:val="1E2A38"/>
                <w:sz w:val="18"/>
              </w:rPr>
              <w:t>Cautela-Vulnerable</w:t>
            </w:r>
          </w:p>
        </w:tc>
        <w:tc>
          <w:tcPr>
            <w:tcW w:type="dxa" w:w="4876"/>
          </w:tcPr>
          <w:p>
            <w:pPr>
              <w:spacing w:after="20"/>
            </w:pPr>
            <w:r/>
            <w:r>
              <w:rPr>
                <w:rFonts w:ascii="Montserrat" w:hAnsi="Montserrat" w:eastAsia="Montserrat"/>
                <w:b w:val="0"/>
                <w:i w:val="0"/>
                <w:color w:val="1E2A38"/>
                <w:sz w:val="18"/>
              </w:rPr>
              <w:t>D19 en Cautela</w:t>
            </w:r>
          </w:p>
        </w:tc>
      </w:tr>
    </w:tbl>
    <w:p>
      <w:pPr>
        <w:spacing w:after="40"/>
      </w:pPr>
    </w:p>
    <w:p>
      <w:pPr>
        <w:keepNext/>
        <w:spacing w:before="220" w:after="60"/>
      </w:pPr>
      <w:r>
        <w:rPr>
          <w:rFonts w:ascii="Marcellus" w:hAnsi="Marcellus" w:eastAsia="Marcellus"/>
          <w:b w:val="0"/>
          <w:i w:val="0"/>
          <w:color w:val="1E2A38"/>
          <w:sz w:val="26"/>
        </w:rPr>
        <w:t>Comportamientos de relevancia diagnóstica</w:t>
      </w:r>
    </w:p>
    <w:tbl>
      <w:tblPr>
        <w:tblStyle w:val="TableGrid"/>
        <w:tblW w:type="auto" w:w="0"/>
        <w:tblLook w:firstColumn="1" w:firstRow="1" w:lastColumn="0" w:lastRow="0" w:noHBand="0" w:noVBand="1" w:val="04A0"/>
      </w:tblPr>
      <w:tblGrid>
        <w:gridCol w:w="2436"/>
        <w:gridCol w:w="2436"/>
        <w:gridCol w:w="2436"/>
        <w:gridCol w:w="2436"/>
      </w:tblGrid>
      <w:tr>
        <w:tc>
          <w:tcPr>
            <w:tcW w:type="dxa" w:w="794"/>
            <w:shd w:val="clear" w:color="auto" w:fill="1E2A38"/>
          </w:tcPr>
          <w:p>
            <w:pPr>
              <w:spacing w:after="20"/>
            </w:pPr>
            <w:r/>
            <w:r>
              <w:rPr>
                <w:rFonts w:ascii="Montserrat" w:hAnsi="Montserrat" w:eastAsia="Montserrat"/>
                <w:b/>
                <w:i w:val="0"/>
                <w:color w:val="FFFFFF"/>
                <w:sz w:val="17"/>
              </w:rPr>
              <w:t>Comp.</w:t>
            </w:r>
          </w:p>
        </w:tc>
        <w:tc>
          <w:tcPr>
            <w:tcW w:type="dxa" w:w="2948"/>
            <w:shd w:val="clear" w:color="auto" w:fill="1E2A38"/>
          </w:tcPr>
          <w:p>
            <w:pPr>
              <w:spacing w:after="20"/>
            </w:pPr>
            <w:r/>
            <w:r>
              <w:rPr>
                <w:rFonts w:ascii="Montserrat" w:hAnsi="Montserrat" w:eastAsia="Montserrat"/>
                <w:b/>
                <w:i w:val="0"/>
                <w:color w:val="FFFFFF"/>
                <w:sz w:val="17"/>
              </w:rPr>
              <w:t>Constructo</w:t>
            </w:r>
          </w:p>
        </w:tc>
        <w:tc>
          <w:tcPr>
            <w:tcW w:type="dxa" w:w="1361"/>
            <w:shd w:val="clear" w:color="auto" w:fill="1E2A38"/>
          </w:tcPr>
          <w:p>
            <w:pPr>
              <w:spacing w:after="20"/>
            </w:pPr>
            <w:r/>
            <w:r>
              <w:rPr>
                <w:rFonts w:ascii="Montserrat" w:hAnsi="Montserrat" w:eastAsia="Montserrat"/>
                <w:b/>
                <w:i w:val="0"/>
                <w:color w:val="FFFFFF"/>
                <w:sz w:val="17"/>
              </w:rPr>
              <w:t>Nivel</w:t>
            </w:r>
          </w:p>
        </w:tc>
        <w:tc>
          <w:tcPr>
            <w:tcW w:type="dxa" w:w="4309"/>
            <w:shd w:val="clear" w:color="auto" w:fill="1E2A38"/>
          </w:tcPr>
          <w:p>
            <w:pPr>
              <w:spacing w:after="20"/>
            </w:pPr>
            <w:r/>
            <w:r>
              <w:rPr>
                <w:rFonts w:ascii="Montserrat" w:hAnsi="Montserrat" w:eastAsia="Montserrat"/>
                <w:b/>
                <w:i w:val="0"/>
                <w:color w:val="FFFFFF"/>
                <w:sz w:val="17"/>
              </w:rPr>
              <w:t>Nota</w:t>
            </w:r>
          </w:p>
        </w:tc>
      </w:tr>
      <w:tr>
        <w:tc>
          <w:tcPr>
            <w:tcW w:type="dxa" w:w="794"/>
          </w:tcPr>
          <w:p>
            <w:pPr>
              <w:spacing w:after="20"/>
            </w:pPr>
            <w:r/>
            <w:r>
              <w:rPr>
                <w:rFonts w:ascii="Montserrat" w:hAnsi="Montserrat" w:eastAsia="Montserrat"/>
                <w:b/>
                <w:i w:val="0"/>
                <w:color w:val="1E2A38"/>
                <w:sz w:val="17"/>
              </w:rPr>
              <w:t>D7</w:t>
            </w:r>
          </w:p>
        </w:tc>
        <w:tc>
          <w:tcPr>
            <w:tcW w:type="dxa" w:w="2948"/>
          </w:tcPr>
          <w:p>
            <w:pPr>
              <w:spacing w:after="20"/>
            </w:pPr>
            <w:r/>
            <w:r>
              <w:rPr>
                <w:rFonts w:ascii="Montserrat" w:hAnsi="Montserrat" w:eastAsia="Montserrat"/>
                <w:b w:val="0"/>
                <w:i w:val="0"/>
                <w:color w:val="1E2A38"/>
                <w:sz w:val="17"/>
              </w:rPr>
              <w:t>Facilitación del aprendizaje entre pares sobre IA</w:t>
            </w:r>
          </w:p>
        </w:tc>
        <w:tc>
          <w:tcPr>
            <w:tcW w:type="dxa" w:w="1361"/>
            <w:shd w:val="clear" w:color="auto" w:fill="C2593F"/>
          </w:tcPr>
          <w:p>
            <w:pPr>
              <w:spacing w:after="20"/>
            </w:pPr>
            <w:r/>
            <w:r>
              <w:rPr>
                <w:rFonts w:ascii="Montserrat" w:hAnsi="Montserrat" w:eastAsia="Montserrat"/>
                <w:b/>
                <w:i w:val="0"/>
                <w:color w:val="FFFFFF"/>
                <w:sz w:val="17"/>
              </w:rPr>
              <w:t>Cautela</w:t>
            </w:r>
          </w:p>
        </w:tc>
        <w:tc>
          <w:tcPr>
            <w:tcW w:type="dxa" w:w="4309"/>
          </w:tcPr>
          <w:p>
            <w:pPr>
              <w:spacing w:after="20"/>
            </w:pPr>
            <w:r/>
            <w:r>
              <w:rPr>
                <w:rFonts w:ascii="Montserrat" w:hAnsi="Montserrat" w:eastAsia="Montserrat"/>
                <w:b w:val="0"/>
                <w:i w:val="0"/>
                <w:color w:val="1E2A38"/>
                <w:sz w:val="17"/>
              </w:rPr>
              <w:t>Hay conversaciones informales dentro de cada equipo; el liderazgo no ha diseñado espacios para que el aprendizaje circule entre equipos</w:t>
            </w:r>
          </w:p>
        </w:tc>
      </w:tr>
      <w:tr>
        <w:tc>
          <w:tcPr>
            <w:tcW w:type="dxa" w:w="794"/>
            <w:shd w:val="clear" w:color="auto" w:fill="EEF0EF"/>
          </w:tcPr>
          <w:p>
            <w:pPr>
              <w:spacing w:after="20"/>
            </w:pPr>
            <w:r/>
            <w:r>
              <w:rPr>
                <w:rFonts w:ascii="Montserrat" w:hAnsi="Montserrat" w:eastAsia="Montserrat"/>
                <w:b/>
                <w:i w:val="0"/>
                <w:color w:val="1E2A38"/>
                <w:sz w:val="17"/>
              </w:rPr>
              <w:t>D8</w:t>
            </w:r>
          </w:p>
        </w:tc>
        <w:tc>
          <w:tcPr>
            <w:tcW w:type="dxa" w:w="2948"/>
            <w:shd w:val="clear" w:color="auto" w:fill="EEF0EF"/>
          </w:tcPr>
          <w:p>
            <w:pPr>
              <w:spacing w:after="20"/>
            </w:pPr>
            <w:r/>
            <w:r>
              <w:rPr>
                <w:rFonts w:ascii="Montserrat" w:hAnsi="Montserrat" w:eastAsia="Montserrat"/>
                <w:b w:val="0"/>
                <w:i w:val="0"/>
                <w:color w:val="1E2A38"/>
                <w:sz w:val="17"/>
              </w:rPr>
              <w:t>Conducta del liderazgo al remover fricciones de adopción</w:t>
            </w:r>
          </w:p>
        </w:tc>
        <w:tc>
          <w:tcPr>
            <w:tcW w:type="dxa" w:w="1361"/>
            <w:shd w:val="clear" w:color="auto" w:fill="C2593F"/>
          </w:tcPr>
          <w:p>
            <w:pPr>
              <w:spacing w:after="20"/>
            </w:pPr>
            <w:r/>
            <w:r>
              <w:rPr>
                <w:rFonts w:ascii="Montserrat" w:hAnsi="Montserrat" w:eastAsia="Montserrat"/>
                <w:b/>
                <w:i w:val="0"/>
                <w:color w:val="FFFFFF"/>
                <w:sz w:val="17"/>
              </w:rPr>
              <w:t>Cautela</w:t>
            </w:r>
          </w:p>
        </w:tc>
        <w:tc>
          <w:tcPr>
            <w:tcW w:type="dxa" w:w="4309"/>
            <w:shd w:val="clear" w:color="auto" w:fill="EEF0EF"/>
          </w:tcPr>
          <w:p>
            <w:pPr>
              <w:spacing w:after="20"/>
            </w:pPr>
            <w:r/>
            <w:r>
              <w:rPr>
                <w:rFonts w:ascii="Montserrat" w:hAnsi="Montserrat" w:eastAsia="Montserrat"/>
                <w:b w:val="0"/>
                <w:i w:val="0"/>
                <w:color w:val="1E2A38"/>
                <w:sz w:val="17"/>
              </w:rPr>
              <w:t>El liderazgo no está eliminando las barreras prácticas que el equipo encuentra. Ningún actor las ha convertido en problema propio</w:t>
            </w:r>
          </w:p>
        </w:tc>
      </w:tr>
      <w:tr>
        <w:tc>
          <w:tcPr>
            <w:tcW w:type="dxa" w:w="794"/>
          </w:tcPr>
          <w:p>
            <w:pPr>
              <w:spacing w:after="20"/>
            </w:pPr>
            <w:r/>
            <w:r>
              <w:rPr>
                <w:rFonts w:ascii="Montserrat" w:hAnsi="Montserrat" w:eastAsia="Montserrat"/>
                <w:b/>
                <w:i w:val="0"/>
                <w:color w:val="1E2A38"/>
                <w:sz w:val="17"/>
              </w:rPr>
              <w:t>D9</w:t>
            </w:r>
          </w:p>
        </w:tc>
        <w:tc>
          <w:tcPr>
            <w:tcW w:type="dxa" w:w="2948"/>
          </w:tcPr>
          <w:p>
            <w:pPr>
              <w:spacing w:after="20"/>
            </w:pPr>
            <w:r/>
            <w:r>
              <w:rPr>
                <w:rFonts w:ascii="Montserrat" w:hAnsi="Montserrat" w:eastAsia="Montserrat"/>
                <w:b w:val="0"/>
                <w:i w:val="0"/>
                <w:color w:val="1E2A38"/>
                <w:sz w:val="17"/>
              </w:rPr>
              <w:t>Uso personal de IA por el liderazgo en su flujo de trabajo</w:t>
            </w:r>
          </w:p>
        </w:tc>
        <w:tc>
          <w:tcPr>
            <w:tcW w:type="dxa" w:w="1361"/>
            <w:shd w:val="clear" w:color="auto" w:fill="E67E22"/>
          </w:tcPr>
          <w:p>
            <w:pPr>
              <w:spacing w:after="20"/>
            </w:pPr>
            <w:r/>
            <w:r>
              <w:rPr>
                <w:rFonts w:ascii="Montserrat" w:hAnsi="Montserrat" w:eastAsia="Montserrat"/>
                <w:b/>
                <w:i w:val="0"/>
                <w:color w:val="FFFFFF"/>
                <w:sz w:val="17"/>
              </w:rPr>
              <w:t>Vulnerable</w:t>
            </w:r>
          </w:p>
        </w:tc>
        <w:tc>
          <w:tcPr>
            <w:tcW w:type="dxa" w:w="4309"/>
          </w:tcPr>
          <w:p>
            <w:pPr>
              <w:spacing w:after="20"/>
            </w:pPr>
            <w:r/>
            <w:r>
              <w:rPr>
                <w:rFonts w:ascii="Montserrat" w:hAnsi="Montserrat" w:eastAsia="Montserrat"/>
                <w:b w:val="0"/>
                <w:i w:val="0"/>
                <w:color w:val="1E2A38"/>
                <w:sz w:val="17"/>
              </w:rPr>
              <w:t>El equipo observa uso ocasional o reactivo; la exposición fue visible en un evento puntual pero no se traduce en práctica regular</w:t>
            </w:r>
          </w:p>
        </w:tc>
      </w:tr>
      <w:tr>
        <w:tc>
          <w:tcPr>
            <w:tcW w:type="dxa" w:w="794"/>
            <w:shd w:val="clear" w:color="auto" w:fill="EEF0EF"/>
          </w:tcPr>
          <w:p>
            <w:pPr>
              <w:spacing w:after="20"/>
            </w:pPr>
            <w:r/>
            <w:r>
              <w:rPr>
                <w:rFonts w:ascii="Montserrat" w:hAnsi="Montserrat" w:eastAsia="Montserrat"/>
                <w:b/>
                <w:i w:val="0"/>
                <w:color w:val="1E2A38"/>
                <w:sz w:val="17"/>
              </w:rPr>
              <w:t>D12</w:t>
            </w:r>
          </w:p>
        </w:tc>
        <w:tc>
          <w:tcPr>
            <w:tcW w:type="dxa" w:w="2948"/>
            <w:shd w:val="clear" w:color="auto" w:fill="EEF0EF"/>
          </w:tcPr>
          <w:p>
            <w:pPr>
              <w:spacing w:after="20"/>
            </w:pPr>
            <w:r/>
            <w:r>
              <w:rPr>
                <w:rFonts w:ascii="Montserrat" w:hAnsi="Montserrat" w:eastAsia="Montserrat"/>
                <w:b w:val="0"/>
                <w:i w:val="0"/>
                <w:color w:val="1E2A38"/>
                <w:sz w:val="17"/>
              </w:rPr>
              <w:t>Consistencia entre el discurso de datos/IA y las decisiones visibles</w:t>
            </w:r>
          </w:p>
        </w:tc>
        <w:tc>
          <w:tcPr>
            <w:tcW w:type="dxa" w:w="1361"/>
            <w:shd w:val="clear" w:color="auto" w:fill="E67E22"/>
          </w:tcPr>
          <w:p>
            <w:pPr>
              <w:spacing w:after="20"/>
            </w:pPr>
            <w:r/>
            <w:r>
              <w:rPr>
                <w:rFonts w:ascii="Montserrat" w:hAnsi="Montserrat" w:eastAsia="Montserrat"/>
                <w:b/>
                <w:i w:val="0"/>
                <w:color w:val="FFFFFF"/>
                <w:sz w:val="17"/>
              </w:rPr>
              <w:t>Vulnerable</w:t>
            </w:r>
          </w:p>
        </w:tc>
        <w:tc>
          <w:tcPr>
            <w:tcW w:type="dxa" w:w="4309"/>
            <w:shd w:val="clear" w:color="auto" w:fill="EEF0EF"/>
          </w:tcPr>
          <w:p>
            <w:pPr>
              <w:spacing w:after="20"/>
            </w:pPr>
            <w:r/>
            <w:r>
              <w:rPr>
                <w:rFonts w:ascii="Montserrat" w:hAnsi="Montserrat" w:eastAsia="Montserrat"/>
                <w:b w:val="0"/>
                <w:i w:val="0"/>
                <w:color w:val="1E2A38"/>
                <w:sz w:val="17"/>
              </w:rPr>
              <w:t>Casos en que las recomendaciones basadas en datos no se traducen en decisiones alineadas</w:t>
            </w:r>
          </w:p>
        </w:tc>
      </w:tr>
      <w:tr>
        <w:tc>
          <w:tcPr>
            <w:tcW w:type="dxa" w:w="794"/>
          </w:tcPr>
          <w:p>
            <w:pPr>
              <w:spacing w:after="20"/>
            </w:pPr>
            <w:r/>
            <w:r>
              <w:rPr>
                <w:rFonts w:ascii="Montserrat" w:hAnsi="Montserrat" w:eastAsia="Montserrat"/>
                <w:b/>
                <w:i w:val="0"/>
                <w:color w:val="1E2A38"/>
                <w:sz w:val="17"/>
              </w:rPr>
              <w:t>D16</w:t>
            </w:r>
          </w:p>
        </w:tc>
        <w:tc>
          <w:tcPr>
            <w:tcW w:type="dxa" w:w="2948"/>
          </w:tcPr>
          <w:p>
            <w:pPr>
              <w:spacing w:after="20"/>
            </w:pPr>
            <w:r/>
            <w:r>
              <w:rPr>
                <w:rFonts w:ascii="Montserrat" w:hAnsi="Montserrat" w:eastAsia="Montserrat"/>
                <w:b w:val="0"/>
                <w:i w:val="0"/>
                <w:color w:val="1E2A38"/>
                <w:sz w:val="17"/>
              </w:rPr>
              <w:t>Conducta del liderazgo al derribar silos entre equipos</w:t>
            </w:r>
          </w:p>
        </w:tc>
        <w:tc>
          <w:tcPr>
            <w:tcW w:type="dxa" w:w="1361"/>
            <w:shd w:val="clear" w:color="auto" w:fill="C2593F"/>
          </w:tcPr>
          <w:p>
            <w:pPr>
              <w:spacing w:after="20"/>
            </w:pPr>
            <w:r/>
            <w:r>
              <w:rPr>
                <w:rFonts w:ascii="Montserrat" w:hAnsi="Montserrat" w:eastAsia="Montserrat"/>
                <w:b/>
                <w:i w:val="0"/>
                <w:color w:val="FFFFFF"/>
                <w:sz w:val="17"/>
              </w:rPr>
              <w:t>Cautela</w:t>
            </w:r>
          </w:p>
        </w:tc>
        <w:tc>
          <w:tcPr>
            <w:tcW w:type="dxa" w:w="4309"/>
          </w:tcPr>
          <w:p>
            <w:pPr>
              <w:spacing w:after="20"/>
            </w:pPr>
            <w:r/>
            <w:r>
              <w:rPr>
                <w:rFonts w:ascii="Montserrat" w:hAnsi="Montserrat" w:eastAsia="Montserrat"/>
                <w:b w:val="0"/>
                <w:i w:val="0"/>
                <w:color w:val="1E2A38"/>
                <w:sz w:val="17"/>
              </w:rPr>
              <w:t>Las decisiones sobre uso de IA se toman por equipo; no hay conducta observable de coordinar entre equipos</w:t>
            </w:r>
          </w:p>
        </w:tc>
      </w:tr>
      <w:tr>
        <w:tc>
          <w:tcPr>
            <w:tcW w:type="dxa" w:w="794"/>
            <w:shd w:val="clear" w:color="auto" w:fill="EEF0EF"/>
          </w:tcPr>
          <w:p>
            <w:pPr>
              <w:spacing w:after="20"/>
            </w:pPr>
            <w:r/>
            <w:r>
              <w:rPr>
                <w:rFonts w:ascii="Montserrat" w:hAnsi="Montserrat" w:eastAsia="Montserrat"/>
                <w:b/>
                <w:i w:val="0"/>
                <w:color w:val="1E2A38"/>
                <w:sz w:val="17"/>
              </w:rPr>
              <w:t>D19</w:t>
            </w:r>
          </w:p>
        </w:tc>
        <w:tc>
          <w:tcPr>
            <w:tcW w:type="dxa" w:w="2948"/>
            <w:shd w:val="clear" w:color="auto" w:fill="EEF0EF"/>
          </w:tcPr>
          <w:p>
            <w:pPr>
              <w:spacing w:after="20"/>
            </w:pPr>
            <w:r/>
            <w:r>
              <w:rPr>
                <w:rFonts w:ascii="Montserrat" w:hAnsi="Montserrat" w:eastAsia="Montserrat"/>
                <w:b w:val="0"/>
                <w:i w:val="0"/>
                <w:color w:val="1E2A38"/>
                <w:sz w:val="17"/>
              </w:rPr>
              <w:t>Sostén de la capacidad de adopción bajo carga de entrega</w:t>
            </w:r>
          </w:p>
        </w:tc>
        <w:tc>
          <w:tcPr>
            <w:tcW w:type="dxa" w:w="1361"/>
            <w:shd w:val="clear" w:color="auto" w:fill="C2593F"/>
          </w:tcPr>
          <w:p>
            <w:pPr>
              <w:spacing w:after="20"/>
            </w:pPr>
            <w:r/>
            <w:r>
              <w:rPr>
                <w:rFonts w:ascii="Montserrat" w:hAnsi="Montserrat" w:eastAsia="Montserrat"/>
                <w:b/>
                <w:i w:val="0"/>
                <w:color w:val="FFFFFF"/>
                <w:sz w:val="17"/>
              </w:rPr>
              <w:t>Cautela</w:t>
            </w:r>
          </w:p>
        </w:tc>
        <w:tc>
          <w:tcPr>
            <w:tcW w:type="dxa" w:w="4309"/>
            <w:shd w:val="clear" w:color="auto" w:fill="EEF0EF"/>
          </w:tcPr>
          <w:p>
            <w:pPr>
              <w:spacing w:after="20"/>
            </w:pPr>
            <w:r/>
            <w:r>
              <w:rPr>
                <w:rFonts w:ascii="Montserrat" w:hAnsi="Montserrat" w:eastAsia="Montserrat"/>
                <w:b w:val="0"/>
                <w:i w:val="0"/>
                <w:color w:val="1E2A38"/>
                <w:sz w:val="17"/>
              </w:rPr>
              <w:t>Bajo presión real de entrega a cliente bancario, el liderazgo inmediato prioriza el cumplimiento sobre la experimentación</w:t>
            </w:r>
          </w:p>
        </w:tc>
      </w:tr>
      <w:tr>
        <w:tc>
          <w:tcPr>
            <w:tcW w:type="dxa" w:w="794"/>
          </w:tcPr>
          <w:p>
            <w:pPr>
              <w:spacing w:after="20"/>
            </w:pPr>
            <w:r/>
            <w:r>
              <w:rPr>
                <w:rFonts w:ascii="Montserrat" w:hAnsi="Montserrat" w:eastAsia="Montserrat"/>
                <w:b/>
                <w:i w:val="0"/>
                <w:color w:val="1E2A38"/>
                <w:sz w:val="17"/>
              </w:rPr>
              <w:t>D21</w:t>
            </w:r>
          </w:p>
        </w:tc>
        <w:tc>
          <w:tcPr>
            <w:tcW w:type="dxa" w:w="2948"/>
          </w:tcPr>
          <w:p>
            <w:pPr>
              <w:spacing w:after="20"/>
            </w:pPr>
            <w:r/>
            <w:r>
              <w:rPr>
                <w:rFonts w:ascii="Montserrat" w:hAnsi="Montserrat" w:eastAsia="Montserrat"/>
                <w:b w:val="0"/>
                <w:i w:val="0"/>
                <w:color w:val="1E2A38"/>
                <w:sz w:val="17"/>
              </w:rPr>
              <w:t>Patrocinio público y visibilidad del compromiso ejecutivo</w:t>
            </w:r>
          </w:p>
        </w:tc>
        <w:tc>
          <w:tcPr>
            <w:tcW w:type="dxa" w:w="1361"/>
            <w:shd w:val="clear" w:color="auto" w:fill="F4A500"/>
          </w:tcPr>
          <w:p>
            <w:pPr>
              <w:spacing w:after="20"/>
            </w:pPr>
            <w:r/>
            <w:r>
              <w:rPr>
                <w:rFonts w:ascii="Montserrat" w:hAnsi="Montserrat" w:eastAsia="Montserrat"/>
                <w:b/>
                <w:i w:val="0"/>
                <w:color w:val="1E2A38"/>
                <w:sz w:val="17"/>
              </w:rPr>
              <w:t>Diestro</w:t>
            </w:r>
          </w:p>
        </w:tc>
        <w:tc>
          <w:tcPr>
            <w:tcW w:type="dxa" w:w="4309"/>
          </w:tcPr>
          <w:p>
            <w:pPr>
              <w:spacing w:after="20"/>
            </w:pPr>
            <w:r/>
            <w:r>
              <w:rPr>
                <w:rFonts w:ascii="Montserrat" w:hAnsi="Montserrat" w:eastAsia="Montserrat"/>
                <w:b w:val="0"/>
                <w:i w:val="0"/>
                <w:color w:val="1E2A38"/>
                <w:sz w:val="17"/>
              </w:rPr>
              <w:t>El liderazgo ha comunicado activamente, en múltiples espacios formales, su compromiso con la adopción de IA</w:t>
            </w:r>
          </w:p>
        </w:tc>
      </w:tr>
    </w:tbl>
    <w:p>
      <w:pPr>
        <w:spacing w:after="40"/>
      </w:pPr>
    </w:p>
    <w:p>
      <w:r>
        <w:rPr>
          <w:rFonts w:ascii="Montserrat" w:hAnsi="Montserrat" w:eastAsia="Montserrat"/>
          <w:b w:val="0"/>
          <w:i/>
          <w:color w:val="6B7280"/>
          <w:sz w:val="19"/>
        </w:rPr>
        <w:t>Nota de lectura crítica: el contraste entre D21 en Diestro-Óptimo y D9 en Vulnerable es el hallazgo de mayor densidad diagnóstica en Coherencia. Un liderazgo que patrocina activamente pero no modela el uso personal envía una señal contradictoria que un equipo técnico, entrenado para detectar inconsistencias, identifica con precisión.</w:t>
      </w:r>
    </w:p>
    <w:p>
      <w:pPr>
        <w:keepNext/>
        <w:spacing w:before="320" w:after="120"/>
        <w:pBdr>
          <w:bottom w:val="single" w:sz="8" w:space="2" w:color="2e8b76"/>
        </w:pBdr>
      </w:pPr>
      <w:r>
        <w:rPr>
          <w:rFonts w:ascii="Marcellus" w:hAnsi="Marcellus" w:eastAsia="Marcellus"/>
          <w:b w:val="0"/>
          <w:i w:val="0"/>
          <w:color w:val="1E2A38"/>
          <w:sz w:val="38"/>
        </w:rPr>
        <w:t>C4 — Distribución y acuerdo entre observadores</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El AILS agrega la percepción de 49 observadores sobre un blanco compartido. Esta sección muestra el acuerdo entre observadores en los comportamientos más relevantes.</w:t>
            </w:r>
          </w:p>
        </w:tc>
      </w:tr>
    </w:tbl>
    <w:p>
      <w:pPr>
        <w:spacing w:after="40"/>
      </w:pPr>
    </w:p>
    <w:tbl>
      <w:tblPr>
        <w:tblStyle w:val="TableGrid"/>
        <w:tblW w:type="auto" w:w="0"/>
        <w:tblLook w:firstColumn="1" w:firstRow="1" w:lastColumn="0" w:lastRow="0" w:noHBand="0" w:noVBand="1" w:val="04A0"/>
      </w:tblPr>
      <w:tblGrid>
        <w:gridCol w:w="2436"/>
        <w:gridCol w:w="2436"/>
        <w:gridCol w:w="2436"/>
        <w:gridCol w:w="2436"/>
      </w:tblGrid>
      <w:tr>
        <w:tc>
          <w:tcPr>
            <w:tcW w:type="dxa" w:w="2268"/>
            <w:shd w:val="clear" w:color="auto" w:fill="1E2A38"/>
          </w:tcPr>
          <w:p>
            <w:pPr>
              <w:spacing w:after="20"/>
            </w:pPr>
            <w:r/>
            <w:r>
              <w:rPr>
                <w:rFonts w:ascii="Montserrat" w:hAnsi="Montserrat" w:eastAsia="Montserrat"/>
                <w:b/>
                <w:i w:val="0"/>
                <w:color w:val="FFFFFF"/>
                <w:sz w:val="17"/>
              </w:rPr>
              <w:t>Comportamiento</w:t>
            </w:r>
          </w:p>
        </w:tc>
        <w:tc>
          <w:tcPr>
            <w:tcW w:type="dxa" w:w="1247"/>
            <w:shd w:val="clear" w:color="auto" w:fill="1E2A38"/>
          </w:tcPr>
          <w:p>
            <w:pPr>
              <w:spacing w:after="20"/>
            </w:pPr>
            <w:r/>
            <w:r>
              <w:rPr>
                <w:rFonts w:ascii="Montserrat" w:hAnsi="Montserrat" w:eastAsia="Montserrat"/>
                <w:b/>
                <w:i w:val="0"/>
                <w:color w:val="FFFFFF"/>
                <w:sz w:val="17"/>
              </w:rPr>
              <w:t>Nivel</w:t>
            </w:r>
          </w:p>
        </w:tc>
        <w:tc>
          <w:tcPr>
            <w:tcW w:type="dxa" w:w="1928"/>
            <w:shd w:val="clear" w:color="auto" w:fill="1E2A38"/>
          </w:tcPr>
          <w:p>
            <w:pPr>
              <w:spacing w:after="20"/>
            </w:pPr>
            <w:r/>
            <w:r>
              <w:rPr>
                <w:rFonts w:ascii="Montserrat" w:hAnsi="Montserrat" w:eastAsia="Montserrat"/>
                <w:b/>
                <w:i w:val="0"/>
                <w:color w:val="FFFFFF"/>
                <w:sz w:val="17"/>
              </w:rPr>
              <w:t>Acuerdo inter-observadores</w:t>
            </w:r>
          </w:p>
        </w:tc>
        <w:tc>
          <w:tcPr>
            <w:tcW w:type="dxa" w:w="3969"/>
            <w:shd w:val="clear" w:color="auto" w:fill="1E2A38"/>
          </w:tcPr>
          <w:p>
            <w:pPr>
              <w:spacing w:after="20"/>
            </w:pPr>
            <w:r/>
            <w:r>
              <w:rPr>
                <w:rFonts w:ascii="Montserrat" w:hAnsi="Montserrat" w:eastAsia="Montserrat"/>
                <w:b/>
                <w:i w:val="0"/>
                <w:color w:val="FFFFFF"/>
                <w:sz w:val="17"/>
              </w:rPr>
              <w:t>Interpretación</w:t>
            </w:r>
          </w:p>
        </w:tc>
      </w:tr>
      <w:tr>
        <w:tc>
          <w:tcPr>
            <w:tcW w:type="dxa" w:w="2268"/>
          </w:tcPr>
          <w:p>
            <w:pPr>
              <w:spacing w:after="20"/>
            </w:pPr>
            <w:r/>
            <w:r>
              <w:rPr>
                <w:rFonts w:ascii="Montserrat" w:hAnsi="Montserrat" w:eastAsia="Montserrat"/>
                <w:b/>
                <w:i w:val="0"/>
                <w:color w:val="1E2A38"/>
                <w:sz w:val="17"/>
              </w:rPr>
              <w:t>D21 (patrocinio público)</w:t>
            </w:r>
          </w:p>
        </w:tc>
        <w:tc>
          <w:tcPr>
            <w:tcW w:type="dxa" w:w="1247"/>
            <w:shd w:val="clear" w:color="auto" w:fill="F4A500"/>
          </w:tcPr>
          <w:p>
            <w:pPr>
              <w:spacing w:after="20"/>
            </w:pPr>
            <w:r/>
            <w:r>
              <w:rPr>
                <w:rFonts w:ascii="Montserrat" w:hAnsi="Montserrat" w:eastAsia="Montserrat"/>
                <w:b/>
                <w:i w:val="0"/>
                <w:color w:val="1E2A38"/>
                <w:sz w:val="17"/>
              </w:rPr>
              <w:t>Diestro</w:t>
            </w:r>
          </w:p>
        </w:tc>
        <w:tc>
          <w:tcPr>
            <w:tcW w:type="dxa" w:w="1928"/>
          </w:tcPr>
          <w:p>
            <w:pPr>
              <w:spacing w:after="20"/>
            </w:pPr>
            <w:r/>
            <w:r>
              <w:rPr>
                <w:rFonts w:ascii="Montserrat" w:hAnsi="Montserrat" w:eastAsia="Montserrat"/>
                <w:b w:val="0"/>
                <w:i w:val="0"/>
                <w:color w:val="1E2A38"/>
                <w:sz w:val="17"/>
              </w:rPr>
              <w:t>Alto (&gt;75%)</w:t>
            </w:r>
          </w:p>
        </w:tc>
        <w:tc>
          <w:tcPr>
            <w:tcW w:type="dxa" w:w="3969"/>
          </w:tcPr>
          <w:p>
            <w:pPr>
              <w:spacing w:after="20"/>
            </w:pPr>
            <w:r/>
            <w:r>
              <w:rPr>
                <w:rFonts w:ascii="Montserrat" w:hAnsi="Montserrat" w:eastAsia="Montserrat"/>
                <w:b w:val="0"/>
                <w:i w:val="0"/>
                <w:color w:val="1E2A38"/>
                <w:sz w:val="17"/>
              </w:rPr>
              <w:t>Alta confianza; el patrocinio es genuinamente percibido como alto</w:t>
            </w:r>
          </w:p>
        </w:tc>
      </w:tr>
      <w:tr>
        <w:tc>
          <w:tcPr>
            <w:tcW w:type="dxa" w:w="2268"/>
            <w:shd w:val="clear" w:color="auto" w:fill="EEF0EF"/>
          </w:tcPr>
          <w:p>
            <w:pPr>
              <w:spacing w:after="20"/>
            </w:pPr>
            <w:r/>
            <w:r>
              <w:rPr>
                <w:rFonts w:ascii="Montserrat" w:hAnsi="Montserrat" w:eastAsia="Montserrat"/>
                <w:b/>
                <w:i w:val="0"/>
                <w:color w:val="1E2A38"/>
                <w:sz w:val="17"/>
              </w:rPr>
              <w:t>D9 (uso personal de IA)</w:t>
            </w:r>
          </w:p>
        </w:tc>
        <w:tc>
          <w:tcPr>
            <w:tcW w:type="dxa" w:w="1247"/>
            <w:shd w:val="clear" w:color="auto" w:fill="E67E22"/>
          </w:tcPr>
          <w:p>
            <w:pPr>
              <w:spacing w:after="20"/>
            </w:pPr>
            <w:r/>
            <w:r>
              <w:rPr>
                <w:rFonts w:ascii="Montserrat" w:hAnsi="Montserrat" w:eastAsia="Montserrat"/>
                <w:b/>
                <w:i w:val="0"/>
                <w:color w:val="FFFFFF"/>
                <w:sz w:val="17"/>
              </w:rPr>
              <w:t>Vulnerable</w:t>
            </w:r>
          </w:p>
        </w:tc>
        <w:tc>
          <w:tcPr>
            <w:tcW w:type="dxa" w:w="1928"/>
            <w:shd w:val="clear" w:color="auto" w:fill="EEF0EF"/>
          </w:tcPr>
          <w:p>
            <w:pPr>
              <w:spacing w:after="20"/>
            </w:pPr>
            <w:r/>
            <w:r>
              <w:rPr>
                <w:rFonts w:ascii="Montserrat" w:hAnsi="Montserrat" w:eastAsia="Montserrat"/>
                <w:b w:val="0"/>
                <w:i w:val="0"/>
                <w:color w:val="1E2A38"/>
                <w:sz w:val="17"/>
              </w:rPr>
              <w:t>Medio-alto (65–70%)</w:t>
            </w:r>
          </w:p>
        </w:tc>
        <w:tc>
          <w:tcPr>
            <w:tcW w:type="dxa" w:w="3969"/>
            <w:shd w:val="clear" w:color="auto" w:fill="EEF0EF"/>
          </w:tcPr>
          <w:p>
            <w:pPr>
              <w:spacing w:after="20"/>
            </w:pPr>
            <w:r/>
            <w:r>
              <w:rPr>
                <w:rFonts w:ascii="Montserrat" w:hAnsi="Montserrat" w:eastAsia="Montserrat"/>
                <w:b w:val="0"/>
                <w:i w:val="0"/>
                <w:color w:val="1E2A38"/>
                <w:sz w:val="17"/>
              </w:rPr>
              <w:t>Confianza razonable; algunos observadores reportan Cautela</w:t>
            </w:r>
          </w:p>
        </w:tc>
      </w:tr>
      <w:tr>
        <w:tc>
          <w:tcPr>
            <w:tcW w:type="dxa" w:w="2268"/>
          </w:tcPr>
          <w:p>
            <w:pPr>
              <w:spacing w:after="20"/>
            </w:pPr>
            <w:r/>
            <w:r>
              <w:rPr>
                <w:rFonts w:ascii="Montserrat" w:hAnsi="Montserrat" w:eastAsia="Montserrat"/>
                <w:b/>
                <w:i w:val="0"/>
                <w:color w:val="1E2A38"/>
                <w:sz w:val="17"/>
              </w:rPr>
              <w:t>D8 (remoción de fricciones)</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1928"/>
          </w:tcPr>
          <w:p>
            <w:pPr>
              <w:spacing w:after="20"/>
            </w:pPr>
            <w:r/>
            <w:r>
              <w:rPr>
                <w:rFonts w:ascii="Montserrat" w:hAnsi="Montserrat" w:eastAsia="Montserrat"/>
                <w:b w:val="0"/>
                <w:i w:val="0"/>
                <w:color w:val="1E2A38"/>
                <w:sz w:val="17"/>
              </w:rPr>
              <w:t>Alto (&gt;70%)</w:t>
            </w:r>
          </w:p>
        </w:tc>
        <w:tc>
          <w:tcPr>
            <w:tcW w:type="dxa" w:w="3969"/>
          </w:tcPr>
          <w:p>
            <w:pPr>
              <w:spacing w:after="20"/>
            </w:pPr>
            <w:r/>
            <w:r>
              <w:rPr>
                <w:rFonts w:ascii="Montserrat" w:hAnsi="Montserrat" w:eastAsia="Montserrat"/>
                <w:b w:val="0"/>
                <w:i w:val="0"/>
                <w:color w:val="1E2A38"/>
                <w:sz w:val="17"/>
              </w:rPr>
              <w:t>Alta confianza; el comportamiento ausente es ampliamente percibido</w:t>
            </w:r>
          </w:p>
        </w:tc>
      </w:tr>
      <w:tr>
        <w:tc>
          <w:tcPr>
            <w:tcW w:type="dxa" w:w="2268"/>
            <w:shd w:val="clear" w:color="auto" w:fill="EEF0EF"/>
          </w:tcPr>
          <w:p>
            <w:pPr>
              <w:spacing w:after="20"/>
            </w:pPr>
            <w:r/>
            <w:r>
              <w:rPr>
                <w:rFonts w:ascii="Montserrat" w:hAnsi="Montserrat" w:eastAsia="Montserrat"/>
                <w:b/>
                <w:i w:val="0"/>
                <w:color w:val="1E2A38"/>
                <w:sz w:val="17"/>
              </w:rPr>
              <w:t>D7 (aprendizaje entre pares)</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1928"/>
            <w:shd w:val="clear" w:color="auto" w:fill="EEF0EF"/>
          </w:tcPr>
          <w:p>
            <w:pPr>
              <w:spacing w:after="20"/>
            </w:pPr>
            <w:r/>
            <w:r>
              <w:rPr>
                <w:rFonts w:ascii="Montserrat" w:hAnsi="Montserrat" w:eastAsia="Montserrat"/>
                <w:b w:val="0"/>
                <w:i w:val="0"/>
                <w:color w:val="1E2A38"/>
                <w:sz w:val="17"/>
              </w:rPr>
              <w:t>Alto (&gt;70%)</w:t>
            </w:r>
          </w:p>
        </w:tc>
        <w:tc>
          <w:tcPr>
            <w:tcW w:type="dxa" w:w="3969"/>
            <w:shd w:val="clear" w:color="auto" w:fill="EEF0EF"/>
          </w:tcPr>
          <w:p>
            <w:pPr>
              <w:spacing w:after="20"/>
            </w:pPr>
            <w:r/>
            <w:r>
              <w:rPr>
                <w:rFonts w:ascii="Montserrat" w:hAnsi="Montserrat" w:eastAsia="Montserrat"/>
                <w:b w:val="0"/>
                <w:i w:val="0"/>
                <w:color w:val="1E2A38"/>
                <w:sz w:val="17"/>
              </w:rPr>
              <w:t>Alta confianza; consistente entre equipos</w:t>
            </w:r>
          </w:p>
        </w:tc>
      </w:tr>
      <w:tr>
        <w:tc>
          <w:tcPr>
            <w:tcW w:type="dxa" w:w="2268"/>
          </w:tcPr>
          <w:p>
            <w:pPr>
              <w:spacing w:after="20"/>
            </w:pPr>
            <w:r/>
            <w:r>
              <w:rPr>
                <w:rFonts w:ascii="Montserrat" w:hAnsi="Montserrat" w:eastAsia="Montserrat"/>
                <w:b/>
                <w:i w:val="0"/>
                <w:color w:val="1E2A38"/>
                <w:sz w:val="17"/>
              </w:rPr>
              <w:t>D16 (derribar silos)</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1928"/>
          </w:tcPr>
          <w:p>
            <w:pPr>
              <w:spacing w:after="20"/>
            </w:pPr>
            <w:r/>
            <w:r>
              <w:rPr>
                <w:rFonts w:ascii="Montserrat" w:hAnsi="Montserrat" w:eastAsia="Montserrat"/>
                <w:b w:val="0"/>
                <w:i w:val="0"/>
                <w:color w:val="1E2A38"/>
                <w:sz w:val="17"/>
              </w:rPr>
              <w:t>Medio-alto (68%)</w:t>
            </w:r>
          </w:p>
        </w:tc>
        <w:tc>
          <w:tcPr>
            <w:tcW w:type="dxa" w:w="3969"/>
          </w:tcPr>
          <w:p>
            <w:pPr>
              <w:spacing w:after="20"/>
            </w:pPr>
            <w:r/>
            <w:r>
              <w:rPr>
                <w:rFonts w:ascii="Montserrat" w:hAnsi="Montserrat" w:eastAsia="Montserrat"/>
                <w:b w:val="0"/>
                <w:i w:val="0"/>
                <w:color w:val="1E2A38"/>
                <w:sz w:val="17"/>
              </w:rPr>
              <w:t>Confianza razonable; la percepción es más débil en los equipos con norma escrita</w:t>
            </w:r>
          </w:p>
        </w:tc>
      </w:tr>
      <w:tr>
        <w:tc>
          <w:tcPr>
            <w:tcW w:type="dxa" w:w="2268"/>
            <w:shd w:val="clear" w:color="auto" w:fill="EEF0EF"/>
          </w:tcPr>
          <w:p>
            <w:pPr>
              <w:spacing w:after="20"/>
            </w:pPr>
            <w:r/>
            <w:r>
              <w:rPr>
                <w:rFonts w:ascii="Montserrat" w:hAnsi="Montserrat" w:eastAsia="Montserrat"/>
                <w:b/>
                <w:i w:val="0"/>
                <w:color w:val="1E2A38"/>
                <w:sz w:val="17"/>
              </w:rPr>
              <w:t>D19 (sostén bajo carga)</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1928"/>
            <w:shd w:val="clear" w:color="auto" w:fill="EEF0EF"/>
          </w:tcPr>
          <w:p>
            <w:pPr>
              <w:spacing w:after="20"/>
            </w:pPr>
            <w:r/>
            <w:r>
              <w:rPr>
                <w:rFonts w:ascii="Montserrat" w:hAnsi="Montserrat" w:eastAsia="Montserrat"/>
                <w:b w:val="0"/>
                <w:i w:val="0"/>
                <w:color w:val="1E2A38"/>
                <w:sz w:val="17"/>
              </w:rPr>
              <w:t>Alto (&gt;72%)</w:t>
            </w:r>
          </w:p>
        </w:tc>
        <w:tc>
          <w:tcPr>
            <w:tcW w:type="dxa" w:w="3969"/>
            <w:shd w:val="clear" w:color="auto" w:fill="EEF0EF"/>
          </w:tcPr>
          <w:p>
            <w:pPr>
              <w:spacing w:after="20"/>
            </w:pPr>
            <w:r/>
            <w:r>
              <w:rPr>
                <w:rFonts w:ascii="Montserrat" w:hAnsi="Montserrat" w:eastAsia="Montserrat"/>
                <w:b w:val="0"/>
                <w:i w:val="0"/>
                <w:color w:val="1E2A38"/>
                <w:sz w:val="17"/>
              </w:rPr>
              <w:t>Alta confianza; patrón consistente bajo presión real de entrega</w:t>
            </w:r>
          </w:p>
        </w:tc>
      </w:tr>
      <w:tr>
        <w:tc>
          <w:tcPr>
            <w:tcW w:type="dxa" w:w="2268"/>
          </w:tcPr>
          <w:p>
            <w:pPr>
              <w:spacing w:after="20"/>
            </w:pPr>
            <w:r/>
            <w:r>
              <w:rPr>
                <w:rFonts w:ascii="Montserrat" w:hAnsi="Montserrat" w:eastAsia="Montserrat"/>
                <w:b/>
                <w:i w:val="0"/>
                <w:color w:val="1E2A38"/>
                <w:sz w:val="17"/>
              </w:rPr>
              <w:t>D12 (coherencia decisional)</w:t>
            </w:r>
          </w:p>
        </w:tc>
        <w:tc>
          <w:tcPr>
            <w:tcW w:type="dxa" w:w="1247"/>
            <w:shd w:val="clear" w:color="auto" w:fill="E67E22"/>
          </w:tcPr>
          <w:p>
            <w:pPr>
              <w:spacing w:after="20"/>
            </w:pPr>
            <w:r/>
            <w:r>
              <w:rPr>
                <w:rFonts w:ascii="Montserrat" w:hAnsi="Montserrat" w:eastAsia="Montserrat"/>
                <w:b/>
                <w:i w:val="0"/>
                <w:color w:val="FFFFFF"/>
                <w:sz w:val="17"/>
              </w:rPr>
              <w:t>Vulnerable</w:t>
            </w:r>
          </w:p>
        </w:tc>
        <w:tc>
          <w:tcPr>
            <w:tcW w:type="dxa" w:w="1928"/>
          </w:tcPr>
          <w:p>
            <w:pPr>
              <w:spacing w:after="20"/>
            </w:pPr>
            <w:r/>
            <w:r>
              <w:rPr>
                <w:rFonts w:ascii="Montserrat" w:hAnsi="Montserrat" w:eastAsia="Montserrat"/>
                <w:b w:val="0"/>
                <w:i w:val="0"/>
                <w:color w:val="1E2A38"/>
                <w:sz w:val="17"/>
              </w:rPr>
              <w:t>Medio (55–60%)</w:t>
            </w:r>
          </w:p>
        </w:tc>
        <w:tc>
          <w:tcPr>
            <w:tcW w:type="dxa" w:w="3969"/>
          </w:tcPr>
          <w:p>
            <w:pPr>
              <w:spacing w:after="20"/>
            </w:pPr>
            <w:r/>
            <w:r>
              <w:rPr>
                <w:rFonts w:ascii="Montserrat" w:hAnsi="Montserrat" w:eastAsia="Montserrat"/>
                <w:b w:val="0"/>
                <w:i w:val="0"/>
                <w:color w:val="1E2A38"/>
                <w:sz w:val="17"/>
              </w:rPr>
              <w:t>Confianza moderada; mayor variación entre observadores</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C5 — Conexión con los obstáculos (Capa 2)</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Mapea los resultados por competencia 5Cs a los 10 obstáculos del marco ARIA. El AILS tiene mayor poder diagnóstico sobre los obstáculos de liderazgo; su contribución a los demás es tangencial y se señala como tal.</w:t>
            </w:r>
          </w:p>
        </w:tc>
      </w:tr>
    </w:tbl>
    <w:p>
      <w:pPr>
        <w:spacing w:after="40"/>
      </w:pP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510"/>
            <w:shd w:val="clear" w:color="auto" w:fill="1E2A38"/>
          </w:tcPr>
          <w:p>
            <w:pPr>
              <w:spacing w:after="20"/>
            </w:pPr>
            <w:r/>
            <w:r>
              <w:rPr>
                <w:rFonts w:ascii="Montserrat" w:hAnsi="Montserrat" w:eastAsia="Montserrat"/>
                <w:b/>
                <w:i w:val="0"/>
                <w:color w:val="FFFFFF"/>
                <w:sz w:val="17"/>
              </w:rPr>
              <w:t>#</w:t>
            </w:r>
          </w:p>
        </w:tc>
        <w:tc>
          <w:tcPr>
            <w:tcW w:type="dxa" w:w="1928"/>
            <w:shd w:val="clear" w:color="auto" w:fill="1E2A38"/>
          </w:tcPr>
          <w:p>
            <w:pPr>
              <w:spacing w:after="20"/>
            </w:pPr>
            <w:r/>
            <w:r>
              <w:rPr>
                <w:rFonts w:ascii="Montserrat" w:hAnsi="Montserrat" w:eastAsia="Montserrat"/>
                <w:b/>
                <w:i w:val="0"/>
                <w:color w:val="FFFFFF"/>
                <w:sz w:val="17"/>
              </w:rPr>
              <w:t>Obstáculo</w:t>
            </w:r>
          </w:p>
        </w:tc>
        <w:tc>
          <w:tcPr>
            <w:tcW w:type="dxa" w:w="1361"/>
            <w:shd w:val="clear" w:color="auto" w:fill="1E2A38"/>
          </w:tcPr>
          <w:p>
            <w:pPr>
              <w:spacing w:after="20"/>
            </w:pPr>
            <w:r/>
            <w:r>
              <w:rPr>
                <w:rFonts w:ascii="Montserrat" w:hAnsi="Montserrat" w:eastAsia="Montserrat"/>
                <w:b/>
                <w:i w:val="0"/>
                <w:color w:val="FFFFFF"/>
                <w:sz w:val="17"/>
              </w:rPr>
              <w:t>Comportamientos</w:t>
            </w:r>
          </w:p>
        </w:tc>
        <w:tc>
          <w:tcPr>
            <w:tcW w:type="dxa" w:w="1247"/>
            <w:shd w:val="clear" w:color="auto" w:fill="1E2A38"/>
          </w:tcPr>
          <w:p>
            <w:pPr>
              <w:spacing w:after="20"/>
            </w:pPr>
            <w:r/>
            <w:r>
              <w:rPr>
                <w:rFonts w:ascii="Montserrat" w:hAnsi="Montserrat" w:eastAsia="Montserrat"/>
                <w:b/>
                <w:i w:val="0"/>
                <w:color w:val="FFFFFF"/>
                <w:sz w:val="17"/>
              </w:rPr>
              <w:t>Nivel AILS</w:t>
            </w:r>
          </w:p>
        </w:tc>
        <w:tc>
          <w:tcPr>
            <w:tcW w:type="dxa" w:w="4365"/>
            <w:shd w:val="clear" w:color="auto" w:fill="1E2A38"/>
          </w:tcPr>
          <w:p>
            <w:pPr>
              <w:spacing w:after="20"/>
            </w:pPr>
            <w:r/>
            <w:r>
              <w:rPr>
                <w:rFonts w:ascii="Montserrat" w:hAnsi="Montserrat" w:eastAsia="Montserrat"/>
                <w:b/>
                <w:i w:val="0"/>
                <w:color w:val="FFFFFF"/>
                <w:sz w:val="17"/>
              </w:rPr>
              <w:t>Nota</w:t>
            </w:r>
          </w:p>
        </w:tc>
      </w:tr>
      <w:tr>
        <w:tc>
          <w:tcPr>
            <w:tcW w:type="dxa" w:w="510"/>
          </w:tcPr>
          <w:p>
            <w:pPr>
              <w:spacing w:after="20"/>
            </w:pPr>
            <w:r/>
            <w:r>
              <w:rPr>
                <w:rFonts w:ascii="Montserrat" w:hAnsi="Montserrat" w:eastAsia="Montserrat"/>
                <w:b/>
                <w:i w:val="0"/>
                <w:color w:val="1E2A38"/>
                <w:sz w:val="17"/>
              </w:rPr>
              <w:t>6</w:t>
            </w:r>
          </w:p>
        </w:tc>
        <w:tc>
          <w:tcPr>
            <w:tcW w:type="dxa" w:w="1928"/>
          </w:tcPr>
          <w:p>
            <w:pPr>
              <w:spacing w:after="20"/>
            </w:pPr>
            <w:r/>
            <w:r>
              <w:rPr>
                <w:rFonts w:ascii="Montserrat" w:hAnsi="Montserrat" w:eastAsia="Montserrat"/>
                <w:b w:val="0"/>
                <w:i w:val="0"/>
                <w:color w:val="1E2A38"/>
                <w:sz w:val="17"/>
              </w:rPr>
              <w:t>Liderazgo desconectado</w:t>
            </w:r>
          </w:p>
        </w:tc>
        <w:tc>
          <w:tcPr>
            <w:tcW w:type="dxa" w:w="1361"/>
          </w:tcPr>
          <w:p>
            <w:pPr>
              <w:spacing w:after="20"/>
            </w:pPr>
            <w:r/>
            <w:r>
              <w:rPr>
                <w:rFonts w:ascii="Montserrat" w:hAnsi="Montserrat" w:eastAsia="Montserrat"/>
                <w:b w:val="0"/>
                <w:i w:val="0"/>
                <w:color w:val="1E2A38"/>
                <w:sz w:val="17"/>
              </w:rPr>
              <w:t>D9 / D21</w:t>
            </w:r>
          </w:p>
        </w:tc>
        <w:tc>
          <w:tcPr>
            <w:tcW w:type="dxa" w:w="1247"/>
            <w:shd w:val="clear" w:color="auto" w:fill="E67E22"/>
          </w:tcPr>
          <w:p>
            <w:pPr>
              <w:spacing w:after="20"/>
            </w:pPr>
            <w:r/>
            <w:r>
              <w:rPr>
                <w:rFonts w:ascii="Montserrat" w:hAnsi="Montserrat" w:eastAsia="Montserrat"/>
                <w:b/>
                <w:i w:val="0"/>
                <w:color w:val="FFFFFF"/>
                <w:sz w:val="17"/>
              </w:rPr>
              <w:t>Vulnerable</w:t>
            </w:r>
          </w:p>
        </w:tc>
        <w:tc>
          <w:tcPr>
            <w:tcW w:type="dxa" w:w="4365"/>
          </w:tcPr>
          <w:p>
            <w:pPr>
              <w:spacing w:after="20"/>
            </w:pPr>
            <w:r/>
            <w:r>
              <w:rPr>
                <w:rFonts w:ascii="Montserrat" w:hAnsi="Montserrat" w:eastAsia="Montserrat"/>
                <w:b w:val="0"/>
                <w:i w:val="0"/>
                <w:color w:val="1E2A38"/>
                <w:sz w:val="17"/>
              </w:rPr>
              <w:t>Dos caras: compromiso visible y práctica real. El AILS detecta un gap entre ambas en el mismo liderazgo</w:t>
            </w:r>
          </w:p>
        </w:tc>
      </w:tr>
      <w:tr>
        <w:tc>
          <w:tcPr>
            <w:tcW w:type="dxa" w:w="510"/>
            <w:shd w:val="clear" w:color="auto" w:fill="EEF0EF"/>
          </w:tcPr>
          <w:p>
            <w:pPr>
              <w:spacing w:after="20"/>
            </w:pPr>
            <w:r/>
            <w:r>
              <w:rPr>
                <w:rFonts w:ascii="Montserrat" w:hAnsi="Montserrat" w:eastAsia="Montserrat"/>
                <w:b/>
                <w:i w:val="0"/>
                <w:color w:val="1E2A38"/>
                <w:sz w:val="17"/>
              </w:rPr>
              <w:t>4</w:t>
            </w:r>
          </w:p>
        </w:tc>
        <w:tc>
          <w:tcPr>
            <w:tcW w:type="dxa" w:w="1928"/>
            <w:shd w:val="clear" w:color="auto" w:fill="EEF0EF"/>
          </w:tcPr>
          <w:p>
            <w:pPr>
              <w:spacing w:after="20"/>
            </w:pPr>
            <w:r/>
            <w:r>
              <w:rPr>
                <w:rFonts w:ascii="Montserrat" w:hAnsi="Montserrat" w:eastAsia="Montserrat"/>
                <w:b w:val="0"/>
                <w:i w:val="0"/>
                <w:color w:val="1E2A38"/>
                <w:sz w:val="17"/>
              </w:rPr>
              <w:t>Silos culturales</w:t>
            </w:r>
          </w:p>
        </w:tc>
        <w:tc>
          <w:tcPr>
            <w:tcW w:type="dxa" w:w="1361"/>
            <w:shd w:val="clear" w:color="auto" w:fill="EEF0EF"/>
          </w:tcPr>
          <w:p>
            <w:pPr>
              <w:spacing w:after="20"/>
            </w:pPr>
            <w:r/>
            <w:r>
              <w:rPr>
                <w:rFonts w:ascii="Montserrat" w:hAnsi="Montserrat" w:eastAsia="Montserrat"/>
                <w:b w:val="0"/>
                <w:i w:val="0"/>
                <w:color w:val="1E2A38"/>
                <w:sz w:val="17"/>
              </w:rPr>
              <w:t>D7, D16</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4365"/>
            <w:shd w:val="clear" w:color="auto" w:fill="EEF0EF"/>
          </w:tcPr>
          <w:p>
            <w:pPr>
              <w:spacing w:after="20"/>
            </w:pPr>
            <w:r/>
            <w:r>
              <w:rPr>
                <w:rFonts w:ascii="Montserrat" w:hAnsi="Montserrat" w:eastAsia="Montserrat"/>
                <w:b w:val="0"/>
                <w:i w:val="0"/>
                <w:color w:val="1E2A38"/>
                <w:sz w:val="17"/>
              </w:rPr>
              <w:t>Señal tangencial por el plano de Cocreación. La estructura que sostiene los silos es plano del AICD</w:t>
            </w:r>
          </w:p>
        </w:tc>
      </w:tr>
      <w:tr>
        <w:tc>
          <w:tcPr>
            <w:tcW w:type="dxa" w:w="510"/>
          </w:tcPr>
          <w:p>
            <w:pPr>
              <w:spacing w:after="20"/>
            </w:pPr>
            <w:r/>
            <w:r>
              <w:rPr>
                <w:rFonts w:ascii="Montserrat" w:hAnsi="Montserrat" w:eastAsia="Montserrat"/>
                <w:b/>
                <w:i w:val="0"/>
                <w:color w:val="1E2A38"/>
                <w:sz w:val="17"/>
              </w:rPr>
              <w:t>2</w:t>
            </w:r>
          </w:p>
        </w:tc>
        <w:tc>
          <w:tcPr>
            <w:tcW w:type="dxa" w:w="1928"/>
          </w:tcPr>
          <w:p>
            <w:pPr>
              <w:spacing w:after="20"/>
            </w:pPr>
            <w:r/>
            <w:r>
              <w:rPr>
                <w:rFonts w:ascii="Montserrat" w:hAnsi="Montserrat" w:eastAsia="Montserrat"/>
                <w:b w:val="0"/>
                <w:i w:val="0"/>
                <w:color w:val="1E2A38"/>
                <w:sz w:val="17"/>
              </w:rPr>
              <w:t>Fricción de governance</w:t>
            </w:r>
          </w:p>
        </w:tc>
        <w:tc>
          <w:tcPr>
            <w:tcW w:type="dxa" w:w="1361"/>
          </w:tcPr>
          <w:p>
            <w:pPr>
              <w:spacing w:after="20"/>
            </w:pPr>
            <w:r/>
            <w:r>
              <w:rPr>
                <w:rFonts w:ascii="Montserrat" w:hAnsi="Montserrat" w:eastAsia="Montserrat"/>
                <w:b w:val="0"/>
                <w:i w:val="0"/>
                <w:color w:val="1E2A38"/>
                <w:sz w:val="17"/>
              </w:rPr>
              <w:t>D8</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4365"/>
          </w:tcPr>
          <w:p>
            <w:pPr>
              <w:spacing w:after="20"/>
            </w:pPr>
            <w:r/>
            <w:r>
              <w:rPr>
                <w:rFonts w:ascii="Montserrat" w:hAnsi="Montserrat" w:eastAsia="Montserrat"/>
                <w:b w:val="0"/>
                <w:i w:val="0"/>
                <w:color w:val="1E2A38"/>
                <w:sz w:val="17"/>
              </w:rPr>
              <w:t>D8 mide la conducta al remover fricciones; Cautela indica que las barreras de governance no están siendo eliminadas por el liderazgo inmediato. La causa estructural es plano del AICD</w:t>
            </w:r>
          </w:p>
        </w:tc>
      </w:tr>
      <w:tr>
        <w:tc>
          <w:tcPr>
            <w:tcW w:type="dxa" w:w="510"/>
            <w:shd w:val="clear" w:color="auto" w:fill="EEF0EF"/>
          </w:tcPr>
          <w:p>
            <w:pPr>
              <w:spacing w:after="20"/>
            </w:pPr>
            <w:r/>
            <w:r>
              <w:rPr>
                <w:rFonts w:ascii="Montserrat" w:hAnsi="Montserrat" w:eastAsia="Montserrat"/>
                <w:b/>
                <w:i w:val="0"/>
                <w:color w:val="1E2A38"/>
                <w:sz w:val="17"/>
              </w:rPr>
              <w:t>10</w:t>
            </w:r>
          </w:p>
        </w:tc>
        <w:tc>
          <w:tcPr>
            <w:tcW w:type="dxa" w:w="1928"/>
            <w:shd w:val="clear" w:color="auto" w:fill="EEF0EF"/>
          </w:tcPr>
          <w:p>
            <w:pPr>
              <w:spacing w:after="20"/>
            </w:pPr>
            <w:r/>
            <w:r>
              <w:rPr>
                <w:rFonts w:ascii="Montserrat" w:hAnsi="Montserrat" w:eastAsia="Montserrat"/>
                <w:b w:val="0"/>
                <w:i w:val="0"/>
                <w:color w:val="1E2A38"/>
                <w:sz w:val="17"/>
              </w:rPr>
              <w:t>Miedo al desplazamiento</w:t>
            </w:r>
          </w:p>
        </w:tc>
        <w:tc>
          <w:tcPr>
            <w:tcW w:type="dxa" w:w="1361"/>
            <w:shd w:val="clear" w:color="auto" w:fill="EEF0EF"/>
          </w:tcPr>
          <w:p>
            <w:pPr>
              <w:spacing w:after="20"/>
            </w:pPr>
            <w:r/>
            <w:r>
              <w:rPr>
                <w:rFonts w:ascii="Montserrat" w:hAnsi="Montserrat" w:eastAsia="Montserrat"/>
                <w:b w:val="0"/>
                <w:i w:val="0"/>
                <w:color w:val="1E2A38"/>
                <w:sz w:val="17"/>
              </w:rPr>
              <w:t>D20</w:t>
            </w:r>
          </w:p>
        </w:tc>
        <w:tc>
          <w:tcPr>
            <w:tcW w:type="dxa" w:w="1247"/>
            <w:shd w:val="clear" w:color="auto" w:fill="E67E22"/>
          </w:tcPr>
          <w:p>
            <w:pPr>
              <w:spacing w:after="20"/>
            </w:pPr>
            <w:r/>
            <w:r>
              <w:rPr>
                <w:rFonts w:ascii="Montserrat" w:hAnsi="Montserrat" w:eastAsia="Montserrat"/>
                <w:b/>
                <w:i w:val="0"/>
                <w:color w:val="FFFFFF"/>
                <w:sz w:val="17"/>
              </w:rPr>
              <w:t>Vulnerable</w:t>
            </w:r>
          </w:p>
        </w:tc>
        <w:tc>
          <w:tcPr>
            <w:tcW w:type="dxa" w:w="4365"/>
            <w:shd w:val="clear" w:color="auto" w:fill="EEF0EF"/>
          </w:tcPr>
          <w:p>
            <w:pPr>
              <w:spacing w:after="20"/>
            </w:pPr>
            <w:r/>
            <w:r>
              <w:rPr>
                <w:rFonts w:ascii="Montserrat" w:hAnsi="Montserrat" w:eastAsia="Montserrat"/>
                <w:b w:val="0"/>
                <w:i w:val="0"/>
                <w:color w:val="1E2A38"/>
                <w:sz w:val="17"/>
              </w:rPr>
              <w:t>El liderazgo tiene respuesta de discurso pero no conducta institucional de cierre</w:t>
            </w:r>
          </w:p>
        </w:tc>
      </w:tr>
      <w:tr>
        <w:tc>
          <w:tcPr>
            <w:tcW w:type="dxa" w:w="510"/>
          </w:tcPr>
          <w:p>
            <w:pPr>
              <w:spacing w:after="20"/>
            </w:pPr>
            <w:r/>
            <w:r>
              <w:rPr>
                <w:rFonts w:ascii="Montserrat" w:hAnsi="Montserrat" w:eastAsia="Montserrat"/>
                <w:b/>
                <w:i w:val="0"/>
                <w:color w:val="1E2A38"/>
                <w:sz w:val="17"/>
              </w:rPr>
              <w:t>8</w:t>
            </w:r>
          </w:p>
        </w:tc>
        <w:tc>
          <w:tcPr>
            <w:tcW w:type="dxa" w:w="1928"/>
          </w:tcPr>
          <w:p>
            <w:pPr>
              <w:spacing w:after="20"/>
            </w:pPr>
            <w:r/>
            <w:r>
              <w:rPr>
                <w:rFonts w:ascii="Montserrat" w:hAnsi="Montserrat" w:eastAsia="Montserrat"/>
                <w:b w:val="0"/>
                <w:i w:val="0"/>
                <w:color w:val="1E2A38"/>
                <w:sz w:val="17"/>
              </w:rPr>
              <w:t>Síndrome del Impostor</w:t>
            </w:r>
          </w:p>
        </w:tc>
        <w:tc>
          <w:tcPr>
            <w:tcW w:type="dxa" w:w="1361"/>
          </w:tcPr>
          <w:p>
            <w:pPr>
              <w:spacing w:after="20"/>
            </w:pPr>
            <w:r/>
            <w:r>
              <w:rPr>
                <w:rFonts w:ascii="Montserrat" w:hAnsi="Montserrat" w:eastAsia="Montserrat"/>
                <w:b w:val="0"/>
                <w:i w:val="0"/>
                <w:color w:val="1E2A38"/>
                <w:sz w:val="17"/>
              </w:rPr>
              <w:t>D17, D18, D19</w:t>
            </w:r>
          </w:p>
        </w:tc>
        <w:tc>
          <w:tcPr>
            <w:tcW w:type="dxa" w:w="1247"/>
            <w:shd w:val="clear" w:color="auto" w:fill="C2593F"/>
          </w:tcPr>
          <w:p>
            <w:pPr>
              <w:spacing w:after="20"/>
            </w:pPr>
            <w:r/>
            <w:r>
              <w:rPr>
                <w:rFonts w:ascii="Montserrat" w:hAnsi="Montserrat" w:eastAsia="Montserrat"/>
                <w:b/>
                <w:i w:val="0"/>
                <w:color w:val="FFFFFF"/>
                <w:sz w:val="17"/>
              </w:rPr>
              <w:t>Cautela</w:t>
            </w:r>
          </w:p>
        </w:tc>
        <w:tc>
          <w:tcPr>
            <w:tcW w:type="dxa" w:w="4365"/>
          </w:tcPr>
          <w:p>
            <w:pPr>
              <w:spacing w:after="20"/>
            </w:pPr>
            <w:r/>
            <w:r>
              <w:rPr>
                <w:rFonts w:ascii="Montserrat" w:hAnsi="Montserrat" w:eastAsia="Montserrat"/>
                <w:b w:val="0"/>
                <w:i w:val="0"/>
                <w:color w:val="1E2A38"/>
                <w:sz w:val="17"/>
              </w:rPr>
              <w:t>El liderazgo no está generando condiciones que contrarresten el impostor syndrome. Co-factor de la dinámica de #8; no el origen primario</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C6 — Lectura clínica de la lente</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Presenta el diagnóstico clínico desde el ángulo del liderazgo y los límites de lo que esta lente puede ver.</w:t>
            </w:r>
          </w:p>
        </w:tc>
      </w:tr>
    </w:tbl>
    <w:p>
      <w:pPr>
        <w:spacing w:after="40"/>
      </w:pPr>
    </w:p>
    <w:p>
      <w:pPr>
        <w:keepNext/>
        <w:spacing w:before="220" w:after="60"/>
      </w:pPr>
      <w:r>
        <w:rPr>
          <w:rFonts w:ascii="Marcellus" w:hAnsi="Marcellus" w:eastAsia="Marcellus"/>
          <w:b w:val="0"/>
          <w:i w:val="0"/>
          <w:color w:val="1E2A38"/>
          <w:sz w:val="26"/>
        </w:rPr>
        <w:t>Qué revela el AILS en Vertecsa Group</w:t>
      </w:r>
    </w:p>
    <w:p>
      <w:r>
        <w:rPr>
          <w:rFonts w:ascii="Montserrat" w:hAnsi="Montserrat" w:eastAsia="Montserrat"/>
          <w:b w:val="0"/>
          <w:i w:val="0"/>
          <w:color w:val="1E2A38"/>
          <w:sz w:val="20"/>
        </w:rPr>
        <w:t>El gap D21-D9 es la señal de mayor densidad diagnóstica de este reporte. Un liderazgo que patrocina en comunicaciones formales pero no usa la IA de forma observable en su trabajo diario genera un tipo específico de cinismo técnico: el equipo lee la diferencia como señal de que «la IA es para los demás, no para quien decide». Este patrón tiene un efecto sobre los bloqueos individuales: si el líder no la usa en sus casos complejos, ¿por qué el desarrollador debería arriesgarse con la suya?</w:t>
      </w:r>
    </w:p>
    <w:p>
      <w:r>
        <w:rPr>
          <w:rFonts w:ascii="Montserrat" w:hAnsi="Montserrat" w:eastAsia="Montserrat"/>
          <w:b w:val="0"/>
          <w:i w:val="0"/>
          <w:color w:val="1E2A38"/>
          <w:sz w:val="20"/>
        </w:rPr>
        <w:t>D8 y D7 en Cautela indican que ningún tech lead ha convertido en problema propio ni la pregunta «¿puedo usar el copilot en código de cliente bancario?» ni la circulación de lo que funciona entre equipos. Cada tech lead ha improvisado su respuesta o ha devuelto la pregunta al desarrollador, y D16 en Cautela indica que no hay conducta observable de coordinar entre equipos. D19 completa el cuadro bajo condiciones reales: bajo presión de entrega, la experimentación se convierte en riesgo individual sin respaldo.</w:t>
      </w:r>
    </w:p>
    <w:p>
      <w:pPr>
        <w:keepNext/>
        <w:spacing w:before="220" w:after="60"/>
      </w:pPr>
      <w:r>
        <w:rPr>
          <w:rFonts w:ascii="Marcellus" w:hAnsi="Marcellus" w:eastAsia="Marcellus"/>
          <w:b w:val="0"/>
          <w:i w:val="0"/>
          <w:color w:val="1E2A38"/>
          <w:sz w:val="26"/>
        </w:rPr>
        <w:t>Declaración de cobertura: qué NO puede ver el AILS</w:t>
      </w:r>
    </w:p>
    <w:p>
      <w:pPr>
        <w:pStyle w:val="ListBullet"/>
        <w:spacing w:after="40"/>
      </w:pPr>
      <w:r>
        <w:rPr>
          <w:rFonts w:ascii="Montserrat" w:hAnsi="Montserrat" w:eastAsia="Montserrat"/>
          <w:b w:val="0"/>
          <w:i w:val="0"/>
          <w:color w:val="1E2A38"/>
          <w:sz w:val="20"/>
        </w:rPr>
        <w:t>Lo que el liderazgo intenta hacer pero el equipo no percibe. El AILS solo registra lo observable.</w:t>
      </w:r>
    </w:p>
    <w:p>
      <w:pPr>
        <w:pStyle w:val="ListBullet"/>
        <w:spacing w:after="40"/>
      </w:pPr>
      <w:r>
        <w:rPr>
          <w:rFonts w:ascii="Montserrat" w:hAnsi="Montserrat" w:eastAsia="Montserrat"/>
          <w:b w:val="0"/>
          <w:i w:val="0"/>
          <w:color w:val="1E2A38"/>
          <w:sz w:val="20"/>
        </w:rPr>
        <w:t>Si la ausencia de governance (D8 Cautela) o de coordinación entre equipos (D7, D16) refleja una brecha estructural o una omisión de liderazgo. El AICD registra si esa ausencia es de origen institucional.</w:t>
      </w:r>
    </w:p>
    <w:p>
      <w:pPr>
        <w:pStyle w:val="ListBullet"/>
        <w:spacing w:after="40"/>
      </w:pPr>
      <w:r>
        <w:rPr>
          <w:rFonts w:ascii="Montserrat" w:hAnsi="Montserrat" w:eastAsia="Montserrat"/>
          <w:b w:val="0"/>
          <w:i w:val="0"/>
          <w:color w:val="1E2A38"/>
          <w:sz w:val="20"/>
        </w:rPr>
        <w:t>Las creencias del equipo sobre el liderazgo. El AIMT cubre lo que el equipo cree sobre el compromiso del liderazgo (#6 en Diestro en AIMT), que puede diferir de lo que observa en el AILS.</w:t>
      </w:r>
    </w:p>
    <w:p>
      <w:pPr>
        <w:pStyle w:val="ListBullet"/>
        <w:spacing w:after="40"/>
      </w:pPr>
      <w:r>
        <w:rPr>
          <w:rFonts w:ascii="Montserrat" w:hAnsi="Montserrat" w:eastAsia="Montserrat"/>
          <w:b w:val="0"/>
          <w:i w:val="0"/>
          <w:color w:val="1E2A38"/>
          <w:sz w:val="20"/>
        </w:rPr>
        <w:t>Las diferencias de liderazgo entre tech leads individuales. El AILS agrega la percepción sobre «el liderazgo de la organización» como blanco colectivo.</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C2593F"/>
                <w:sz w:val="17"/>
              </w:rPr>
              <w:t xml:space="preserve">NOTA SOBRE LA NATURALEZA INDICATIVA DEL AILS   </w:t>
            </w:r>
            <w:r>
              <w:rPr>
                <w:rFonts w:ascii="Montserrat" w:hAnsi="Montserrat" w:eastAsia="Montserrat"/>
                <w:b w:val="0"/>
                <w:i w:val="0"/>
                <w:color w:val="1E2A38"/>
                <w:sz w:val="20"/>
              </w:rPr>
              <w:t>Es un instrumento de señal indicativa por su diseño multi-observador. Sus resultados tienen mayor valor cuando se triangulan con los otros dos instrumentos. No derives conclusiones de causa raíz basándote solo en el AILS.</w:t>
            </w:r>
          </w:p>
        </w:tc>
      </w:tr>
    </w:tbl>
    <w:p>
      <w:pPr>
        <w:spacing w:after="40"/>
      </w:pPr>
    </w:p>
    <w:p>
      <w:pPr>
        <w:keepNext/>
        <w:spacing w:before="320" w:after="120"/>
        <w:pBdr>
          <w:bottom w:val="single" w:sz="8" w:space="2" w:color="2e8b76"/>
        </w:pBdr>
      </w:pPr>
      <w:r>
        <w:rPr>
          <w:rFonts w:ascii="Marcellus" w:hAnsi="Marcellus" w:eastAsia="Marcellus"/>
          <w:b w:val="0"/>
          <w:i w:val="0"/>
          <w:color w:val="1E2A38"/>
          <w:sz w:val="38"/>
        </w:rPr>
        <w:t>C7 — Insumos para el Reporte Integral BAIP</w:t>
      </w:r>
    </w:p>
    <w:tbl>
      <w:tblPr>
        <w:tblStyle w:val="TableGrid"/>
        <w:tblW w:type="auto" w:w="0"/>
        <w:tblLook w:firstColumn="1" w:firstRow="1" w:lastColumn="0" w:lastRow="0" w:noHBand="0" w:noVBand="1" w:val="04A0"/>
      </w:tblPr>
      <w:tblGrid>
        <w:gridCol w:w="9746"/>
      </w:tblGrid>
      <w:tr>
        <w:tc>
          <w:tcPr>
            <w:tcW w:type="dxa" w:w="9746"/>
            <w:shd w:val="clear" w:color="auto" w:fill="EEF0EF"/>
          </w:tcPr>
          <w:p>
            <w:r/>
            <w:r>
              <w:rPr>
                <w:rFonts w:ascii="Montserrat" w:hAnsi="Montserrat" w:eastAsia="Montserrat"/>
                <w:b/>
                <w:i w:val="0"/>
                <w:color w:val="2E8B76"/>
                <w:sz w:val="17"/>
              </w:rPr>
              <w:t xml:space="preserve">PARA EL LECTOR   </w:t>
            </w:r>
            <w:r>
              <w:rPr>
                <w:rFonts w:ascii="Montserrat" w:hAnsi="Montserrat" w:eastAsia="Montserrat"/>
                <w:b w:val="0"/>
                <w:i/>
                <w:color w:val="1E2A38"/>
                <w:sz w:val="19"/>
              </w:rPr>
              <w:t>No es un plan de intervención. Es la contribución de la lente de liderazgo al Reporte Integral BAIP. El orden entre los insumos lo define el analista a partir del cruce.</w:t>
            </w:r>
          </w:p>
        </w:tc>
      </w:tr>
    </w:tbl>
    <w:p>
      <w:pPr>
        <w:spacing w:after="40"/>
      </w:pPr>
    </w:p>
    <w:p>
      <w:pPr>
        <w:keepNext/>
        <w:spacing w:before="220" w:after="60"/>
      </w:pPr>
      <w:r>
        <w:rPr>
          <w:rFonts w:ascii="Marcellus" w:hAnsi="Marcellus" w:eastAsia="Marcellus"/>
          <w:b w:val="0"/>
          <w:i w:val="0"/>
          <w:color w:val="1E2A38"/>
          <w:sz w:val="26"/>
        </w:rPr>
        <w:t>C7a — Insumo de desbloqueo (30 / 60 / 90 días)</w:t>
      </w:r>
    </w:p>
    <w:p>
      <w:pPr>
        <w:pStyle w:val="ListBullet"/>
        <w:spacing w:after="40"/>
      </w:pPr>
      <w:r>
        <w:rPr>
          <w:rFonts w:ascii="Montserrat" w:hAnsi="Montserrat" w:eastAsia="Montserrat"/>
          <w:b/>
          <w:i w:val="0"/>
          <w:color w:val="1E2A38"/>
          <w:sz w:val="20"/>
        </w:rPr>
        <w:t xml:space="preserve">30 días. </w:t>
      </w:r>
      <w:r>
        <w:rPr>
          <w:rFonts w:ascii="Montserrat" w:hAnsi="Montserrat" w:eastAsia="Montserrat"/>
          <w:b w:val="0"/>
          <w:i w:val="0"/>
          <w:color w:val="1E2A38"/>
          <w:sz w:val="20"/>
        </w:rPr>
        <w:t>El capital de D21 (el patrocinio visible que el CTO ha construido) puede redirigirse de comunicación general a instrucción específica: pedir a los tech leads que lleven su norma de uso a un espacio común.</w:t>
      </w:r>
    </w:p>
    <w:p>
      <w:pPr>
        <w:pStyle w:val="ListBullet"/>
        <w:spacing w:after="40"/>
      </w:pPr>
      <w:r>
        <w:rPr>
          <w:rFonts w:ascii="Montserrat" w:hAnsi="Montserrat" w:eastAsia="Montserrat"/>
          <w:b/>
          <w:i w:val="0"/>
          <w:color w:val="1E2A38"/>
          <w:sz w:val="20"/>
        </w:rPr>
        <w:t xml:space="preserve">60 días. </w:t>
      </w:r>
      <w:r>
        <w:rPr>
          <w:rFonts w:ascii="Montserrat" w:hAnsi="Montserrat" w:eastAsia="Montserrat"/>
          <w:b w:val="0"/>
          <w:i w:val="0"/>
          <w:color w:val="1E2A38"/>
          <w:sz w:val="20"/>
        </w:rPr>
        <w:t>D19 en Cautela señala que la experimentación con IA bajo presión de entrega requiere un cambio de condiciones, no solo de actitud: diseñar espacios de práctica dentro de los ciclos de entrega.</w:t>
      </w:r>
    </w:p>
    <w:p>
      <w:pPr>
        <w:pStyle w:val="ListBullet"/>
        <w:spacing w:after="40"/>
      </w:pPr>
      <w:r>
        <w:rPr>
          <w:rFonts w:ascii="Montserrat" w:hAnsi="Montserrat" w:eastAsia="Montserrat"/>
          <w:b/>
          <w:i w:val="0"/>
          <w:color w:val="1E2A38"/>
          <w:sz w:val="20"/>
        </w:rPr>
        <w:t xml:space="preserve">90 días. </w:t>
      </w:r>
      <w:r>
        <w:rPr>
          <w:rFonts w:ascii="Montserrat" w:hAnsi="Montserrat" w:eastAsia="Montserrat"/>
          <w:b w:val="0"/>
          <w:i w:val="0"/>
          <w:color w:val="1E2A38"/>
          <w:sz w:val="20"/>
        </w:rPr>
        <w:t>D9 y D20 en Vulnerable están conectados: el líder que no usa IA personalmente tiene poca credibilidad para manejar la ansiedad de desplazamiento de su equipo. Modelar el uso de forma visible tiene un efecto que ninguna comunicación puede replicar.</w:t>
      </w:r>
    </w:p>
    <w:p>
      <w:pPr>
        <w:keepNext/>
        <w:spacing w:before="220" w:after="60"/>
      </w:pPr>
      <w:r>
        <w:rPr>
          <w:rFonts w:ascii="Marcellus" w:hAnsi="Marcellus" w:eastAsia="Marcellus"/>
          <w:b w:val="0"/>
          <w:i w:val="0"/>
          <w:color w:val="1E2A38"/>
          <w:sz w:val="26"/>
        </w:rPr>
        <w:t>C7b — Insumo estructural (Solución estructural ReturnAI)</w:t>
      </w:r>
    </w:p>
    <w:p>
      <w:r>
        <w:rPr>
          <w:rFonts w:ascii="Montserrat" w:hAnsi="Montserrat" w:eastAsia="Montserrat"/>
          <w:b w:val="0"/>
          <w:i w:val="0"/>
          <w:color w:val="1E2A38"/>
          <w:sz w:val="20"/>
        </w:rPr>
        <w:t>Desde el liderazgo, la solución debe incluir trabajo específico con los tech leads como capa de liderazgo inmediato, no solo con el CTO: D7, D8, D16 y D19 operan a ese nivel. Los componentes del Modelo ARIA relevantes incluyen, entre otros, el Framework LEIA, el framework LED para la competencia de los tech leads de liderar adopción y el PATH para sostener los comportamientos. El analista deriva la secuencia del cruce con AIMT y AICD.</w:t>
      </w:r>
    </w:p>
    <w:p>
      <w:r>
        <w:rPr>
          <w:rFonts w:ascii="Montserrat" w:hAnsi="Montserrat" w:eastAsia="Montserrat"/>
          <w:b w:val="0"/>
          <w:i/>
          <w:color w:val="6B7280"/>
          <w:sz w:val="16"/>
        </w:rPr>
        <w:t>Modelo ARIA — Aceleración del Retorno de la IA. Desarrollado por Digital Change Advisors, LLC. Licenciado bajo Creative Commons BY-SA 4.0. Caso sintético · Datos de agregado · Ninguna empresa real está representada. Reporte de uso exclusivo en el contexto de la Certificación Analista BAIP.</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b w:val="0"/>
        <w:i w:val="0"/>
        <w:color w:val="6B7280"/>
        <w:sz w:val="16"/>
      </w:rPr>
      <w:t xml:space="preserve">Kit de la audición · Reporte AILS · Caso Vertecsa Group · Página </w:t>
    </w:r>
    <w:r>
      <w:rPr>
        <w:rFonts w:ascii="Montserrat" w:hAnsi="Montserrat" w:eastAsia="Montserrat"/>
        <w:b w:val="0"/>
        <w:i w:val="0"/>
        <w:color w:val="6B728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ontserrat" w:hAnsi="Montserrat" w:eastAsia="Montserrat"/>
      <w:color w:val="1E2A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