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Montserrat" w:hAnsi="Montserrat" w:eastAsia="Montserrat"/>
          <w:b/>
          <w:i w:val="0"/>
          <w:color w:val="A48111"/>
          <w:sz w:val="20"/>
        </w:rPr>
        <w:t>DIGITAL CHANGE ADVISORS</w:t>
      </w:r>
    </w:p>
    <w:p>
      <w:pPr>
        <w:spacing w:after="320"/>
      </w:pPr>
      <w:r>
        <w:rPr>
          <w:rFonts w:ascii="Montserrat" w:hAnsi="Montserrat" w:eastAsia="Montserrat"/>
          <w:b w:val="0"/>
          <w:i w:val="0"/>
          <w:color w:val="6B7280"/>
          <w:sz w:val="20"/>
        </w:rPr>
        <w:t>Borrador para revisión analítica · BAIP · Uso exclusivo del estudiante</w:t>
      </w:r>
    </w:p>
    <w:p>
      <w:pPr>
        <w:spacing w:after="80"/>
      </w:pPr>
      <w:r>
        <w:rPr>
          <w:rFonts w:ascii="Marcellus" w:hAnsi="Marcellus" w:eastAsia="Marcellus"/>
          <w:b w:val="0"/>
          <w:i w:val="0"/>
          <w:color w:val="1E2A38"/>
          <w:sz w:val="52"/>
        </w:rPr>
        <w:t>Reporte Integral Brecha AI Personas</w:t>
      </w:r>
    </w:p>
    <w:p>
      <w:pPr>
        <w:spacing w:after="240"/>
      </w:pPr>
      <w:r>
        <w:rPr>
          <w:rFonts w:ascii="Marcellus" w:hAnsi="Marcellus" w:eastAsia="Marcellus"/>
          <w:b w:val="0"/>
          <w:i w:val="0"/>
          <w:color w:val="2E8B76"/>
          <w:sz w:val="28"/>
        </w:rPr>
        <w:t>Vertecsa Group · Borrador con errores de integración</w:t>
      </w:r>
    </w:p>
    <w:p>
      <w:r>
        <w:rPr>
          <w:rFonts w:ascii="Montserrat" w:hAnsi="Montserrat" w:eastAsia="Montserrat"/>
          <w:b w:val="0"/>
          <w:i/>
          <w:color w:val="6B7280"/>
          <w:sz w:val="20"/>
        </w:rPr>
        <w:t>Este borrador fue producido por un analista que aplicó correctamente los tres instrumentos pero cometió errores críticos en el paso de integración y cruce. Tu tarea: identificar los errores, reconstruir S3 y S4, completar S5, S6 y S7, y llevar S1 y la matriz de anticipación a su versión final. Las instrucciones completas y los espacios de entrega están en la página de la audición.</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A48111"/>
                <w:sz w:val="17"/>
              </w:rPr>
              <w:t xml:space="preserve">INSTRUCCIÓN   </w:t>
            </w:r>
            <w:r>
              <w:rPr>
                <w:rFonts w:ascii="Montserrat" w:hAnsi="Montserrat" w:eastAsia="Montserrat"/>
                <w:b w:val="0"/>
                <w:i w:val="0"/>
                <w:color w:val="1E2A38"/>
                <w:sz w:val="20"/>
              </w:rPr>
              <w:t>(a) Identifica cada error de integración con precisión, citando la evidencia específica en los reportes de lente y en el documento del caso que lo refuta. (b) Reconstruye las Secciones 3 y 4 con el diagnóstico correcto. (c) Completa las Secciones 5, 6 y 7 derivadas de tu diagnóstico corregido. Las Secciones 1 y 2 pueden servirte de base, pero deben revisarse si el keystone cambia. El número de errores no se indica.</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S1 — Síntesis ejecutiva</w:t>
      </w:r>
    </w:p>
    <w:p>
      <w:r>
        <w:rPr>
          <w:rFonts w:ascii="Montserrat" w:hAnsi="Montserrat" w:eastAsia="Montserrat"/>
          <w:b w:val="0"/>
          <w:i w:val="0"/>
          <w:color w:val="1E2A38"/>
          <w:sz w:val="20"/>
        </w:rPr>
        <w:t>El diagnóstico integrado de Vertecsa Group identifica el Síndrome del Impostor (#8) como el obstáculo keystone que bloquea la adopción de las herramientas de IA en el equipo de ingeniería. Este obstáculo opera con mayor intensidad en el segmento de desarrolladores senior y se ve amplificado por la fricción de governance (#2), que genera incertidumbre operativa adicional, y por un liderazgo inmediato que no genera condiciones para experimentar sin riesgo reputacional.</w:t>
      </w:r>
    </w:p>
    <w:p>
      <w:r>
        <w:rPr>
          <w:rFonts w:ascii="Montserrat" w:hAnsi="Montserrat" w:eastAsia="Montserrat"/>
          <w:b w:val="0"/>
          <w:i w:val="0"/>
          <w:color w:val="1E2A38"/>
          <w:sz w:val="20"/>
        </w:rPr>
        <w:t>La inversión de USD 380.000 en herramientas de IA muestra una utilización del 14% frente al 70% proyectado. La brecha no es tecnológica: el sistema funciona y las licencias están activas. La brecha es humana. Mientras el equipo senior perciba que usar IA expone su autoridad técnica, el retorno de la inversión permanecerá bloqueado.</w:t>
      </w:r>
    </w:p>
    <w:p>
      <w:pPr>
        <w:keepNext/>
        <w:spacing w:before="220" w:after="60"/>
      </w:pPr>
      <w:r>
        <w:rPr>
          <w:rFonts w:ascii="Marcellus" w:hAnsi="Marcellus" w:eastAsia="Marcellus"/>
          <w:b w:val="0"/>
          <w:i w:val="0"/>
          <w:color w:val="1E2A38"/>
          <w:sz w:val="26"/>
        </w:rPr>
        <w:t>Tres prioridades de intervención</w:t>
      </w:r>
    </w:p>
    <w:p>
      <w:pPr>
        <w:pStyle w:val="ListBullet"/>
        <w:spacing w:after="40"/>
      </w:pPr>
      <w:r>
        <w:rPr>
          <w:rFonts w:ascii="Montserrat" w:hAnsi="Montserrat" w:eastAsia="Montserrat"/>
          <w:b w:val="0"/>
          <w:i w:val="0"/>
          <w:color w:val="1E2A38"/>
          <w:sz w:val="20"/>
        </w:rPr>
        <w:t>Construir seguridad psicológica para el uso de IA, con énfasis en el segmento senior.</w:t>
      </w:r>
    </w:p>
    <w:p>
      <w:pPr>
        <w:pStyle w:val="ListBullet"/>
        <w:spacing w:after="40"/>
      </w:pPr>
      <w:r>
        <w:rPr>
          <w:rFonts w:ascii="Montserrat" w:hAnsi="Montserrat" w:eastAsia="Montserrat"/>
          <w:b w:val="0"/>
          <w:i w:val="0"/>
          <w:color w:val="1E2A38"/>
          <w:sz w:val="20"/>
        </w:rPr>
        <w:t>Emitir un protocolo corporativo de governance que cierre la ambigüedad sobre el uso de IA en código cliente.</w:t>
      </w:r>
    </w:p>
    <w:p>
      <w:pPr>
        <w:pStyle w:val="ListBullet"/>
        <w:spacing w:after="40"/>
      </w:pPr>
      <w:r>
        <w:rPr>
          <w:rFonts w:ascii="Montserrat" w:hAnsi="Montserrat" w:eastAsia="Montserrat"/>
          <w:b w:val="0"/>
          <w:i w:val="0"/>
          <w:color w:val="1E2A38"/>
          <w:sz w:val="20"/>
        </w:rPr>
        <w:t>Ajustar el diseño de las sesiones de code review para neutralizar la dinámica de comparación generacional.</w:t>
      </w:r>
    </w:p>
    <w:p>
      <w:r>
        <w:rPr>
          <w:rFonts w:ascii="Montserrat" w:hAnsi="Montserrat" w:eastAsia="Montserrat"/>
          <w:b w:val="0"/>
          <w:i w:val="0"/>
          <w:color w:val="1E2A38"/>
          <w:sz w:val="20"/>
        </w:rPr>
        <w:t>Horizonte de impacto: si el keystone de impostor syndrome se desbloquea en el segmento senior en 60–90 días y se emite el protocolo corporativo, la utilización puede crecer a 45–55% en 120 días.</w:t>
      </w:r>
    </w:p>
    <w:p>
      <w:pPr>
        <w:keepNext/>
        <w:spacing w:before="320" w:after="120"/>
        <w:pBdr>
          <w:bottom w:val="single" w:sz="8" w:space="2" w:color="2e8b76"/>
        </w:pBdr>
      </w:pPr>
      <w:r>
        <w:rPr>
          <w:rFonts w:ascii="Marcellus" w:hAnsi="Marcellus" w:eastAsia="Marcellus"/>
          <w:b w:val="0"/>
          <w:i w:val="0"/>
          <w:color w:val="1E2A38"/>
          <w:sz w:val="38"/>
        </w:rPr>
        <w:t>S2 — Contexto del diagnóstico</w:t>
      </w:r>
    </w:p>
    <w:tbl>
      <w:tblPr>
        <w:tblStyle w:val="TableGrid"/>
        <w:tblW w:type="auto" w:w="0"/>
        <w:tblLook w:firstColumn="1" w:firstRow="1" w:lastColumn="0" w:lastRow="0" w:noHBand="0" w:noVBand="1" w:val="04A0"/>
      </w:tblPr>
      <w:tblGrid>
        <w:gridCol w:w="4873"/>
        <w:gridCol w:w="4873"/>
      </w:tblGrid>
      <w:tr>
        <w:tc>
          <w:tcPr>
            <w:tcW w:type="dxa" w:w="2268"/>
            <w:shd w:val="clear" w:color="auto" w:fill="1E2A38"/>
          </w:tcPr>
          <w:p>
            <w:pPr>
              <w:spacing w:after="20"/>
            </w:pPr>
            <w:r/>
            <w:r>
              <w:rPr>
                <w:rFonts w:ascii="Montserrat" w:hAnsi="Montserrat" w:eastAsia="Montserrat"/>
                <w:b/>
                <w:i w:val="0"/>
                <w:color w:val="FFFFFF"/>
                <w:sz w:val="18"/>
              </w:rPr>
              <w:t>Campo</w:t>
            </w:r>
          </w:p>
        </w:tc>
        <w:tc>
          <w:tcPr>
            <w:tcW w:type="dxa" w:w="7143"/>
            <w:shd w:val="clear" w:color="auto" w:fill="1E2A38"/>
          </w:tcPr>
          <w:p>
            <w:pPr>
              <w:spacing w:after="20"/>
            </w:pPr>
            <w:r/>
            <w:r>
              <w:rPr>
                <w:rFonts w:ascii="Montserrat" w:hAnsi="Montserrat" w:eastAsia="Montserrat"/>
                <w:b/>
                <w:i w:val="0"/>
                <w:color w:val="FFFFFF"/>
                <w:sz w:val="18"/>
              </w:rPr>
              <w:t>Datos</w:t>
            </w:r>
          </w:p>
        </w:tc>
      </w:tr>
      <w:tr>
        <w:tc>
          <w:tcPr>
            <w:tcW w:type="dxa" w:w="2268"/>
          </w:tcPr>
          <w:p>
            <w:pPr>
              <w:spacing w:after="20"/>
            </w:pPr>
            <w:r/>
            <w:r>
              <w:rPr>
                <w:rFonts w:ascii="Montserrat" w:hAnsi="Montserrat" w:eastAsia="Montserrat"/>
                <w:b/>
                <w:i w:val="0"/>
                <w:color w:val="1E2A38"/>
                <w:sz w:val="18"/>
              </w:rPr>
              <w:t>Empresa</w:t>
            </w:r>
          </w:p>
        </w:tc>
        <w:tc>
          <w:tcPr>
            <w:tcW w:type="dxa" w:w="7143"/>
          </w:tcPr>
          <w:p>
            <w:pPr>
              <w:spacing w:after="20"/>
            </w:pPr>
            <w:r/>
            <w:r>
              <w:rPr>
                <w:rFonts w:ascii="Montserrat" w:hAnsi="Montserrat" w:eastAsia="Montserrat"/>
                <w:b w:val="0"/>
                <w:i w:val="0"/>
                <w:color w:val="1E2A38"/>
                <w:sz w:val="18"/>
              </w:rPr>
              <w:t>Vertecsa Group. Desarrollo de software a medida para el sector bancario-financiero. 190 empleados</w:t>
            </w:r>
          </w:p>
        </w:tc>
      </w:tr>
      <w:tr>
        <w:tc>
          <w:tcPr>
            <w:tcW w:type="dxa" w:w="2268"/>
            <w:shd w:val="clear" w:color="auto" w:fill="EEF0EF"/>
          </w:tcPr>
          <w:p>
            <w:pPr>
              <w:spacing w:after="20"/>
            </w:pPr>
            <w:r/>
            <w:r>
              <w:rPr>
                <w:rFonts w:ascii="Montserrat" w:hAnsi="Montserrat" w:eastAsia="Montserrat"/>
                <w:b/>
                <w:i w:val="0"/>
                <w:color w:val="1E2A38"/>
                <w:sz w:val="18"/>
              </w:rPr>
              <w:t>Unidad diagnosticada</w:t>
            </w:r>
          </w:p>
        </w:tc>
        <w:tc>
          <w:tcPr>
            <w:tcW w:type="dxa" w:w="7143"/>
            <w:shd w:val="clear" w:color="auto" w:fill="EEF0EF"/>
          </w:tcPr>
          <w:p>
            <w:pPr>
              <w:spacing w:after="20"/>
            </w:pPr>
            <w:r/>
            <w:r>
              <w:rPr>
                <w:rFonts w:ascii="Montserrat" w:hAnsi="Montserrat" w:eastAsia="Montserrat"/>
                <w:b w:val="0"/>
                <w:i w:val="0"/>
                <w:color w:val="1E2A38"/>
                <w:sz w:val="18"/>
              </w:rPr>
              <w:t>Equipos de ingeniería: 55 desarrolladores, 8 tech leads y 1 Directora de Ingeniería. Total: 64 personas valoradas</w:t>
            </w:r>
          </w:p>
        </w:tc>
      </w:tr>
      <w:tr>
        <w:tc>
          <w:tcPr>
            <w:tcW w:type="dxa" w:w="2268"/>
          </w:tcPr>
          <w:p>
            <w:pPr>
              <w:spacing w:after="20"/>
            </w:pPr>
            <w:r/>
            <w:r>
              <w:rPr>
                <w:rFonts w:ascii="Montserrat" w:hAnsi="Montserrat" w:eastAsia="Montserrat"/>
                <w:b/>
                <w:i w:val="0"/>
                <w:color w:val="1E2A38"/>
                <w:sz w:val="18"/>
              </w:rPr>
              <w:t>AIMT</w:t>
            </w:r>
          </w:p>
        </w:tc>
        <w:tc>
          <w:tcPr>
            <w:tcW w:type="dxa" w:w="7143"/>
          </w:tcPr>
          <w:p>
            <w:pPr>
              <w:spacing w:after="20"/>
            </w:pPr>
            <w:r/>
            <w:r>
              <w:rPr>
                <w:rFonts w:ascii="Montserrat" w:hAnsi="Montserrat" w:eastAsia="Montserrat"/>
                <w:b w:val="0"/>
                <w:i w:val="0"/>
                <w:color w:val="1E2A38"/>
                <w:sz w:val="18"/>
              </w:rPr>
              <w:t>50 de 55 desarrolladores. Tasa de respuesta: 91%. Autorreporte individual anónimo</w:t>
            </w:r>
          </w:p>
        </w:tc>
      </w:tr>
      <w:tr>
        <w:tc>
          <w:tcPr>
            <w:tcW w:type="dxa" w:w="2268"/>
            <w:shd w:val="clear" w:color="auto" w:fill="EEF0EF"/>
          </w:tcPr>
          <w:p>
            <w:pPr>
              <w:spacing w:after="20"/>
            </w:pPr>
            <w:r/>
            <w:r>
              <w:rPr>
                <w:rFonts w:ascii="Montserrat" w:hAnsi="Montserrat" w:eastAsia="Montserrat"/>
                <w:b/>
                <w:i w:val="0"/>
                <w:color w:val="1E2A38"/>
                <w:sz w:val="18"/>
              </w:rPr>
              <w:t>AILS</w:t>
            </w:r>
          </w:p>
        </w:tc>
        <w:tc>
          <w:tcPr>
            <w:tcW w:type="dxa" w:w="7143"/>
            <w:shd w:val="clear" w:color="auto" w:fill="EEF0EF"/>
          </w:tcPr>
          <w:p>
            <w:pPr>
              <w:spacing w:after="20"/>
            </w:pPr>
            <w:r/>
            <w:r>
              <w:rPr>
                <w:rFonts w:ascii="Montserrat" w:hAnsi="Montserrat" w:eastAsia="Montserrat"/>
                <w:b w:val="0"/>
                <w:i w:val="0"/>
                <w:color w:val="1E2A38"/>
                <w:sz w:val="18"/>
              </w:rPr>
              <w:t>49 observadores (89% de 55). Observación del liderazgo de la organización. Multi-observador anónimo</w:t>
            </w:r>
          </w:p>
        </w:tc>
      </w:tr>
      <w:tr>
        <w:tc>
          <w:tcPr>
            <w:tcW w:type="dxa" w:w="2268"/>
          </w:tcPr>
          <w:p>
            <w:pPr>
              <w:spacing w:after="20"/>
            </w:pPr>
            <w:r/>
            <w:r>
              <w:rPr>
                <w:rFonts w:ascii="Montserrat" w:hAnsi="Montserrat" w:eastAsia="Montserrat"/>
                <w:b/>
                <w:i w:val="0"/>
                <w:color w:val="1E2A38"/>
                <w:sz w:val="18"/>
              </w:rPr>
              <w:t>AICD</w:t>
            </w:r>
          </w:p>
        </w:tc>
        <w:tc>
          <w:tcPr>
            <w:tcW w:type="dxa" w:w="7143"/>
          </w:tcPr>
          <w:p>
            <w:pPr>
              <w:spacing w:after="20"/>
            </w:pPr>
            <w:r/>
            <w:r>
              <w:rPr>
                <w:rFonts w:ascii="Montserrat" w:hAnsi="Montserrat" w:eastAsia="Montserrat"/>
                <w:b w:val="0"/>
                <w:i w:val="0"/>
                <w:color w:val="1E2A38"/>
                <w:sz w:val="18"/>
              </w:rPr>
              <w:t>10 respondentes con visibilidad sistémica. 100% de respuesta</w:t>
            </w:r>
          </w:p>
        </w:tc>
      </w:tr>
      <w:tr>
        <w:tc>
          <w:tcPr>
            <w:tcW w:type="dxa" w:w="2268"/>
            <w:shd w:val="clear" w:color="auto" w:fill="EEF0EF"/>
          </w:tcPr>
          <w:p>
            <w:pPr>
              <w:spacing w:after="20"/>
            </w:pPr>
            <w:r/>
            <w:r>
              <w:rPr>
                <w:rFonts w:ascii="Montserrat" w:hAnsi="Montserrat" w:eastAsia="Montserrat"/>
                <w:b/>
                <w:i w:val="0"/>
                <w:color w:val="1E2A38"/>
                <w:sz w:val="18"/>
              </w:rPr>
              <w:t>Marco interpretativo</w:t>
            </w:r>
          </w:p>
        </w:tc>
        <w:tc>
          <w:tcPr>
            <w:tcW w:type="dxa" w:w="7143"/>
            <w:shd w:val="clear" w:color="auto" w:fill="EEF0EF"/>
          </w:tcPr>
          <w:p>
            <w:pPr>
              <w:spacing w:after="20"/>
            </w:pPr>
            <w:r/>
            <w:r>
              <w:rPr>
                <w:rFonts w:ascii="Montserrat" w:hAnsi="Montserrat" w:eastAsia="Montserrat"/>
                <w:b w:val="0"/>
                <w:i w:val="0"/>
                <w:color w:val="1E2A38"/>
                <w:sz w:val="18"/>
              </w:rPr>
              <w:t>10 obstáculos humanos que impiden escalar la IA. Escala: Cautela · Vulnerable · Diestro · Óptimo</w:t>
            </w:r>
          </w:p>
        </w:tc>
      </w:tr>
      <w:tr>
        <w:tc>
          <w:tcPr>
            <w:tcW w:type="dxa" w:w="2268"/>
          </w:tcPr>
          <w:p>
            <w:pPr>
              <w:spacing w:after="20"/>
            </w:pPr>
            <w:r/>
            <w:r>
              <w:rPr>
                <w:rFonts w:ascii="Montserrat" w:hAnsi="Montserrat" w:eastAsia="Montserrat"/>
                <w:b/>
                <w:i w:val="0"/>
                <w:color w:val="1E2A38"/>
                <w:sz w:val="18"/>
              </w:rPr>
              <w:t>Línea base KPI crítica</w:t>
            </w:r>
          </w:p>
        </w:tc>
        <w:tc>
          <w:tcPr>
            <w:tcW w:type="dxa" w:w="7143"/>
          </w:tcPr>
          <w:p>
            <w:pPr>
              <w:spacing w:after="20"/>
            </w:pPr>
            <w:r/>
            <w:r>
              <w:rPr>
                <w:rFonts w:ascii="Montserrat" w:hAnsi="Montserrat" w:eastAsia="Montserrat"/>
                <w:b w:val="0"/>
                <w:i w:val="0"/>
                <w:color w:val="1E2A38"/>
                <w:sz w:val="18"/>
              </w:rPr>
              <w:t>Ciclo de entrega: 21 días (base), meta 12, real 19,5. Utilización IA: 0% (base), meta 70%, real 14%</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S3 — Diagnóstico integrado</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NOTA DEL ANALISTA   </w:t>
            </w:r>
            <w:r>
              <w:rPr>
                <w:rFonts w:ascii="Montserrat" w:hAnsi="Montserrat" w:eastAsia="Montserrat"/>
                <w:b w:val="0"/>
                <w:i w:val="0"/>
                <w:color w:val="1E2A38"/>
                <w:sz w:val="20"/>
              </w:rPr>
              <w:t>La siguiente tabla muestra la lectura cruzada de los tres instrumentos por obstáculo. Quien revise este borrador debe verificar si los niveles asignados a cada instrumento son correctos y si la lectura integrada es defendible ante un jurado.</w:t>
            </w:r>
          </w:p>
        </w:tc>
      </w:tr>
    </w:tbl>
    <w:p>
      <w:pPr>
        <w:spacing w:after="40"/>
      </w:pP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28"/>
            <w:shd w:val="clear" w:color="auto" w:fill="1E2A38"/>
          </w:tcPr>
          <w:p>
            <w:pPr>
              <w:spacing w:after="20"/>
            </w:pPr>
            <w:r/>
            <w:r>
              <w:rPr>
                <w:rFonts w:ascii="Montserrat" w:hAnsi="Montserrat" w:eastAsia="Montserrat"/>
                <w:b/>
                <w:i w:val="0"/>
                <w:color w:val="FFFFFF"/>
                <w:sz w:val="17"/>
              </w:rPr>
              <w:t>Obstáculo</w:t>
            </w:r>
          </w:p>
        </w:tc>
        <w:tc>
          <w:tcPr>
            <w:tcW w:type="dxa" w:w="1247"/>
            <w:shd w:val="clear" w:color="auto" w:fill="1E2A38"/>
          </w:tcPr>
          <w:p>
            <w:pPr>
              <w:spacing w:after="20"/>
            </w:pPr>
            <w:r/>
            <w:r>
              <w:rPr>
                <w:rFonts w:ascii="Montserrat" w:hAnsi="Montserrat" w:eastAsia="Montserrat"/>
                <w:b/>
                <w:i w:val="0"/>
                <w:color w:val="FFFFFF"/>
                <w:sz w:val="17"/>
              </w:rPr>
              <w:t>AIMT</w:t>
            </w:r>
          </w:p>
        </w:tc>
        <w:tc>
          <w:tcPr>
            <w:tcW w:type="dxa" w:w="1474"/>
            <w:shd w:val="clear" w:color="auto" w:fill="1E2A38"/>
          </w:tcPr>
          <w:p>
            <w:pPr>
              <w:spacing w:after="20"/>
            </w:pPr>
            <w:r/>
            <w:r>
              <w:rPr>
                <w:rFonts w:ascii="Montserrat" w:hAnsi="Montserrat" w:eastAsia="Montserrat"/>
                <w:b/>
                <w:i w:val="0"/>
                <w:color w:val="FFFFFF"/>
                <w:sz w:val="17"/>
              </w:rPr>
              <w:t>AILS</w:t>
            </w:r>
          </w:p>
        </w:tc>
        <w:tc>
          <w:tcPr>
            <w:tcW w:type="dxa" w:w="1701"/>
            <w:shd w:val="clear" w:color="auto" w:fill="1E2A38"/>
          </w:tcPr>
          <w:p>
            <w:pPr>
              <w:spacing w:after="20"/>
            </w:pPr>
            <w:r/>
            <w:r>
              <w:rPr>
                <w:rFonts w:ascii="Montserrat" w:hAnsi="Montserrat" w:eastAsia="Montserrat"/>
                <w:b/>
                <w:i w:val="0"/>
                <w:color w:val="FFFFFF"/>
                <w:sz w:val="17"/>
              </w:rPr>
              <w:t>AICD</w:t>
            </w:r>
          </w:p>
        </w:tc>
        <w:tc>
          <w:tcPr>
            <w:tcW w:type="dxa" w:w="3061"/>
            <w:shd w:val="clear" w:color="auto" w:fill="1E2A38"/>
          </w:tcPr>
          <w:p>
            <w:pPr>
              <w:spacing w:after="20"/>
            </w:pPr>
            <w:r/>
            <w:r>
              <w:rPr>
                <w:rFonts w:ascii="Montserrat" w:hAnsi="Montserrat" w:eastAsia="Montserrat"/>
                <w:b/>
                <w:i w:val="0"/>
                <w:color w:val="FFFFFF"/>
                <w:sz w:val="17"/>
              </w:rPr>
              <w:t>Lectura integrada</w:t>
            </w:r>
          </w:p>
        </w:tc>
      </w:tr>
      <w:tr>
        <w:tc>
          <w:tcPr>
            <w:tcW w:type="dxa" w:w="1928"/>
          </w:tcPr>
          <w:p>
            <w:pPr>
              <w:spacing w:after="20"/>
            </w:pPr>
            <w:r/>
            <w:r>
              <w:rPr>
                <w:rFonts w:ascii="Montserrat" w:hAnsi="Montserrat" w:eastAsia="Montserrat"/>
                <w:b/>
                <w:i w:val="0"/>
                <w:color w:val="1E2A38"/>
                <w:sz w:val="17"/>
              </w:rPr>
              <w:t>#8 Síndrome del Impostor</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474"/>
            <w:shd w:val="clear" w:color="auto" w:fill="C2593F"/>
          </w:tcPr>
          <w:p>
            <w:pPr>
              <w:spacing w:after="20"/>
            </w:pPr>
            <w:r/>
            <w:r>
              <w:rPr>
                <w:rFonts w:ascii="Montserrat" w:hAnsi="Montserrat" w:eastAsia="Montserrat"/>
                <w:b/>
                <w:i w:val="0"/>
                <w:color w:val="FFFFFF"/>
                <w:sz w:val="17"/>
              </w:rPr>
              <w:t>Cautela (D19)</w:t>
            </w:r>
          </w:p>
        </w:tc>
        <w:tc>
          <w:tcPr>
            <w:tcW w:type="dxa" w:w="1701"/>
            <w:shd w:val="clear" w:color="auto" w:fill="C2593F"/>
          </w:tcPr>
          <w:p>
            <w:pPr>
              <w:spacing w:after="20"/>
            </w:pPr>
            <w:r/>
            <w:r>
              <w:rPr>
                <w:rFonts w:ascii="Montserrat" w:hAnsi="Montserrat" w:eastAsia="Montserrat"/>
                <w:b/>
                <w:i w:val="0"/>
                <w:color w:val="FFFFFF"/>
                <w:sz w:val="17"/>
              </w:rPr>
              <w:t>Cautela (R26, R27)</w:t>
            </w:r>
          </w:p>
        </w:tc>
        <w:tc>
          <w:tcPr>
            <w:tcW w:type="dxa" w:w="3061"/>
          </w:tcPr>
          <w:p>
            <w:pPr>
              <w:spacing w:after="20"/>
            </w:pPr>
            <w:r/>
            <w:r>
              <w:rPr>
                <w:rFonts w:ascii="Montserrat" w:hAnsi="Montserrat" w:eastAsia="Montserrat"/>
                <w:b w:val="0"/>
                <w:i w:val="0"/>
                <w:color w:val="1E2A38"/>
                <w:sz w:val="17"/>
              </w:rPr>
              <w:t>Triangulación completa. Las tres lentes confirman el obstáculo. → KEYSTONE</w:t>
            </w:r>
          </w:p>
        </w:tc>
      </w:tr>
      <w:tr>
        <w:tc>
          <w:tcPr>
            <w:tcW w:type="dxa" w:w="1928"/>
            <w:shd w:val="clear" w:color="auto" w:fill="EEF0EF"/>
          </w:tcPr>
          <w:p>
            <w:pPr>
              <w:spacing w:after="20"/>
            </w:pPr>
            <w:r/>
            <w:r>
              <w:rPr>
                <w:rFonts w:ascii="Montserrat" w:hAnsi="Montserrat" w:eastAsia="Montserrat"/>
                <w:b/>
                <w:i w:val="0"/>
                <w:color w:val="1E2A38"/>
                <w:sz w:val="17"/>
              </w:rPr>
              <w:t>#2 Fricción de governance</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474"/>
            <w:shd w:val="clear" w:color="auto" w:fill="C2593F"/>
          </w:tcPr>
          <w:p>
            <w:pPr>
              <w:spacing w:after="20"/>
            </w:pPr>
            <w:r/>
            <w:r>
              <w:rPr>
                <w:rFonts w:ascii="Montserrat" w:hAnsi="Montserrat" w:eastAsia="Montserrat"/>
                <w:b/>
                <w:i w:val="0"/>
                <w:color w:val="FFFFFF"/>
                <w:sz w:val="17"/>
              </w:rPr>
              <w:t>Cautela (D8)</w:t>
            </w:r>
          </w:p>
        </w:tc>
        <w:tc>
          <w:tcPr>
            <w:tcW w:type="dxa" w:w="1701"/>
            <w:shd w:val="clear" w:color="auto" w:fill="C2593F"/>
          </w:tcPr>
          <w:p>
            <w:pPr>
              <w:spacing w:after="20"/>
            </w:pPr>
            <w:r/>
            <w:r>
              <w:rPr>
                <w:rFonts w:ascii="Montserrat" w:hAnsi="Montserrat" w:eastAsia="Montserrat"/>
                <w:b/>
                <w:i w:val="0"/>
                <w:color w:val="FFFFFF"/>
                <w:sz w:val="17"/>
              </w:rPr>
              <w:t>Cautela (R15–R18)</w:t>
            </w:r>
          </w:p>
        </w:tc>
        <w:tc>
          <w:tcPr>
            <w:tcW w:type="dxa" w:w="3061"/>
            <w:shd w:val="clear" w:color="auto" w:fill="EEF0EF"/>
          </w:tcPr>
          <w:p>
            <w:pPr>
              <w:spacing w:after="20"/>
            </w:pPr>
            <w:r/>
            <w:r>
              <w:rPr>
                <w:rFonts w:ascii="Montserrat" w:hAnsi="Montserrat" w:eastAsia="Montserrat"/>
                <w:b w:val="0"/>
                <w:i w:val="0"/>
                <w:color w:val="1E2A38"/>
                <w:sz w:val="17"/>
              </w:rPr>
              <w:t>Co-causa estructural: amplifica el impostor syndrome al generar incertidumbre operativa</w:t>
            </w:r>
          </w:p>
        </w:tc>
      </w:tr>
      <w:tr>
        <w:tc>
          <w:tcPr>
            <w:tcW w:type="dxa" w:w="1928"/>
          </w:tcPr>
          <w:p>
            <w:pPr>
              <w:spacing w:after="20"/>
            </w:pPr>
            <w:r/>
            <w:r>
              <w:rPr>
                <w:rFonts w:ascii="Montserrat" w:hAnsi="Montserrat" w:eastAsia="Montserrat"/>
                <w:b/>
                <w:i w:val="0"/>
                <w:color w:val="1E2A38"/>
                <w:sz w:val="17"/>
              </w:rPr>
              <w:t>#6 Liderazgo</w:t>
            </w:r>
          </w:p>
        </w:tc>
        <w:tc>
          <w:tcPr>
            <w:tcW w:type="dxa" w:w="1247"/>
            <w:shd w:val="clear" w:color="auto" w:fill="F4A500"/>
          </w:tcPr>
          <w:p>
            <w:pPr>
              <w:spacing w:after="20"/>
            </w:pPr>
            <w:r/>
            <w:r>
              <w:rPr>
                <w:rFonts w:ascii="Montserrat" w:hAnsi="Montserrat" w:eastAsia="Montserrat"/>
                <w:b/>
                <w:i w:val="0"/>
                <w:color w:val="1E2A38"/>
                <w:sz w:val="17"/>
              </w:rPr>
              <w:t>Diestro</w:t>
            </w:r>
          </w:p>
        </w:tc>
        <w:tc>
          <w:tcPr>
            <w:tcW w:type="dxa" w:w="1474"/>
            <w:shd w:val="clear" w:color="auto" w:fill="F4A500"/>
          </w:tcPr>
          <w:p>
            <w:pPr>
              <w:spacing w:after="20"/>
            </w:pPr>
            <w:r/>
            <w:r>
              <w:rPr>
                <w:rFonts w:ascii="Montserrat" w:hAnsi="Montserrat" w:eastAsia="Montserrat"/>
                <w:b/>
                <w:i w:val="0"/>
                <w:color w:val="1E2A38"/>
                <w:sz w:val="17"/>
              </w:rPr>
              <w:t>Diestro (D21)</w:t>
            </w:r>
          </w:p>
        </w:tc>
        <w:tc>
          <w:tcPr>
            <w:tcW w:type="dxa" w:w="1701"/>
          </w:tcPr>
          <w:p>
            <w:pPr>
              <w:spacing w:after="20"/>
            </w:pPr>
            <w:r/>
            <w:r>
              <w:rPr>
                <w:rFonts w:ascii="Montserrat" w:hAnsi="Montserrat" w:eastAsia="Montserrat"/>
                <w:b w:val="0"/>
                <w:i w:val="0"/>
                <w:color w:val="1E2A38"/>
                <w:sz w:val="17"/>
              </w:rPr>
              <w:t>Residual</w:t>
            </w:r>
          </w:p>
        </w:tc>
        <w:tc>
          <w:tcPr>
            <w:tcW w:type="dxa" w:w="3061"/>
          </w:tcPr>
          <w:p>
            <w:pPr>
              <w:spacing w:after="20"/>
            </w:pPr>
            <w:r/>
            <w:r>
              <w:rPr>
                <w:rFonts w:ascii="Montserrat" w:hAnsi="Montserrat" w:eastAsia="Montserrat"/>
                <w:b w:val="0"/>
                <w:i w:val="0"/>
                <w:color w:val="1E2A38"/>
                <w:sz w:val="17"/>
              </w:rPr>
              <w:t>Bien gestionado. El liderazgo estratégico está alineado. No es fuente de bloqueo relevante</w:t>
            </w:r>
          </w:p>
        </w:tc>
      </w:tr>
      <w:tr>
        <w:tc>
          <w:tcPr>
            <w:tcW w:type="dxa" w:w="1928"/>
            <w:shd w:val="clear" w:color="auto" w:fill="EEF0EF"/>
          </w:tcPr>
          <w:p>
            <w:pPr>
              <w:spacing w:after="20"/>
            </w:pPr>
            <w:r/>
            <w:r>
              <w:rPr>
                <w:rFonts w:ascii="Montserrat" w:hAnsi="Montserrat" w:eastAsia="Montserrat"/>
                <w:b/>
                <w:i w:val="0"/>
                <w:color w:val="1E2A38"/>
                <w:sz w:val="17"/>
              </w:rPr>
              <w:t>#4 Silos culturales</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474"/>
            <w:shd w:val="clear" w:color="auto" w:fill="C2593F"/>
          </w:tcPr>
          <w:p>
            <w:pPr>
              <w:spacing w:after="20"/>
            </w:pPr>
            <w:r/>
            <w:r>
              <w:rPr>
                <w:rFonts w:ascii="Montserrat" w:hAnsi="Montserrat" w:eastAsia="Montserrat"/>
                <w:b/>
                <w:i w:val="0"/>
                <w:color w:val="FFFFFF"/>
                <w:sz w:val="17"/>
              </w:rPr>
              <w:t>Cautela (D16)</w:t>
            </w:r>
          </w:p>
        </w:tc>
        <w:tc>
          <w:tcPr>
            <w:tcW w:type="dxa" w:w="1701"/>
            <w:shd w:val="clear" w:color="auto" w:fill="C2593F"/>
          </w:tcPr>
          <w:p>
            <w:pPr>
              <w:spacing w:after="20"/>
            </w:pPr>
            <w:r/>
            <w:r>
              <w:rPr>
                <w:rFonts w:ascii="Montserrat" w:hAnsi="Montserrat" w:eastAsia="Montserrat"/>
                <w:b/>
                <w:i w:val="0"/>
                <w:color w:val="FFFFFF"/>
                <w:sz w:val="17"/>
              </w:rPr>
              <w:t>Cautela (R1, R2, R5)</w:t>
            </w:r>
          </w:p>
        </w:tc>
        <w:tc>
          <w:tcPr>
            <w:tcW w:type="dxa" w:w="3061"/>
            <w:shd w:val="clear" w:color="auto" w:fill="EEF0EF"/>
          </w:tcPr>
          <w:p>
            <w:pPr>
              <w:spacing w:after="20"/>
            </w:pPr>
            <w:r/>
            <w:r>
              <w:rPr>
                <w:rFonts w:ascii="Montserrat" w:hAnsi="Montserrat" w:eastAsia="Montserrat"/>
                <w:b w:val="0"/>
                <w:i w:val="0"/>
                <w:color w:val="1E2A38"/>
                <w:sz w:val="17"/>
              </w:rPr>
              <w:t>Las diferencias entre equipos reflejan el estilo de cada tech lead; es ruido de implementación, no un obstáculo de causa raíz</w:t>
            </w:r>
          </w:p>
        </w:tc>
      </w:tr>
      <w:tr>
        <w:tc>
          <w:tcPr>
            <w:tcW w:type="dxa" w:w="1928"/>
          </w:tcPr>
          <w:p>
            <w:pPr>
              <w:spacing w:after="20"/>
            </w:pPr>
            <w:r/>
            <w:r>
              <w:rPr>
                <w:rFonts w:ascii="Montserrat" w:hAnsi="Montserrat" w:eastAsia="Montserrat"/>
                <w:b/>
                <w:i w:val="0"/>
                <w:color w:val="1E2A38"/>
                <w:sz w:val="17"/>
              </w:rPr>
              <w:t>#3 Políticas de talento</w:t>
            </w:r>
          </w:p>
        </w:tc>
        <w:tc>
          <w:tcPr>
            <w:tcW w:type="dxa" w:w="1247"/>
            <w:shd w:val="clear" w:color="auto" w:fill="E67E22"/>
          </w:tcPr>
          <w:p>
            <w:pPr>
              <w:spacing w:after="20"/>
            </w:pPr>
            <w:r/>
            <w:r>
              <w:rPr>
                <w:rFonts w:ascii="Montserrat" w:hAnsi="Montserrat" w:eastAsia="Montserrat"/>
                <w:b/>
                <w:i w:val="0"/>
                <w:color w:val="FFFFFF"/>
                <w:sz w:val="17"/>
              </w:rPr>
              <w:t>Vulnerable</w:t>
            </w:r>
          </w:p>
        </w:tc>
        <w:tc>
          <w:tcPr>
            <w:tcW w:type="dxa" w:w="1474"/>
          </w:tcPr>
          <w:p>
            <w:pPr>
              <w:spacing w:after="20"/>
            </w:pPr>
            <w:r/>
            <w:r>
              <w:rPr>
                <w:rFonts w:ascii="Montserrat" w:hAnsi="Montserrat" w:eastAsia="Montserrat"/>
                <w:b w:val="0"/>
                <w:i w:val="0"/>
                <w:color w:val="1E2A38"/>
                <w:sz w:val="17"/>
              </w:rPr>
              <w:t>—</w:t>
            </w:r>
          </w:p>
        </w:tc>
        <w:tc>
          <w:tcPr>
            <w:tcW w:type="dxa" w:w="1701"/>
            <w:shd w:val="clear" w:color="auto" w:fill="C2593F"/>
          </w:tcPr>
          <w:p>
            <w:pPr>
              <w:spacing w:after="20"/>
            </w:pPr>
            <w:r/>
            <w:r>
              <w:rPr>
                <w:rFonts w:ascii="Montserrat" w:hAnsi="Montserrat" w:eastAsia="Montserrat"/>
                <w:b/>
                <w:i w:val="0"/>
                <w:color w:val="FFFFFF"/>
                <w:sz w:val="17"/>
              </w:rPr>
              <w:t>Cautela (R19, R20)</w:t>
            </w:r>
          </w:p>
        </w:tc>
        <w:tc>
          <w:tcPr>
            <w:tcW w:type="dxa" w:w="3061"/>
          </w:tcPr>
          <w:p>
            <w:pPr>
              <w:spacing w:after="20"/>
            </w:pPr>
            <w:r/>
            <w:r>
              <w:rPr>
                <w:rFonts w:ascii="Montserrat" w:hAnsi="Montserrat" w:eastAsia="Montserrat"/>
                <w:b w:val="0"/>
                <w:i w:val="0"/>
                <w:color w:val="1E2A38"/>
                <w:sz w:val="17"/>
              </w:rPr>
              <w:t>No constituye obstáculo relevante en este diagnóstico</w:t>
            </w:r>
          </w:p>
        </w:tc>
      </w:tr>
    </w:tbl>
    <w:p>
      <w:pPr>
        <w:spacing w:after="40"/>
      </w:pPr>
    </w:p>
    <w:p>
      <w:pPr>
        <w:keepNext/>
        <w:spacing w:before="220" w:after="60"/>
      </w:pPr>
      <w:r>
        <w:rPr>
          <w:rFonts w:ascii="Marcellus" w:hAnsi="Marcellus" w:eastAsia="Marcellus"/>
          <w:b w:val="0"/>
          <w:i w:val="0"/>
          <w:color w:val="1E2A38"/>
          <w:sz w:val="26"/>
        </w:rPr>
        <w:t>Los tres cruces interpretativos</w:t>
      </w:r>
    </w:p>
    <w:p>
      <w:r>
        <w:rPr>
          <w:rFonts w:ascii="Montserrat" w:hAnsi="Montserrat" w:eastAsia="Montserrat"/>
          <w:b w:val="0"/>
          <w:i w:val="0"/>
          <w:color w:val="1E2A38"/>
          <w:sz w:val="20"/>
        </w:rPr>
        <w:t>Cruce 1 — Triangulación de causa raíz. El AIMT registra el obstáculo #8 en Cautela, con la mayor intensidad en el segmento senior. El AILS confirma desde el liderazgo: D19, que mide el sostén de la capacidad de adopción bajo carga, está en Cautela. El AICD cierra la triangulación: R26 y R27, mecanismos de manejo del error sin culpa y de exposición del intento, están en Cautela. La triangulación es completa: los tres instrumentos detectan el mismo obstáculo desde sus ángulos respectivos.</w:t>
      </w:r>
    </w:p>
    <w:p>
      <w:r>
        <w:rPr>
          <w:rFonts w:ascii="Montserrat" w:hAnsi="Montserrat" w:eastAsia="Montserrat"/>
          <w:b w:val="0"/>
          <w:i w:val="0"/>
          <w:color w:val="1E2A38"/>
          <w:sz w:val="20"/>
        </w:rPr>
        <w:t>Cruce 2 — Coherencia sistémica. La creencia de incompetencia relativa capturada por el AIMT (#8) necesita un contexto que la refuerce, y lo provee la ausencia de seguridad psicológica del AICD (R26, R27). El liderazgo inmediato no está contrarrestando el patrón, como registra D19. El CTO tiene un perfil de patrocinio activo (D21 en Diestro), lo que indica que el problema no está en la cúpula del liderazgo.</w:t>
      </w:r>
    </w:p>
    <w:p>
      <w:r>
        <w:rPr>
          <w:rFonts w:ascii="Montserrat" w:hAnsi="Montserrat" w:eastAsia="Montserrat"/>
          <w:b w:val="0"/>
          <w:i w:val="0"/>
          <w:color w:val="1E2A38"/>
          <w:sz w:val="20"/>
        </w:rPr>
        <w:t>Cruce 3 — Tensión productiva. La utilización del segmento junior (20%) es superior a la del senior (8%), lo que puede leerse como confirmación de que los juniors no experimentan el bloqueo. Sin embargo, la distancia de ambos respecto de la meta del 70% es sustancial. No se detecta una tensión productiva significativa entre lentes: el patrón es consistente entre instrumentos. La única tensión menor, entre el nivel alto de D21 y los resultados de adopción, se resuelve al considerar que el patrocinio visible en comunicaciones formales no suple la ausencia de seguridad psicológica en el trabajo diario.</w:t>
      </w:r>
    </w:p>
    <w:p>
      <w:pPr>
        <w:keepNext/>
        <w:spacing w:before="320" w:after="120"/>
        <w:pBdr>
          <w:bottom w:val="single" w:sz="8" w:space="2" w:color="2e8b76"/>
        </w:pBdr>
      </w:pPr>
      <w:r>
        <w:rPr>
          <w:rFonts w:ascii="Marcellus" w:hAnsi="Marcellus" w:eastAsia="Marcellus"/>
          <w:b w:val="0"/>
          <w:i w:val="0"/>
          <w:color w:val="1E2A38"/>
          <w:sz w:val="38"/>
        </w:rPr>
        <w:t>S4 — Mapa de causa raíz</w:t>
      </w:r>
    </w:p>
    <w:p>
      <w:pPr>
        <w:keepNext/>
        <w:spacing w:before="220" w:after="60"/>
      </w:pPr>
      <w:r>
        <w:rPr>
          <w:rFonts w:ascii="Marcellus" w:hAnsi="Marcellus" w:eastAsia="Marcellus"/>
          <w:b w:val="0"/>
          <w:i w:val="0"/>
          <w:color w:val="1E2A38"/>
          <w:sz w:val="26"/>
        </w:rPr>
        <w:t>Keystone identificado: Obstáculo #8 — Síndrome del Impostor</w:t>
      </w:r>
    </w:p>
    <w:p>
      <w:r>
        <w:rPr>
          <w:rFonts w:ascii="Montserrat" w:hAnsi="Montserrat" w:eastAsia="Montserrat"/>
          <w:b w:val="0"/>
          <w:i w:val="0"/>
          <w:color w:val="1E2A38"/>
          <w:sz w:val="20"/>
        </w:rPr>
        <w:t>El bloqueo principal de la adopción de IA en Vertecsa Group es la percepción del profesional técnico senior de que usar IA en el flujo de trabajo profesional expone su competencia ante pares y subordinados. Esta percepción se activa por la combinación de tres factores: (a) alta visibilidad de los outputs de la herramienta en las sesiones de code review, (b) ausencia de mecanismos corporativos que protejan la experimentación sin costo reputacional, y (c) la brecha de velocidad de adopción entre senior y junior que hace visible la diferencia.</w:t>
      </w:r>
    </w:p>
    <w:p>
      <w:pPr>
        <w:keepNext/>
        <w:spacing w:before="220" w:after="60"/>
      </w:pPr>
      <w:r>
        <w:rPr>
          <w:rFonts w:ascii="Marcellus" w:hAnsi="Marcellus" w:eastAsia="Marcellus"/>
          <w:b w:val="0"/>
          <w:i w:val="0"/>
          <w:color w:val="1E2A38"/>
          <w:sz w:val="26"/>
        </w:rPr>
        <w:t>Co-causa: Obstáculo #2 — Fricción de governance</w:t>
      </w:r>
    </w:p>
    <w:p>
      <w:r>
        <w:rPr>
          <w:rFonts w:ascii="Montserrat" w:hAnsi="Montserrat" w:eastAsia="Montserrat"/>
          <w:b w:val="0"/>
          <w:i w:val="0"/>
          <w:color w:val="1E2A38"/>
          <w:sz w:val="20"/>
        </w:rPr>
        <w:t>La ambigüedad sobre las reglas de uso de IA en código cliente amplifica el bloqueo psicológico y es la segunda palanca. Un protocolo corporativo de governance con matriz de permisos y proceso de habilitación cerraría la incertidumbre. Sin embargo, resolver la governance sin resolver el impostor syndrome dejaría el keystone intacto.</w:t>
      </w:r>
    </w:p>
    <w:p>
      <w:pPr>
        <w:keepNext/>
        <w:spacing w:before="220" w:after="60"/>
      </w:pPr>
      <w:r>
        <w:rPr>
          <w:rFonts w:ascii="Marcellus" w:hAnsi="Marcellus" w:eastAsia="Marcellus"/>
          <w:b w:val="0"/>
          <w:i w:val="0"/>
          <w:color w:val="1E2A38"/>
          <w:sz w:val="26"/>
        </w:rPr>
        <w:t>Agravante: Obstáculo #6 — Liderazgo (capa de liderazgo inmediato)</w:t>
      </w:r>
    </w:p>
    <w:p>
      <w:r>
        <w:rPr>
          <w:rFonts w:ascii="Montserrat" w:hAnsi="Montserrat" w:eastAsia="Montserrat"/>
          <w:b w:val="0"/>
          <w:i w:val="0"/>
          <w:color w:val="1E2A38"/>
          <w:sz w:val="20"/>
        </w:rPr>
        <w:t>Los tech leads no operan como generadores de seguridad psicológica. D19 en Cautela indica que bajo presión de entrega el liderazgo inmediato no prioriza crear condiciones para experimentar. Nota: el obstáculo #6 a nivel estratégico (CTO) no aplica: D21 en Diestro indica patrocinio genuino desde la cúpula.</w:t>
      </w:r>
    </w:p>
    <w:p>
      <w:pPr>
        <w:keepNext/>
        <w:spacing w:before="220" w:after="60"/>
      </w:pPr>
      <w:r>
        <w:rPr>
          <w:rFonts w:ascii="Marcellus" w:hAnsi="Marcellus" w:eastAsia="Marcellus"/>
          <w:b w:val="0"/>
          <w:i w:val="0"/>
          <w:color w:val="1E2A38"/>
          <w:sz w:val="26"/>
        </w:rPr>
        <w:t>Señuelo a evitar en el análisis</w:t>
      </w:r>
    </w:p>
    <w:p>
      <w:r>
        <w:rPr>
          <w:rFonts w:ascii="Montserrat" w:hAnsi="Montserrat" w:eastAsia="Montserrat"/>
          <w:b w:val="0"/>
          <w:i w:val="0"/>
          <w:color w:val="1E2A38"/>
          <w:sz w:val="20"/>
        </w:rPr>
        <w:t>La baja utilización en el segmento junior (20% frente a 70%) podría interpretarse como evidencia de que el bloqueo no es solo de impostor syndrome en seniors. Este dato es real pero no altera el diagnóstico: la diferencia de utilización entre junior (20%) y senior (8%) confirma que el segmento más bloqueado es el senior, consistentemente con la hipótesis de impostor syndrome. La baja utilización del junior refleja el contagio de una cultura que no ha normalizado el uso de la herramienta.</w:t>
      </w:r>
    </w:p>
    <w:p>
      <w:r>
        <w:rPr>
          <w:rFonts w:ascii="Montserrat" w:hAnsi="Montserrat" w:eastAsia="Montserrat"/>
          <w:b w:val="0"/>
          <w:i w:val="0"/>
          <w:color w:val="1E2A38"/>
          <w:sz w:val="20"/>
        </w:rPr>
        <w:t>Sobre la utilización por equipo, que va de 3% a 31%: las diferencias reflejan los estilos de cada tech lead y no requieren una intervención sistémica.</w:t>
      </w:r>
    </w:p>
    <w:p>
      <w:r>
        <w:rPr>
          <w:rFonts w:ascii="Montserrat" w:hAnsi="Montserrat" w:eastAsia="Montserrat"/>
          <w:b w:val="0"/>
          <w:i/>
          <w:color w:val="6B7280"/>
          <w:sz w:val="20"/>
        </w:rPr>
        <w:t>Fin del borrador. Las Secciones 5, 6 y 7 no están incluidas. Tu tarea: identificar los errores de integración, reconstruir S3 y S4 con el diagnóstico correcto y completar S5, S6 y S7.</w:t>
      </w:r>
    </w:p>
    <w:p>
      <w:r>
        <w:rPr>
          <w:rFonts w:ascii="Montserrat" w:hAnsi="Montserrat" w:eastAsia="Montserrat"/>
          <w:b w:val="0"/>
          <w:i/>
          <w:color w:val="6B7280"/>
          <w:sz w:val="16"/>
        </w:rPr>
        <w:t>Borrador de evaluación: uso interno del programa de certificación. No apto para distribución al cliente. Modelo ARIA — Aceleración del Retorno de la IA. Desarrollado por Digital Change Advisors, LLC. Licenciado bajo Creative Commons BY-SA 4.0. Caso sintético · Datos de agregado · Ninguna empresa real está representada.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B7280"/>
        <w:sz w:val="16"/>
      </w:rPr>
      <w:t xml:space="preserve">Kit de la audición · Borrador para revisión analítica · Caso Vertecsa Group · Página </w:t>
    </w:r>
    <w:r>
      <w:rPr>
        <w:rFonts w:ascii="Montserrat" w:hAnsi="Montserrat" w:eastAsia="Montserrat"/>
        <w:b w:val="0"/>
        <w:i w:val="0"/>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ontserrat" w:hAnsi="Montserrat" w:eastAsia="Montserrat"/>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