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ontserrat" w:hAnsi="Montserrat" w:cs="Montserrat"/>
          <w:b/>
          <w:i w:val="0"/>
          <w:color w:val="A48111"/>
          <w:sz w:val="22"/>
        </w:rPr>
        <w:t>DIGITAL CHANGE ADVISORS · DIGITAL CHANGE ACADEMY</w:t>
      </w:r>
    </w:p>
    <w:p>
      <w:pPr>
        <w:spacing w:before="320"/>
        <w:jc w:val="center"/>
      </w:pPr>
      <w:r>
        <w:rPr>
          <w:rFonts w:ascii="Marcellus" w:hAnsi="Marcellus" w:cs="Marcellus"/>
          <w:b w:val="0"/>
          <w:i w:val="0"/>
          <w:color w:val="2E8B76"/>
          <w:sz w:val="66"/>
        </w:rPr>
        <w:t>Motor de Recepción</w:t>
      </w:r>
    </w:p>
    <w:p>
      <w:pPr>
        <w:jc w:val="center"/>
      </w:pPr>
      <w:r>
        <w:rPr>
          <w:rFonts w:ascii="Marcellus" w:hAnsi="Marcellus" w:cs="Marcellus"/>
          <w:b w:val="0"/>
          <w:i w:val="0"/>
          <w:color w:val="2E8B76"/>
          <w:sz w:val="66"/>
        </w:rPr>
        <w:t>de Sprint Roadmaps BAIP</w:t>
      </w:r>
    </w:p>
    <w:p>
      <w:pPr>
        <w:spacing w:before="280"/>
        <w:jc w:val="center"/>
      </w:pPr>
      <w:r>
        <w:rPr>
          <w:rFonts w:ascii="Montserrat" w:hAnsi="Montserrat" w:cs="Montserrat"/>
          <w:b w:val="0"/>
          <w:i w:val="0"/>
          <w:color w:val="1E2A38"/>
          <w:sz w:val="24"/>
        </w:rPr>
        <w:t>Diagnóstico de causa raíz · Arquitectura de la solución</w:t>
        <w:br/>
        <w:t>Experiencia de estudiante y facilitador · Inteligencia de Negocio</w:t>
      </w:r>
    </w:p>
    <w:p>
      <w:pPr>
        <w:spacing w:before="160"/>
        <w:jc w:val="center"/>
      </w:pPr>
      <w:r>
        <w:rPr>
          <w:rFonts w:ascii="Montserrat" w:hAnsi="Montserrat" w:cs="Montserrat"/>
          <w:b w:val="0"/>
          <w:i/>
          <w:color w:val="555F6B"/>
          <w:sz w:val="21"/>
        </w:rPr>
        <w:t>De un botón que mentía a un estándar de entrega enterprise.</w:t>
      </w:r>
    </w:p>
    <w:p/>
    <w:p/>
    <w:p/>
    <w:p/>
    <w:p/>
    <w:p/>
    <w:p>
      <w:pPr>
        <w:jc w:val="center"/>
      </w:pPr>
      <w:r>
        <w:rPr>
          <w:rFonts w:ascii="Montserrat" w:hAnsi="Montserrat" w:cs="Montserrat"/>
          <w:b/>
          <w:i w:val="0"/>
          <w:color w:val="2E8B76"/>
          <w:sz w:val="20"/>
        </w:rPr>
        <w:t>Modelo ARIA · Certificación Analista BAIP</w:t>
      </w:r>
    </w:p>
    <w:p>
      <w:pPr>
        <w:jc w:val="center"/>
      </w:pPr>
      <w:r>
        <w:rPr>
          <w:rFonts w:ascii="Montserrat" w:hAnsi="Montserrat" w:cs="Montserrat"/>
          <w:b w:val="0"/>
          <w:i w:val="0"/>
          <w:color w:val="555F6B"/>
          <w:sz w:val="19"/>
        </w:rPr>
        <w:t>Documento de diseño · Edición 2026 · v1.0</w:t>
      </w: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2E8B76"/>
          <w:sz w:val="48"/>
        </w:rPr>
        <w:t>Contenido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1 · Resumen ejecutivo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2 · El diagnóstico: anatomía de un fallo silencioso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3 · Arquitectura del motor de recepción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4 · El PDF: por qué se recortaba y cómo quedó resuelto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5 · El correo al facilitador: el PDF como entregable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6 · La óptica del estudiante: experiencia y mejoras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7 · La óptica del facilitador: experiencia y mejoras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8 · Estándar enterprise: qué separa esto de un formulario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9 · Inteligencia de Negocio sobre el registro acumulado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10 · Qué más podemos hacer con esta información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11 · Hoja de ruta de implementación</w:t>
      </w:r>
    </w:p>
    <w:p>
      <w:pPr>
        <w:spacing w:after="100"/>
        <w:ind w:left="288"/>
      </w:pPr>
      <w:r>
        <w:rPr>
          <w:rFonts w:ascii="Montserrat" w:hAnsi="Montserrat" w:cs="Montserrat"/>
          <w:b w:val="0"/>
          <w:i w:val="0"/>
          <w:color w:val="1E2A38"/>
          <w:sz w:val="22"/>
        </w:rPr>
        <w:t>12 · Qué necesito de ti para cerrar</w:t>
      </w: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1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Resumen ejecutivo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Los estudiantes de la primera cohorte diligenciaron el Experimento 1 y pulsaron «Enviar». La plantilla les respondió </w:t>
      </w:r>
      <w:r>
        <w:rPr>
          <w:rFonts w:ascii="Montserrat" w:hAnsi="Montserrat" w:cs="Montserrat"/>
          <w:b/>
          <w:i w:val="0"/>
          <w:color w:val="1E2A38"/>
          <w:sz w:val="21"/>
        </w:rPr>
        <w:t>«✓ Enviado»</w:t>
      </w:r>
      <w:r>
        <w:rPr>
          <w:rFonts w:ascii="Montserrat" w:hAnsi="Montserrat" w:cs="Montserrat"/>
          <w:b w:val="0"/>
          <w:i w:val="0"/>
          <w:color w:val="1E2A38"/>
          <w:sz w:val="21"/>
        </w:rPr>
        <w:t>. Nunca llegó nada. Este documento explica por qué ocurrió, qué se construyó para resolverlo y qué se puede hacer, de aquí en adelante, con la información que empezará a acumularse.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🔴  El hallazgo en una frase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El botón «Enviar»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nunca envió nada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, porque el instrumento no tenía backend. Y lo más grave: el aviso de «✓ Enviado» se mostraba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sin verificar absolutamente nada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La herramienta no falló en silencio —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afirmó un éxito que no ocurrió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 Esa es la diferencia entre un bug y un problema de confianza.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Estado de cada petición de tu encargo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360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Petición</w:t>
            </w:r>
          </w:p>
        </w:tc>
        <w:tc>
          <w:tcPr>
            <w:tcW w:type="dxa" w:w="316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259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Envío real al correo del facilitador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Construido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falta pegar 1 URL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backend/Codigo.gs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Confirmación solo tras verificar el envío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Construido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submitExp() en el HTML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Guardado local del participante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Conservado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e intacto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localStorage (sin cambios)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PDF con todo el contenido de los campos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Construido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printExp() en el HTML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correo lleva ese PDF con diseño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Construido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construirPDF() en el backend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Backend donde haga falta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Construido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(Apps Script + Sheets)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backend/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UX de estudiante y facilitador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Analizado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secciones 6 y 7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este documento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Business Intelligence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Diseñado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sección 9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este documento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Ideas de valor adicional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Propuesto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sección 10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este documento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La buena noticia sobre la cohorte actual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No se perdió nada.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Confirmaste que los estudiantes usaron `digitalchangeadvisors.com/sprint-roadmap-01-baip`. El autoguardado escribe en `localStorage`, que se ata al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origen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del sitio — y ese origen sigue vivo. Si cada estudiante reabre la misma URL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en el mismo navegador y dispositivo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, verá todos sus campos intactos. El rescate es: reabrir, pulsar «Enviar ahora» con el motor ya conectado, y listo. Nadie rehace nada.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2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El diagnóstico: anatomía de un fallo silencioso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Un buen diagnóstico no se queda en «no funcionaba». Explica </w:t>
      </w:r>
      <w:r>
        <w:rPr>
          <w:rFonts w:ascii="Montserrat" w:hAnsi="Montserrat" w:cs="Montserrat"/>
          <w:b/>
          <w:i w:val="0"/>
          <w:color w:val="1E2A38"/>
          <w:sz w:val="21"/>
        </w:rPr>
        <w:t>por qué nadie lo notó</w:t>
      </w:r>
      <w:r>
        <w:rPr>
          <w:rFonts w:ascii="Montserrat" w:hAnsi="Montserrat" w:cs="Montserrat"/>
          <w:b w:val="0"/>
          <w:i w:val="0"/>
          <w:color w:val="1E2A38"/>
          <w:sz w:val="21"/>
        </w:rPr>
        <w:t>, que es casi siempre la parte más cara del problema.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La cadena de fallos, eslabón por eslabón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43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ocurría</w:t>
            </w:r>
          </w:p>
        </w:tc>
        <w:tc>
          <w:tcPr>
            <w:tcW w:type="dxa" w:w="432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Consecuencia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1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«Enviar» llamaba a `openModal()`, que solo arma un texto y lo muestra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Cero peticiones de red. Nada salía.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2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modal ofrecía «Copiar resumen» y «Abrir en correo»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envío dependía de una acción manual más.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3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«Abrir en correo» usaba `mailto:`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Solo funciona con cliente de correo de escritorio. Quien usa Gmail web: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no pasa nada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4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Aun funcionando, `mailto:` solo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redacta un borrador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estudiante todavía debía pulsar Enviar. Muchos cerraban.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5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🔴 `markSent()` se ejecutaba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incondicionalmente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Botón «✓ Enviado» sin verificar nada.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La causa de que nadie lo notara.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6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«Copiar resumen»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también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marcaba como enviado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Copiar y cerrar dejaba el experimento como entregado.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7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cuerpo del `mailto:` llevaba el resumen completo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Los `mailto:` se truncan pasando ~2.000 caracteres.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8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destino era `facilitador@`, no tu dirección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Aun con éxito, no llegaba a ti si el alias no existe.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El código exacto que causaba la mentira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function copyModal() {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...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markSent(currentExp);      // ← solo copió al portapapeles… y ya dice «Enviado»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}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function mailModal() {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window.open(`mailto:facilitador@digitalchangeadvisors.com?...`);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markSent(currentExp);      // ← sin verificar NADA. Ni si se abrió el cliente.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EAF2EF"/>
            <w:tcBorders>
              <w:left w:val="single" w:sz="34" w:space="0" w:color="2E8B76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2E8B76"/>
                <w:sz w:val="20"/>
              </w:rPr>
              <w:t>🧭  La lección de diseño que nos llevamos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Un sistema puede fallar de dos maneras. Puede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fallar y avisar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— molesto, pero honesto y recuperable. O puede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fallar y afirmar que tuvo éxito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— silencioso, y por eso devastador: nadie investiga lo que cree resuelto. El primer tipo cuesta minutos. El segundo costó una cohorte completa de entregas.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Principio que ahora rige el instrumento: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la confirmación jamás se muestra por optimismo. Se muestra porque el servidor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devolvió un recibo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 Sin recibo, no hay «Enviado».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3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Arquitectura del motor de recepción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Por qué Google Apps Script y no otra cosa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GitHub Pages solo sirve archivos: no puede ejecutar código de servidor. Por tanto el envío necesitaba una pieza nueva. Evalué tres caminos y elegí </w:t>
      </w:r>
      <w:r>
        <w:rPr>
          <w:rFonts w:ascii="Montserrat" w:hAnsi="Montserrat" w:cs="Montserrat"/>
          <w:b/>
          <w:i w:val="0"/>
          <w:color w:val="1E2A38"/>
          <w:sz w:val="21"/>
        </w:rPr>
        <w:t>Apps Script + Sheets</w:t>
      </w:r>
      <w:r>
        <w:rPr>
          <w:rFonts w:ascii="Montserrat" w:hAnsi="Montserrat" w:cs="Montserrat"/>
          <w:b w:val="0"/>
          <w:i w:val="0"/>
          <w:color w:val="1E2A38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273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Apps Script + Sheets</w:t>
            </w:r>
          </w:p>
        </w:tc>
        <w:tc>
          <w:tcPr>
            <w:tcW w:type="dxa" w:w="244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Cloudflare Workers</w:t>
            </w:r>
          </w:p>
        </w:tc>
        <w:tc>
          <w:tcPr>
            <w:tcW w:type="dxa" w:w="23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Tally/Formspree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Costo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$0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(ya pagas Workspace)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Bajo, pero &gt;0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Suscripción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Correo con tu dominio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Nativo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(Gmail)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Requiere API externa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Del proveedor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Base para BI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La Hoja ES la base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D1: requiere SQL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Exportar a mano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PDF diseñado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Nativo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Requiere librería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No viable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Infraestructura nueva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Ninguna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Worker + D1 + API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Cuenta de terceros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Dónde viven los datos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Tu Workspace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Cloudflare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Un tercero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El argumento decisivo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Tu dominio ya usa Google Workspace (el registro MX apunta a `smtp.google.com`). Apps Script no añade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ninguna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pieza nueva al stack: usa las cuentas, el correo y los permisos que ya tienes y administras. La opción más potente no siempre es la mejor;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la mejor es la que tu equipo puede operar sin un especialista de guardia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El flujo completo, de principio a fin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ESTUDIANTE (roadmap HTML en GitHub Pages)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│  1. Pulsa «Enviar ahora»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│  2. El navegador VALIDA antes de molestar al servidor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│     (nombre, correo, cohorte, campos vacíos)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▼  fetch() POST  ── Content-Type: text/plain (a propósito)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GOOGLE APPS SCRIPT  ·  doPost()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├─ 3. Valida de nuevo en el servidor (nunca confíes en el cliente)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├─ 4. Toma un candado (LockService) → sin choques de numeración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├─ 5. ESCRIBE EN LA HOJA  ←── primero salvar, luego enviar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├─ 6. Genera el PDF con diseño de marca DCA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├─ 7. Gmail → facilitador@  (+ copia a ceo@)   con PDF adjunto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├─ 8. Gmail → estudiante     acuse + su copia en PDF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└─ 9. Devuelve  { ok:true, reciboID:'ARIA-01-101-0042' }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▼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ESTUDIANTE ve «✓ Envío confirmado · Recibo ARIA-01-101-0042»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  ↑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  └── SOLO si llegó ok:true. Si no: error explícito + reintento.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Las tres decisiones técnicas que sostienen el diseño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① Se registra ANTES de enviar el correo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El orden no es casual. Si primero mandáramos el correo y luego registráramos, un fallo al escribir en la Hoja perdería la trazabilidad de un trabajo ya enviado. Al revés, si el correo falla, </w:t>
      </w:r>
      <w:r>
        <w:rPr>
          <w:rFonts w:ascii="Montserrat" w:hAnsi="Montserrat" w:cs="Montserrat"/>
          <w:b/>
          <w:i w:val="0"/>
          <w:color w:val="1E2A38"/>
          <w:sz w:val="21"/>
        </w:rPr>
        <w:t>el trabajo del estudiante ya está a salvo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en la Hoja y es recuperable. Regla: primero salvar, después notificar.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② `Content-Type: text/plain` — el truco que hace posible la confirmación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Parece un detalle menor y es el que sostiene todo. Si enviáramos `application/json`, el navegador dispararía una petición previa de permiso (*preflight* de CORS) que Apps Script no sabe responder: el envío moriría bloqueado. Con `text/plain` la petición se considera «simple», no hay preflight, y </w:t>
      </w:r>
      <w:r>
        <w:rPr>
          <w:rFonts w:ascii="Montserrat" w:hAnsi="Montserrat" w:cs="Montserrat"/>
          <w:b/>
          <w:i w:val="0"/>
          <w:color w:val="1E2A38"/>
          <w:sz w:val="21"/>
        </w:rPr>
        <w:t>podemos leer la respuesta del servidor</w:t>
      </w:r>
      <w:r>
        <w:rPr>
          <w:rFonts w:ascii="Montserrat" w:hAnsi="Montserrat" w:cs="Montserrat"/>
          <w:b w:val="0"/>
          <w:i w:val="0"/>
          <w:color w:val="1E2A38"/>
          <w:sz w:val="21"/>
        </w:rPr>
        <w:t>. Sin eso no hay recibo — y sin recibo volveríamos a un «Enviado» a ciegas, que es justo el problema que estamos matando.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③ El recibo verificado como contrato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Cada envío recibe un identificador legible: </w:t>
      </w:r>
      <w:r>
        <w:rPr>
          <w:rFonts w:ascii="Montserrat" w:hAnsi="Montserrat" w:cs="Montserrat"/>
          <w:b/>
          <w:i w:val="0"/>
          <w:color w:val="1E2A38"/>
          <w:sz w:val="21"/>
        </w:rPr>
        <w:t>ARIA-01-101-0042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(instrumento, sprint, experimento, consecutivo). Ese número es el contrato entre las tres partes: el estudiante lo guarda como comprobante, el facilitador lo ve en la Hoja y en el asunto del correo, y cualquier reclamo se resuelve con una búsqueda. </w:t>
      </w:r>
      <w:r>
        <w:rPr>
          <w:rFonts w:ascii="Montserrat" w:hAnsi="Montserrat" w:cs="Montserrat"/>
          <w:b/>
          <w:i w:val="0"/>
          <w:color w:val="1E2A38"/>
          <w:sz w:val="21"/>
        </w:rPr>
        <w:t>Convierte «yo sí lo envié» en un dato verificable.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Resiliencia: qué pasa cuando algo sale mal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824"/>
        <w:gridCol w:w="4824"/>
      </w:tblGrid>
      <w:tr>
        <w:tc>
          <w:tcPr>
            <w:tcW w:type="dxa" w:w="331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Escenario</w:t>
            </w:r>
          </w:p>
        </w:tc>
        <w:tc>
          <w:tcPr>
            <w:tcW w:type="dxa" w:w="604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hace el sistema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cae internet a mitad del envío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Error explícito + botón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Reintentar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. El trabajo sigue en `localStorage`.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Google Apps Script no responde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Error visible con el motivo. Se ofrece descargar el PDF y enviarlo a mano.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estudiante envía dos veces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registra igual, marcado `EsReenvio=SI` por huella de contenido. Nunca se pierde nada.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Falla el alias facilitador@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La copia a `ceo@` llega igual. Te enteras el mismo día.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Falla al escribir en la Hoja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registra en la pestaña `Errores` con fecha, motivo y contenido.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navegador bloquea la ventana del PDF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Aviso explícito pidiendo permitir ventanas emergentes.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Nada vuelve a fallar en silencio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Ese es el criterio de aceptación de todo el rediseño. Cada ruta de fallo termina en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un ser humano informado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: el estudiante ve el error, o tú lo ves en la pestaña `Errores`, o te llega la copia. El único desenlace prohibido es que algo se pierda sin que nadie se entere.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4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El PDF: por qué se recortaba y cómo quedó resuelto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Describiste el síntoma con precisión: «una especie de foto cortada cuando el texto es amplio». Eso es exactamente lo que ocurría, y por dos causas que se sumaban.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Causa A — Un `&lt;textarea&gt;` no crece, aunque se lo pidas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El bloque de impresión intentaba resolverlo así: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@media print {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textarea { height: auto !important; overflow: visible !important; }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Esa instrucción </w:t>
      </w:r>
      <w:r>
        <w:rPr>
          <w:rFonts w:ascii="Montserrat" w:hAnsi="Montserrat" w:cs="Montserrat"/>
          <w:b/>
          <w:i w:val="0"/>
          <w:color w:val="1E2A38"/>
          <w:sz w:val="21"/>
        </w:rPr>
        <w:t>no puede funcionar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. Un `&lt;textarea&gt;` es lo que se llama un *elemento reemplazado*: su altura la determina el atributo `rows`, no el contenido. El texto que sobra queda en un scroll interno. Al imprimir, el navegador fotografía </w:t>
      </w:r>
      <w:r>
        <w:rPr>
          <w:rFonts w:ascii="Montserrat" w:hAnsi="Montserrat" w:cs="Montserrat"/>
          <w:b/>
          <w:i w:val="0"/>
          <w:color w:val="1E2A38"/>
          <w:sz w:val="21"/>
        </w:rPr>
        <w:t>solo la caja visible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literalmente, la foto cortada que describiste.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EAF2EF"/>
            <w:tcBorders>
              <w:left w:val="single" w:sz="34" w:space="0" w:color="2E8B76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2E8B76"/>
                <w:sz w:val="20"/>
              </w:rPr>
              <w:t>🧭  La analogía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Es como pedirle a una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ventana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que se agrande para que quepa todo el paisaje. La ventana no crece: te enseña el trozo que enmarca y el resto queda fuera. Para ver el paisaje completo no necesitas otra ventana — necesitas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salir de la casa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 Eso hace ahora el instrumento: en vez de fotografiar el formulario, construye un documento nuevo con el texto entero.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Causa B — La página de altura fija recortaba igual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.page { height: 10.1in !important; overflow: hidden; 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Aunque el `textarea` hubiera crecido, el contenedor lo habría cortado de todos modos. `overflow: hidden` significa, textualmente, «lo que sobre, recórtalo». El diseño de 20 páginas rígidas es perfecto para el instrumento </w:t>
      </w:r>
      <w:r>
        <w:rPr>
          <w:rFonts w:ascii="Montserrat" w:hAnsi="Montserrat" w:cs="Montserrat"/>
          <w:b/>
          <w:i w:val="0"/>
          <w:color w:val="1E2A38"/>
          <w:sz w:val="21"/>
        </w:rPr>
        <w:t>en blanco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(garantiza la impresión exacta en papel carta) pero es </w:t>
      </w:r>
      <w:r>
        <w:rPr>
          <w:rFonts w:ascii="Montserrat" w:hAnsi="Montserrat" w:cs="Montserrat"/>
          <w:b/>
          <w:i w:val="0"/>
          <w:color w:val="1E2A38"/>
          <w:sz w:val="21"/>
        </w:rPr>
        <w:t>incompatible con contenido de longitud variable</w:t>
      </w:r>
      <w:r>
        <w:rPr>
          <w:rFonts w:ascii="Montserrat" w:hAnsi="Montserrat" w:cs="Montserrat"/>
          <w:b w:val="0"/>
          <w:i w:val="0"/>
          <w:color w:val="1E2A38"/>
          <w:sz w:val="21"/>
        </w:rPr>
        <w:t>. Dos objetivos legítimos en conflicto directo.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La solución: dos documentos, no uno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En vez de forzar al formulario a ser también el PDF, los separamos. Cada uno hace bien una cosa: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Documento</w:t>
            </w:r>
          </w:p>
        </w:tc>
        <w:tc>
          <w:tcPr>
            <w:tcW w:type="dxa" w:w="374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Propósito</w:t>
            </w:r>
          </w:p>
        </w:tc>
        <w:tc>
          <w:tcPr>
            <w:tcW w:type="dxa" w:w="288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roadmap interactivo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Diligenciar y, si se quiere, imprimir el instrumento en blanco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20 páginas fijas · se conserva intacto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El reporte generado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Entregar y archivar el trabajo hecho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Fluye en páginas naturales · nunca recorta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La nueva función `printExp()` no imprime el formulario: </w:t>
      </w:r>
      <w:r>
        <w:rPr>
          <w:rFonts w:ascii="Montserrat" w:hAnsi="Montserrat" w:cs="Montserrat"/>
          <w:b/>
          <w:i w:val="0"/>
          <w:color w:val="1E2A38"/>
          <w:sz w:val="21"/>
        </w:rPr>
        <w:t>lee los valores y construye un documento nuevo</w:t>
      </w:r>
      <w:r>
        <w:rPr>
          <w:rFonts w:ascii="Montserrat" w:hAnsi="Montserrat" w:cs="Montserrat"/>
          <w:b w:val="0"/>
          <w:i w:val="0"/>
          <w:color w:val="1E2A38"/>
          <w:sz w:val="21"/>
        </w:rPr>
        <w:t>, con la marca DCA, donde cada campo es un bloque de texto que fluye y se pagina solo. Además muestra el conteo de caracteres por campo y, si el experimento ya se envió, estampa el número de recibo.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Un detalle de honestidad que añadí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Si el estudiante descarga el PDF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sin haber enviado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, el documento lleva un aviso visible: «Este PDF es una copia de trabajo. Todavía no has enviado este experimento». Es la misma lección del capítulo 2: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el artefacto nunca debe sugerir un estado que no es real.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Una sola plantilla, dos salidas</w:t>
      </w: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El PDF que descarga el estudiante y el que recibe el facilitador </w:t>
      </w:r>
      <w:r>
        <w:rPr>
          <w:rFonts w:ascii="Montserrat" w:hAnsi="Montserrat" w:cs="Montserrat"/>
          <w:b/>
          <w:i w:val="0"/>
          <w:color w:val="1E2A38"/>
          <w:sz w:val="21"/>
        </w:rPr>
        <w:t>usan el mismo diseño</w:t>
      </w:r>
      <w:r>
        <w:rPr>
          <w:rFonts w:ascii="Montserrat" w:hAnsi="Montserrat" w:cs="Montserrat"/>
          <w:b w:val="0"/>
          <w:i w:val="0"/>
          <w:color w:val="1E2A38"/>
          <w:sz w:val="21"/>
        </w:rPr>
        <w:t>. Están implementados en dos sitios (uno en el navegador, otro en el servidor) porque cumplen requisitos distintos —el del estudiante debe funcionar aunque el envío falle—, pero comparten estructura, tipografía y paleta. El facilitador nunca recibe algo distinto de lo que el estudiante creyó mandar.</w:t>
      </w: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5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El correo al facilitador: el PDF como entregable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Pediste que el correo pudiera ser el propio PDF «con algo de diseño para facilitar su revisión y consumo». Así quedó, y con una decisión de fondo: </w:t>
      </w:r>
      <w:r>
        <w:rPr>
          <w:rFonts w:ascii="Montserrat" w:hAnsi="Montserrat" w:cs="Montserrat"/>
          <w:b/>
          <w:i w:val="0"/>
          <w:color w:val="1E2A38"/>
          <w:sz w:val="21"/>
        </w:rPr>
        <w:t>el correo se optimiza para triaje; el PDF, para lectura profunda.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Anatomía del correo que recibe el facilitador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Asunto:  [ARIA Sprint 01 · Exp 101] Ana Martínez — BAIP-2026-01 · ARIA-01-101-0042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└── filtrable, ordenable y buscable por cohorte, experimento y recibo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┌──────────────────────────────────────────────┐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NUEVO ENVÍO · CERTIFICACIÓN ANALISTA BAIP    │  ← banda carbón + oro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Experimento 1.01 — Clasificación con AIMT 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├──────────────────────────────────────────────┤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Recibo ARIA-01-101-0042                      │  ← banda teal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├──────────────────────────────────────────────┤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Analista   Ana Martínez                   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Correo     ana@nexform.com  (enlace directo)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Empresa    Nexform Industrial             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Cohorte    BAIP-2026-01                   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                                          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│ 📎 ARIA-01-101-0042_Ana-Martinez_Exp-101.pdf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└──────────────────────────────────────────────┘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Responder-a: ana@nexform.com   ← respondes y le llega AL ESTUDIANTE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Las decisiones de diseño y su porqué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Asunto estructurado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cohorte, experimento y recibo en el asunto permiten filtrar, ordenar y crear reglas en Gmail sin abrir nada. Es la diferencia entre una bandeja y un sistema.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`Reply-To` apunta al estudiante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el facilitador pulsa «Responder» y el feedback le llega directo, sin copiar direcciones. Elimina un paso en la acción </w:t>
      </w:r>
      <w:r>
        <w:rPr>
          <w:rFonts w:ascii="Montserrat" w:hAnsi="Montserrat" w:cs="Montserrat"/>
          <w:b/>
          <w:i w:val="0"/>
          <w:color w:val="1E2A38"/>
          <w:sz w:val="21"/>
        </w:rPr>
        <w:t>más frecuente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de todo el flujo.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Nombre de archivo autoexplicativo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`ARIA-01-101-0042_Ana-Martinez_Exp-101.pdf`. Cien adjuntos en una carpeta siguen siendo navegables y ordenables.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Identificación antes que contenido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el correo responde en dos segundos «quién, qué, cuándo». El análisis va en el PDF. Triaje y lectura son tareas distintas y merecen artefactos distintos.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Copia de respaldo a `ceo@`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si el alias del facilitador fallara, el envío llega igual y te enteras el mismo día. Es la póliza contra repetir exactamente este incidente.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⚠️  Sobre la dirección del facilitador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Configuré `facilitador@digitalchangeadvisors.com`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con copia a `ceo@digitalchangeadvisors.com`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, según elegiste.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Verifica que el alias `facilitador@` exista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en tu consola de Google Workspace antes de abrir la próxima cohorte: si no existe, ese correo rebota. La copia a `ceo@` te protege —llegarías a enterarte igual— pero conviene que el buzón principal sea real.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6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La óptica del estudiante: experiencia y mejoras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Me puse en los zapatos de un participante: un ejecutivo con poco tiempo, alto nivel de exigencia y </w:t>
      </w:r>
      <w:r>
        <w:rPr>
          <w:rFonts w:ascii="Montserrat" w:hAnsi="Montserrat" w:cs="Montserrat"/>
          <w:b/>
          <w:i w:val="0"/>
          <w:color w:val="1E2A38"/>
          <w:sz w:val="21"/>
        </w:rPr>
        <w:t>ninguna paciencia para herramientas que le hagan dudar</w:t>
      </w:r>
      <w:r>
        <w:rPr>
          <w:rFonts w:ascii="Montserrat" w:hAnsi="Montserrat" w:cs="Montserrat"/>
          <w:b w:val="0"/>
          <w:i w:val="0"/>
          <w:color w:val="1E2A38"/>
          <w:sz w:val="21"/>
        </w:rPr>
        <w:t>. Recorrí su viaje completo y anoté cada punto de fricción.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El viaje actual, con sus dolores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374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Lo que vivía antes</w:t>
            </w:r>
          </w:p>
        </w:tc>
        <w:tc>
          <w:tcPr>
            <w:tcW w:type="dxa" w:w="374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Lo que vive ahora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Llega al roadmap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No sabe cuánto le tomará ni si puede pausar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Pendiente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ver mejora E1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Escribe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Autoguardado silencioso; duda si se guardó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Se conserva +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pendiente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E2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Pulsa Enviar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Un modal con texto y tres botones ambiguos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Un botón claro: «Enviar ahora»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Recibe confirmación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🔴 «✓ Enviado»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falso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Recibo verificado del servidor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Quiere su copia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PDF recortado e inservible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PDF completo, con marca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Duda si llegó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Nada. Silencio absoluto.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Correo de acuse con su PDF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Quiere corregir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Sin camino claro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Reenvío explícito de versión corregida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Lo que ya quedó resuelto en esta entrega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El fin de la ambigüedad.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Antes: «Copiar resumen», «Abrir en correo», «Cerrar» — tres botones y ninguno decía *enviar de verdad*. Ahora hay </w:t>
      </w:r>
      <w:r>
        <w:rPr>
          <w:rFonts w:ascii="Montserrat" w:hAnsi="Montserrat" w:cs="Montserrat"/>
          <w:b/>
          <w:i w:val="0"/>
          <w:color w:val="1E2A38"/>
          <w:sz w:val="21"/>
        </w:rPr>
        <w:t>una acción primaria inequívoca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y el resto son secundarias. Un solo camino feliz.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Copiar ya no miente.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Al copiar, el sistema avisa: «Recuerda: copiar no es enviar».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Validación antes del esfuerzo.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Si falta el nombre, el correo o la cohorte, se le dice </w:t>
      </w:r>
      <w:r>
        <w:rPr>
          <w:rFonts w:ascii="Montserrat" w:hAnsi="Montserrat" w:cs="Montserrat"/>
          <w:b/>
          <w:i w:val="0"/>
          <w:color w:val="1E2A38"/>
          <w:sz w:val="21"/>
        </w:rPr>
        <w:t>antes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de intentar, señalando exactamente qué falta y por qué importa.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Campos vacíos: aviso, no bloqueo.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Si deja campos sin llenar, se le listan y se le pregunta si quiere enviar así. Un adulto decide; la herramienta informa, no impone.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El error es accionable.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Si algo falla: motivo + «tu trabajo está a salvo» + reintentar + plan B (descargar el PDF y enviarlo a mano). Nunca un callejón sin salida.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El recibo como comprobante.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Un número propio que puede citar. Convierte la ansiedad («¿habrá llegado?») en un hecho verificable.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Mejoras que recomiendo para la próxima iteración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5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Mejora</w:t>
            </w:r>
          </w:p>
        </w:tc>
        <w:tc>
          <w:tcPr>
            <w:tcW w:type="dxa" w:w="374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Dolor que resuelve</w:t>
            </w:r>
          </w:p>
        </w:tc>
        <w:tc>
          <w:tcPr>
            <w:tcW w:type="dxa" w:w="129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Contrato de expectativas al inicio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«4 experimentos · ~45 min c/u · puedes pausar, se guarda solo»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Llega a ciegas; no sabe si empezar ahora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Indicador de guardado explícito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«Guardado hace 3 s» en vez de un punto sutil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Miedo silencioso a perder el trabajo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Aviso de dispositivo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«Tu trabajo se guarda en ESTE navegador. Si cambias de equipo, no estará»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Verdad crítica hoy invisible. Pérdida real de trabajo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Crítica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Recuperar por correo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pedir que le reenvíen su último envío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Cambió de equipo o borró caché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Media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Autoguardado en la nube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tras identificarse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Elimina E3 de raíz: el trabajo deja de vivir en un solo navegador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E6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Ejemplos desplegables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por campo («ver un ejemplo»)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Página en blanco: el bloqueo más común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Media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E7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Panel de progreso real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4 experimentos, cuál enviado, cuál falta, con recibos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No tiene vista de conjunto de su avance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Media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Accesibilidad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foco visible, lectores de pantalla, contraste AA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Exclusión silenciosa. Es estándar enterprise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E9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Guardar borrador y seguir en otro momento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con enlace mágico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Sesiones largas partidas en varios días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⚠️  La mejora que más urge: E3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Hoy el trabajo del estudiante vive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solo en el navegador que usó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Si cambia de portátil, entra de incógnito o limpia la caché,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su trabajo desaparece sin aviso previo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Ningún estudiante lo sabe, porque nada se lo dice. Es el mismo patrón que causó este incidente: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una verdad crítica que el sistema no comunica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 A corto plazo, un aviso honesto (E3). A mediano, autoguardado en la nube (E5) — que además alimenta el BI del capítulo 9.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7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La óptica del facilitador: experiencia y mejoras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Ahora del otro lado del escritorio. El facilitador no es un buzón: es quien debe </w:t>
      </w:r>
      <w:r>
        <w:rPr>
          <w:rFonts w:ascii="Montserrat" w:hAnsi="Montserrat" w:cs="Montserrat"/>
          <w:b/>
          <w:i w:val="0"/>
          <w:color w:val="1E2A38"/>
          <w:sz w:val="21"/>
        </w:rPr>
        <w:t>leer, evaluar, dar feedback y detectar patrones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en decenas de entregas, sin ahogarse.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El viaje del facilitador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331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388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Ahora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entera del envío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🔴 Nunca. Cero entregas.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Correo inmediato con PDF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Identifica al autor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Asunto estructurado + ficha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Lee el contenido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PDF completo, tipografiado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Da feedback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Responder → llega al estudiante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Sabe quién falta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Pendiente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ver mejora F1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Ve patrones de cohorte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Pendiente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— capítulo 9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Mejoras recomendadas para el facilitador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5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Mejora</w:t>
            </w:r>
          </w:p>
        </w:tc>
        <w:tc>
          <w:tcPr>
            <w:tcW w:type="dxa" w:w="374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Valor que entrega</w:t>
            </w:r>
          </w:p>
        </w:tc>
        <w:tc>
          <w:tcPr>
            <w:tcW w:type="dxa" w:w="129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Tablero de cohorte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en la misma Hoja: quién envió qué, quién falta, cuándo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Convierte perseguir gente en mirar una pantalla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Crítica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F2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Digest diario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a las 7am: «3 envíos nuevos · 5 pendientes · cierre en 2 días»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Ritmo de trabajo, no goteo de correos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F3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Recordatorio automático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al estudiante que no ha enviado y se acerca el cierre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Sube la tasa de entrega sin trabajo manual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F4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Rúbrica integrada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columnas de calificación y notas en la Hoja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feedback vive junto al dato, no en un cuaderno aparte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Pre-lectura con IA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resumen de 3 líneas + señales de calidad por envío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Prioriza a quién leer primero. Escala a 100+ estudiantes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Media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F6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Detección de respuestas huecas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muy cortas, genéricas o duplicadas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Protege la integridad de la certificación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Media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F7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Feedback con plantilla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desde la Hoja, con marca DCA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Respuestas consistentes en minutos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Media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F8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Vista comparada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del mismo experimento entre estudiantes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Detecta el malentendido colectivo, no el individual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EAF2EF"/>
            <w:tcBorders>
              <w:left w:val="single" w:sz="34" w:space="0" w:color="2E8B76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2E8B76"/>
                <w:sz w:val="20"/>
              </w:rPr>
              <w:t>🧭  El cambio de rol que esto habilita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Un facilitador sin datos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reacciona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: lee lo que llega, responde uno a uno, y descubre los problemas de la cohorte cuando ya terminó. Un facilitador con tablero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anticipa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: ve que 8 de 12 fallan el mismo paso del AILS y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corrige en la sesión en vivo, esa misma semana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 El registro acumulado no es burocracia: es lo que permite enseñar mirando hacia adelante.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8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Estándar enterprise: qué separa esto de un formulario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«Enterprise» no significa caro ni complicado. Significa que </w:t>
      </w:r>
      <w:r>
        <w:rPr>
          <w:rFonts w:ascii="Montserrat" w:hAnsi="Montserrat" w:cs="Montserrat"/>
          <w:b/>
          <w:i w:val="0"/>
          <w:color w:val="1E2A38"/>
          <w:sz w:val="21"/>
        </w:rPr>
        <w:t>el sistema se comporta bien cuando las cosas salen mal</w:t>
      </w:r>
      <w:r>
        <w:rPr>
          <w:rFonts w:ascii="Montserrat" w:hAnsi="Montserrat" w:cs="Montserrat"/>
          <w:b w:val="0"/>
          <w:i w:val="0"/>
          <w:color w:val="1E2A38"/>
          <w:sz w:val="21"/>
        </w:rPr>
        <w:t>, y que puedes responder con evidencia cuando alguien pregunta. Estos son los atributos que se implementaron y los que faltan.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Atributo</w:t>
            </w:r>
          </w:p>
        </w:tc>
        <w:tc>
          <w:tcPr>
            <w:tcW w:type="dxa" w:w="504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significa aquí</w:t>
            </w:r>
          </w:p>
        </w:tc>
        <w:tc>
          <w:tcPr>
            <w:tcW w:type="dxa" w:w="144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Verificación de extremo a extremo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No se confirma nada sin acuse del servidor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Idempotencia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Reenviar no corrompe: se detecta por huella de contenido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Trazabilidad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Cada envío tiene recibo único, citable por las 3 partes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Durabilidad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registra antes de notificar; el correo puede fallar sin perder datos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Observabilidad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Pestaña `Errores` con fecha, motivo y contenido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Concurrencia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`LockService` evita choques de numeración con envíos simultáneos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Degradación elegante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Si el envío falla: PDF + camino manual. Nunca callejón sin salida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Validación en dos capas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Cliente (rápido) y servidor (confiable)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Secretos fuera del código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`SHEET_ID` en propiedades del script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✅ Hecho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Versionado del esquema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payload lleva `instrumento` y versión para migrar sin romper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◐ Parcial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Retención y privacidad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Política de datos personales, consentimiento y borrado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⬜ Pendiente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Copia de seguridad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Respaldo automático de la Hoja fuera de Drive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⬜ Pendiente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Alertas proactivas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Aviso si un envío falla o el motor deja de responder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⬜ Pendiente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Accesibilidad AA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Contraste, foco, lectores de pantalla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⬜ Pendiente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⚠️  Sobre privacidad — abórdalo antes de escalar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Vas a acumular nombre, correo, empresa y análisis internos de organizaciones reales. Eso es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información sensible de clientes corporativos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Antes de crecer, define: qué se recoge y para qué, cuánto tiempo se conserva, quién accede, y cómo se borra si alguien lo pide. No es solo cumplimiento: tus estudiantes son C-Level analizando sus propias empresas.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La confidencialidad es parte del producto.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9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Inteligencia de Negocio sobre el registro acumulado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Aquí está el valor que trasciende el arreglo. Cada envío ya no es un correo que se lee y se archiva: es </w:t>
      </w:r>
      <w:r>
        <w:rPr>
          <w:rFonts w:ascii="Montserrat" w:hAnsi="Montserrat" w:cs="Montserrat"/>
          <w:b/>
          <w:i w:val="0"/>
          <w:color w:val="1E2A38"/>
          <w:sz w:val="21"/>
        </w:rPr>
        <w:t>una fila estructurada</w:t>
      </w:r>
      <w:r>
        <w:rPr>
          <w:rFonts w:ascii="Montserrat" w:hAnsi="Montserrat" w:cs="Montserrat"/>
          <w:b w:val="0"/>
          <w:i w:val="0"/>
          <w:color w:val="1E2A38"/>
          <w:sz w:val="21"/>
        </w:rPr>
        <w:t>. Con 10 estudiantes es una lista. Con 200, es un activo estratégico que ninguna otra firma de tu categoría tiene.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El modelo de datos que quedó implementado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Hoja «Envios» — una fila por envío, 25 columnas: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IDENTIDAD      Timestamp · ReciboID · Instrumento · Experimento · ExperimentoNombre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PERSONA        Nombre · Email · Empresa · Cohorte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CONTEXTO       GrupoAnalizado · FechaReporte · Nivel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CONTENIDO      E1 · E2 · E3 · E4 · Observaciones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CALIDAD        CaracteresTotal · CamposLlenos · CamposTotal · CompletitudPct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AUDITORÍA      EsReenvio · HashContenido · UserAgent · Origen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Por qué esas columnas y no un volcado de texto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La diferencia entre datos y un archivo es la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estructura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`CompletitudPct` y `CaracteresTotal` no son adornos: son las primeras señales de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esfuerzo y profundidad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, calculables sin leer una palabra. `Cohorte` permite comparar generaciones. `Timestamp` revela patrones de procrastinación. Cada columna es una pregunta que podrás responder sin volver a tocar el instrumento.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Preguntas que el registro ya puede responder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Sobre la formación (para la Academia)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¿Qué experimento se atasca?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Si el 1.03 tiene la mitad de la completitud que el 1.01, el problema no es el estudiante: es el enunciado, el ejemplo o la carga cognitiva del AICD.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¿Dónde abandonan?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Enviaron el 1.01 y 1.02 pero no el 1.03 → la deserción tiene una ubicación exacta, y por tanto una intervención exacta.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¿Cuánto esfuerzo real exige cada experimento?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`CaracteresTotal` es un proxy honesto. Si el 1.04 exige el triple, dilo en el contrato de expectativas (mejora E1).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¿Mejora el instrumento entre cohortes?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Compara BAIP-2026-01 vs 02 con la misma métrica. </w:t>
      </w:r>
      <w:r>
        <w:rPr>
          <w:rFonts w:ascii="Montserrat" w:hAnsi="Montserrat" w:cs="Montserrat"/>
          <w:b/>
          <w:i w:val="0"/>
          <w:color w:val="1E2A38"/>
          <w:sz w:val="21"/>
        </w:rPr>
        <w:t>Cierra el ciclo: enseñas, mides, corriges, vuelves a medir.</w:t>
      </w:r>
    </w:p>
    <w:p>
      <w:pPr>
        <w:spacing w:before="160" w:after="60"/>
      </w:pPr>
      <w:r>
        <w:rPr>
          <w:rFonts w:ascii="Montserrat" w:hAnsi="Montserrat" w:cs="Montserrat"/>
          <w:b/>
          <w:i w:val="0"/>
          <w:color w:val="1E2A38"/>
          <w:sz w:val="23"/>
        </w:rPr>
        <w:t>Sobre el negocio (para DCA)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¿Qué empresas están dentro?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La columna `Empresa` es, literalmente, un mapa de cuentas con ejecutivos ya formados en tu modelo y familiarizados con tu lenguaje.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¿Qué obstáculos al ROI de la IA son universales?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Los campos E1–E4 contienen diagnósticos reales de decenas de organizaciones. </w:t>
      </w:r>
      <w:r>
        <w:rPr>
          <w:rFonts w:ascii="Montserrat" w:hAnsi="Montserrat" w:cs="Montserrat"/>
          <w:b/>
          <w:i w:val="0"/>
          <w:color w:val="1E2A38"/>
          <w:sz w:val="21"/>
        </w:rPr>
        <w:t>Ese es el corpus más valioso de todo el sistema.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¿Qué arquetipo predomina por sector?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Cruza `Empresa` (→ industria) con la familia dominante del 1.01. Alimenta directamente tus landings por arquetipo.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¿Quién es candidato a consultoría?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Un analista que documenta un cuello de botella grave y profundo está señalando una necesidad real — con evidencia que él mismo produjo.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Cómo se ve en la práctica: de la Hoja al tablero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E2A38"/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>Hoja «Envios» (Google Sheets)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├──► Looker Studio  ── gratis, conecta en 2 clics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│       ├─ Tablero de cohorte: entregas, faltantes, ritmo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│       ├─ Mapa de calor: experimento × completitud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│       ├─ Embudo: 1.01 → 1.02 → 1.03 → 1.04 (deserción)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│       └─ Tendencia entre cohortes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│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└──► Análisis de texto (E1–E4)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       ├─ Frecuencia de familias de obstáculo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       ├─ Vocabulario por sector</w:t>
            </w:r>
          </w:p>
          <w:p>
            <w:pPr>
              <w:spacing w:after="20" w:line="259" w:lineRule="auto"/>
            </w:pPr>
            <w:r>
              <w:rPr>
                <w:rFonts w:ascii="Consolas" w:hAnsi="Consolas" w:cs="Consolas"/>
                <w:b w:val="0"/>
                <w:i w:val="0"/>
                <w:color w:val="E8ECE9"/>
                <w:sz w:val="17"/>
              </w:rPr>
              <w:t xml:space="preserve">                └─ Corpus para el Benchmark ARIA (ver cap. 10)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El camino más corto al primer tablero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Looker Studio es gratuito y ya viene con tu Workspace.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Conectarlo a la Hoja toma dos clics y no requiere programar. Con 20 envíos ya tienes tu primer tablero de cohorte vivo. No esperes a tener «suficientes datos»: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el tablero es lo que hace que los datos se vuelvan suficientes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, porque empiezas a mirarlos.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10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Qué más podemos hacer con esta información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after="120"/>
      </w:pPr>
      <w:r>
        <w:rPr>
          <w:rFonts w:ascii="Montserrat" w:hAnsi="Montserrat" w:cs="Montserrat"/>
          <w:b w:val="0"/>
          <w:i w:val="0"/>
          <w:color w:val="1E2A38"/>
          <w:sz w:val="21"/>
        </w:rPr>
        <w:t>Me pediste que pensara más allá del arreglo. Estas son las oportunidades que veo, ordenadas por relación valor/esfuerzo. Algunas son operativas; una de ellas puede cambiar la posición competitiva de la firma.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★ La oportunidad mayor: el Benchmark ARIA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EAF2EF"/>
            <w:tcBorders>
              <w:left w:val="single" w:sz="34" w:space="0" w:color="2E8B76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2E8B76"/>
                <w:sz w:val="20"/>
              </w:rPr>
              <w:t>🧭  De formar analistas a poseer el dato de la categoría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Cada cohorte produce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diagnósticos estructurados de obstáculos reales al ROI de la IA en empresas reales de Latinoamérica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, hechos con la misma metodología, la misma taxonomía y los mismos instrumentos. Eso no existe en el mercado. Nadie más lo tiene, y nadie más puede construirlo sin una academia que forme analistas con un modelo propio.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Con 100–200 envíos puedes publicar el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«Benchmark ARIA de la Brecha AI de las Personas en Latinoamérica»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: qué familia de obstáculo domina por sector, por tamaño, por país.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Deja de ser una opinión de consultores y pasa a ser el dato de referencia de la categoría.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Esto invierte la lógica del negocio: hoy la Academia forma gente. Con esto,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la Academia alimenta la propiedad intelectual de la firma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, y la firma alimenta a la Academia con hallazgos frescos. Cada cohorte hace el activo más valioso. Es un círculo virtuoso compuesto.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ontserrat" w:hAnsi="Montserrat" w:cs="Montserrat"/>
          <w:b/>
          <w:i w:val="0"/>
          <w:color w:val="1E2A38"/>
          <w:sz w:val="21"/>
        </w:rPr>
        <w:t>Condición previa innegociable: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consentimiento explícito y anonimización. Los estudiantes deben saber y aceptar que sus diagnósticos —anonimizados y agregados— alimentan un benchmark sectorial. Bien planteado, no es una cesión: </w:t>
      </w:r>
      <w:r>
        <w:rPr>
          <w:rFonts w:ascii="Montserrat" w:hAnsi="Montserrat" w:cs="Montserrat"/>
          <w:b/>
          <w:i w:val="0"/>
          <w:color w:val="1E2A38"/>
          <w:sz w:val="21"/>
        </w:rPr>
        <w:t>es un beneficio</w:t>
      </w:r>
      <w:r>
        <w:rPr>
          <w:rFonts w:ascii="Montserrat" w:hAnsi="Montserrat" w:cs="Montserrat"/>
          <w:b w:val="0"/>
          <w:i w:val="0"/>
          <w:color w:val="1E2A38"/>
          <w:sz w:val="21"/>
        </w:rPr>
        <w:t>, porque a cambio reciben la comparación con su sector (ver V1).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Valor para el estudiante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5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Idea</w:t>
            </w:r>
          </w:p>
        </w:tc>
        <w:tc>
          <w:tcPr>
            <w:tcW w:type="dxa" w:w="547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Por qué le importa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Espejo de sector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«Tu diagnóstico vs. 47 analistas de manufactura»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Nada engancha más a un C-Level que compararse. Es el beneficio que justifica ceder el dato.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V2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Certificado verificable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con su recibo y URL pública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Credencial creíble para LinkedIn. Marketing orgánico para DCA.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Su reporte consolidado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de los 4 experimentos en un PDF ejecutivo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Se lo lleva a su comité. Tu instrumento entra a la sala de juntas.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V4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Feedback estructurado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contra rúbrica, no solo comentarios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Sabe exactamente qué mejorar. Percepción de rigor.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V5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Comunidad por arquetipo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conecta con quienes enfrentan su mismo obstáculo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Valor de red. Alimenta Skool.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Valor para el facilitador y la Academia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5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Idea</w:t>
            </w:r>
          </w:p>
        </w:tc>
        <w:tc>
          <w:tcPr>
            <w:tcW w:type="dxa" w:w="547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Por qué importa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V6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Alerta de malentendido colectivo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si &gt;40% falla el mismo paso, avisa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Corriges en la sesión en vivo, no en la retrospectiva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V7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Banco de respuestas ejemplares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(con permiso) por experimento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Resuelve el bloqueo de la página en blanco (E6) con material real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V8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Predicción de deserción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quien no envía el 1.01 en 72 h rara vez termina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Intervención temprana donde todavía sirve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V9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Calibración entre facilitadores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¿califican igual el mismo trabajo?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Consistencia = confianza en la certificación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V10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Métrica de dificultad real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por experimento, no percibida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Rediseño basado en evidencia, no en intuición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Valor para la firma DCA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504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Idea</w:t>
            </w:r>
          </w:p>
        </w:tc>
        <w:tc>
          <w:tcPr>
            <w:tcW w:type="dxa" w:w="547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Por qué importa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V11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Mapa de cuentas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empresas con analistas certificados dentro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Pipeline cálido: ya hablan tu idioma y tienen el diagnóstico hecho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V12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Señal de oportunidad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: diagnósticos que revelan dolor grave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propio estudiante documentó la necesidad. No hay mejor entrada.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Contenido con datos propios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para blog y landings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«El 62% de los analistas encuentra X» supera cualquier opinión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V14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Validación del Modelo ARIA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con evidencia de campo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Prueba empírica de que la taxonomía discrimina bien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V15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Producto nuevo: Diagnóstico Sectorial ARIA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El benchmark se vende solo, como reporte o suscripción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V16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Mejora de los instrumentos AIMT/AILS/AICD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Los datos dicen qué ítem no discrimina y debe reescribirse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Por dónde empezar: la secuencia que recomiendo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1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Conecta el motor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(falta 1 URL) y rescata la cohorte actual. Sin esto, nada de lo demás existe.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2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Tablero de cohorte en Looker Studio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(F1). Dos clics, valor inmediato, cero código.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3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Aviso de dispositivo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(E3) y </w:t>
      </w:r>
      <w:r>
        <w:rPr>
          <w:rFonts w:ascii="Montserrat" w:hAnsi="Montserrat" w:cs="Montserrat"/>
          <w:b/>
          <w:i w:val="0"/>
          <w:color w:val="1E2A38"/>
          <w:sz w:val="21"/>
        </w:rPr>
        <w:t>contrato de expectativas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(E1). Baratos y evitan pérdida real de trabajo.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4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Consentimiento y política de datos.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Antes de acumular, no después. Habilita todo lo demás legalmente.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5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Digest diario + recordatorios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(F2, F3). Suben la tasa de entrega sin trabajo manual.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6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Autoguardado en la nube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(E5). Elimina la fragilidad de raíz y multiplica la calidad del dato.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7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Espejo de sector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(V1) en cuanto tengas ~50 envíos. Es el gancho que justifica el benchmark.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8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Benchmark ARIA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(★) al llegar a ~150–200. El activo estratégico de la firma.</w:t>
      </w: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11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Hoja de ruta de implementación</w:t>
      </w:r>
    </w:p>
    <w:p>
      <w:pPr>
        <w:spacing w:before="0" w:after="200"/>
        <w:pBdr>
          <w:bottom w:val="single" w:sz="18" w:space="1" w:color="2E8B76"/>
        </w:pBdr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Entregado en esta ronda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345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3888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Motor de recepción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`backend/Codigo.gs`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Recibe, valida, registra, genera PDF, envía correos, devuelve recibo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Guía de despliegue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`backend/README-despliegue.md`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6 pasos, sin conocimientos técnicos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Envío real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`sprint-roadmap-01-baip.html`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`submitExp()` con verificación de extremo a extremo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PDF completo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`sprint-roadmap-01-baip.html`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`printExp()` — documento que fluye, sin recortes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Campo de correo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`sprint-roadmap-01-baip.html`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`sf-email` en portada — no existía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Este documento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`Documento-Diseno-Motor-Recepcion-BAIP.docx`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Diagnóstico, arquitectura, UX, BI y valor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F0DC"/>
            <w:tcBorders>
              <w:left w:val="single" w:sz="34" w:space="0" w:color="A48111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A48111"/>
                <w:sz w:val="20"/>
              </w:rPr>
              <w:t>✅  Nota sobre una regla del CLAUDE.md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El `CLAUDE.md` del proyecto marca el bloque `@media print` como intocable.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Lo respeté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: no lo modifiqué. La generación de PDF no altera la impresión del instrumento en blanco (las 20 páginas fijas siguen exactas); construye un documento aparte. Los cuatro botones «Guardar copia en PDF» ahora llaman a `printExp()` en vez de `window.print()`. La lógica de autoguardado, `EXP_FIELDS`, `SAVE_KEY` y los atributos `data-save` quedaron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intactos y verificados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Verificado antes de entregar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Sintaxis JavaScript válida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(`node --check` sobre el bloque completo).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Cero referencias a `mailModal`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— la confirmación falsa quedó erradicada.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Maquinaria protegida intacta</w:t>
      </w:r>
      <w:r>
        <w:rPr>
          <w:rFonts w:ascii="Montserrat" w:hAnsi="Montserrat" w:cs="Montserrat"/>
          <w:b w:val="0"/>
          <w:i w:val="0"/>
          <w:color w:val="1E2A38"/>
          <w:sz w:val="21"/>
        </w:rPr>
        <w:t>: `SAVE_KEY`, `getData`, `saveField`, `loadAll`, `EXP_FIELDS`, 38 atributos `data-save` y 10 `data-radio-save`.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Los 4 botones de PDF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correctamente enlazados a su experimento (101→104).</w:t>
      </w:r>
    </w:p>
    <w:p>
      <w:pPr>
        <w:pStyle w:val="ListBullet"/>
        <w:spacing w:after="60"/>
        <w:ind w:left="432"/>
      </w:pPr>
      <w:r>
        <w:rPr>
          <w:rFonts w:ascii="Montserrat" w:hAnsi="Montserrat" w:cs="Montserrat"/>
          <w:b/>
          <w:i w:val="0"/>
          <w:color w:val="1E2A38"/>
          <w:sz w:val="21"/>
        </w:rPr>
        <w:t>Commit y push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al repositorio `sprint-roadmaps-baip`.</w:t>
      </w:r>
    </w:p>
    <w:p>
      <w:pPr>
        <w:spacing w:before="240" w:after="80"/>
      </w:pPr>
      <w:r>
        <w:rPr>
          <w:rFonts w:ascii="Marcellus" w:hAnsi="Marcellus" w:cs="Marcellus"/>
          <w:b w:val="0"/>
          <w:i w:val="0"/>
          <w:color w:val="236B5B"/>
          <w:sz w:val="30"/>
        </w:rPr>
        <w:t>Pendiente para poner en marcha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1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Tú: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despliega el Apps Script siguiendo `backend/README-despliegue.md` (~15 min).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2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Tú: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verifica que el alias `facilitador@digitalchangeadvisors.com` exista en Workspace.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3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Tú: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pásame la URL `/exec` del Apps Script.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4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Yo: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la pego en `ENDPOINT`, publico a producción y verifico el circuito completo en vivo.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5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Ambos: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prueba de extremo a extremo con un envío real antes de avisar a los estudiantes.</w:t>
      </w:r>
    </w:p>
    <w:p>
      <w:pPr>
        <w:spacing w:after="100"/>
        <w:ind w:left="461"/>
      </w:pPr>
      <w:r>
        <w:rPr>
          <w:rFonts w:ascii="Montserrat" w:hAnsi="Montserrat" w:cs="Montserrat"/>
          <w:b/>
          <w:i w:val="0"/>
          <w:color w:val="FFFFFF"/>
          <w:sz w:val="21"/>
          <w:shd w:val="clear" w:color="auto" w:fill="2E8B76"/>
        </w:rPr>
        <w:t xml:space="preserve"> 6 </w:t>
      </w:r>
      <w:r>
        <w:t xml:space="preserve">  </w:t>
      </w:r>
      <w:r>
        <w:rPr>
          <w:rFonts w:ascii="Montserrat" w:hAnsi="Montserrat" w:cs="Montserrat"/>
          <w:b/>
          <w:i w:val="0"/>
          <w:color w:val="1E2A38"/>
          <w:sz w:val="21"/>
        </w:rPr>
        <w:t>Tú:</w:t>
      </w:r>
      <w:r>
        <w:rPr>
          <w:rFonts w:ascii="Montserrat" w:hAnsi="Montserrat" w:cs="Montserrat"/>
          <w:b w:val="0"/>
          <w:i w:val="0"/>
          <w:color w:val="1E2A38"/>
          <w:sz w:val="21"/>
        </w:rPr>
        <w:t xml:space="preserve"> avisa a la cohorte que reabra la URL y pulse «Enviar ahora». Su trabajo sigue ahí.</w:t>
      </w:r>
    </w:p>
    <w:p>
      <w:r>
        <w:br w:type="page"/>
      </w:r>
    </w:p>
    <w:p>
      <w:pPr>
        <w:spacing w:after="40"/>
      </w:pPr>
      <w:r>
        <w:rPr>
          <w:rFonts w:ascii="Marcellus" w:hAnsi="Marcellus" w:cs="Marcellus"/>
          <w:b w:val="0"/>
          <w:i w:val="0"/>
          <w:color w:val="A48111"/>
          <w:sz w:val="52"/>
        </w:rPr>
        <w:t>12</w:t>
      </w:r>
      <w:r>
        <w:rPr>
          <w:rFonts w:ascii="Marcellus" w:hAnsi="Marcellus" w:cs="Marcellus"/>
          <w:b w:val="0"/>
          <w:i w:val="0"/>
          <w:color w:val="2E8B76"/>
          <w:sz w:val="44"/>
        </w:rPr>
        <w:t xml:space="preserve">  Qué necesito de ti para cerrar</w:t>
      </w:r>
    </w:p>
    <w:p>
      <w:pPr>
        <w:spacing w:before="0" w:after="200"/>
        <w:pBdr>
          <w:bottom w:val="single" w:sz="18" w:space="1" w:color="2E8B7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16"/>
        <w:gridCol w:w="3216"/>
        <w:gridCol w:w="3216"/>
      </w:tblGrid>
      <w:tr>
        <w:tc>
          <w:tcPr>
            <w:tcW w:type="dxa" w:w="432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45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Qué necesito</w:t>
            </w:r>
          </w:p>
        </w:tc>
        <w:tc>
          <w:tcPr>
            <w:tcW w:type="dxa" w:w="5616"/>
            <w:shd w:val="clear" w:color="auto" w:fill="2E8B7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FFFFFF"/>
                <w:sz w:val="18"/>
              </w:rPr>
              <w:t>Por qué es bloqueante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La URL del Apps Script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 xml:space="preserve"> (termina en `/exec`)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Sin ella el envío no puede funcionar. Es la única pieza que falta.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2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Confirmar que `facilitador@` existe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Si no existe, el correo rebota y repetimos el incidente.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18"/>
              </w:rPr>
              <w:t>Decisión sobre el despliegue inmediato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18"/>
              </w:rPr>
              <w:t>Ver el recuadro de abajo. Requiere criterio tuyo.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360"/>
            <w:shd w:val="clear" w:color="auto" w:fill="F7E9E4"/>
            <w:tcBorders>
              <w:left w:val="single" w:sz="34" w:space="0" w:color="C2593F"/>
            </w:tcBorders>
            <w:tcMar>
              <w:top w:w="80" w:type="dxa"/>
              <w:bottom w:w="80" w:type="dxa"/>
              <w:left w:w="14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C2593F"/>
                <w:sz w:val="20"/>
              </w:rPr>
              <w:t>⚠️  La decisión que no quiero tomar por ti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La versión en vivo ahora mismo sigue mostrando el «✓ Enviado» falso.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Si algún estudiante entra hoy, seguirá siendo engañado.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Puedo publicar el arreglo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ya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, antes de tener el endpoint. Quedaría así: el botón diría con honestidad «El envío todavía no está configurado, avisa a tu facilitador», y el PDF completo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sí funcionaría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. Es decir: </w:t>
            </w: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deja de mentir de inmediato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>, aunque el envío aún no opere.</w:t>
            </w:r>
          </w:p>
          <w:p>
            <w:pPr>
              <w:spacing w:after="40"/>
            </w:pPr>
            <w:r>
              <w:rPr>
                <w:rFonts w:ascii="Montserrat" w:hAnsi="Montserrat" w:cs="Montserrat"/>
                <w:b/>
                <w:i w:val="0"/>
                <w:color w:val="1E2A38"/>
                <w:sz w:val="20"/>
              </w:rPr>
              <w:t>Mi recomendación: publicar ya.</w:t>
            </w:r>
            <w:r>
              <w:rPr>
                <w:rFonts w:ascii="Montserrat" w:hAnsi="Montserrat" w:cs="Montserrat"/>
                <w:b w:val="0"/>
                <w:i w:val="0"/>
                <w:color w:val="1E2A38"/>
                <w:sz w:val="20"/>
              </w:rPr>
              <w:t xml:space="preserve"> Una herramienta que dice «todavía no puedo enviar» es infinitamente mejor que una que dice «enviado» sin haberlo hecho. Pero es tu llamada, porque afecta a estudiantes que están usando el instrumento en este momento.</w:t>
            </w:r>
          </w:p>
        </w:tc>
      </w:tr>
    </w:tbl>
    <w:p>
      <w:pPr>
        <w:spacing w:after="40"/>
      </w:pPr>
    </w:p>
    <w:p/>
    <w:p>
      <w:pPr>
        <w:spacing w:before="280"/>
        <w:jc w:val="center"/>
      </w:pPr>
      <w:r>
        <w:rPr>
          <w:rFonts w:ascii="Marcellus" w:hAnsi="Marcellus" w:cs="Marcellus"/>
          <w:b w:val="0"/>
          <w:i w:val="0"/>
          <w:color w:val="A48111"/>
          <w:sz w:val="24"/>
        </w:rPr>
        <w:t>— Digital Change Advisors · Modelo ARIA —</w:t>
      </w:r>
    </w:p>
    <w:p>
      <w:pPr>
        <w:jc w:val="center"/>
      </w:pPr>
      <w:r>
        <w:rPr>
          <w:rFonts w:ascii="Montserrat" w:hAnsi="Montserrat" w:cs="Montserrat"/>
          <w:b w:val="0"/>
          <w:i/>
          <w:color w:val="555F6B"/>
          <w:sz w:val="20"/>
        </w:rPr>
        <w:t>Ningún sistema debería afirmar un éxito que no ocurrió.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Montserrat" w:hAnsi="Montserrat"/>
      <w:color w:val="1E2A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