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Montserrat" w:hAnsi="Montserrat"/>
          <w:b/>
          <w:i w:val="0"/>
          <w:color w:val="A48111"/>
          <w:sz w:val="17"/>
        </w:rPr>
        <w:t>DIGITAL CHANGE ACADEMY · CERTIFICACIÓN ANALISTA BAIP</w:t>
      </w:r>
    </w:p>
    <w:p>
      <w:pPr>
        <w:spacing w:before="0" w:after="40"/>
      </w:pPr>
      <w:r>
        <w:rPr>
          <w:rFonts w:ascii="Marcellus" w:hAnsi="Marcellus"/>
          <w:b w:val="0"/>
          <w:i w:val="0"/>
          <w:color w:val="1E2A38"/>
          <w:sz w:val="44"/>
        </w:rPr>
        <w:t>Preguntas Frecuentes de Cohorte</w:t>
      </w:r>
    </w:p>
    <w:p>
      <w:pPr>
        <w:spacing w:before="0" w:after="200"/>
      </w:pPr>
      <w:r>
        <w:rPr>
          <w:rFonts w:ascii="Montserrat" w:hAnsi="Montserrat"/>
          <w:b/>
          <w:i w:val="0"/>
          <w:color w:val="2E8B76"/>
          <w:sz w:val="22"/>
        </w:rPr>
        <w:t>Sprint Roadmap 01 · Identificación de Causas Raíz de los Obstáculos al ROI de la IA</w:t>
      </w:r>
    </w:p>
    <w:p>
      <w:pPr>
        <w:spacing w:before="40" w:after="280"/>
      </w:pPr>
      <w:r>
        <w:rPr>
          <w:rFonts w:ascii="Montserrat" w:hAnsi="Montserrat"/>
          <w:b w:val="0"/>
          <w:i/>
          <w:color w:val="6B7280"/>
          <w:sz w:val="21"/>
        </w:rPr>
        <w:t>Este documento consolida las inquietudes más frecuentes de los estudiantes en dos frentes: el funcionamiento de la plataforma (el instrumento HTML) y el contenido técnico del proceso de aprendizaje. Crece con cada cohorte. Las respuestas están redactadas en la voz DCA (tuteo) y pueden copiarse tal cual para responder a un estudiante.</w:t>
      </w:r>
    </w:p>
    <w:p>
      <w:pPr>
        <w:spacing w:before="240" w:after="200"/>
        <w:shd w:val="clear" w:color="auto" w:fill="2e8b76"/>
      </w:pPr>
      <w:r>
        <w:rPr>
          <w:rFonts w:ascii="Marcellus" w:hAnsi="Marcellus"/>
          <w:color w:val="FFFFFF"/>
          <w:sz w:val="30"/>
        </w:rPr>
        <w:t xml:space="preserve">  Frente 1 · Plataforma (el instrumento HTML)</w:t>
      </w:r>
    </w:p>
    <w:p>
      <w:pPr>
        <w:spacing w:before="160" w:after="80"/>
      </w:pPr>
      <w:r>
        <w:rPr>
          <w:rFonts w:ascii="Montserrat" w:hAnsi="Montserrat"/>
          <w:b/>
          <w:i w:val="0"/>
          <w:color w:val="2E8B76"/>
          <w:sz w:val="23"/>
        </w:rPr>
        <w:t>▸ Al empezar a escribir, las preguntas guía dentro del recuadro desaparecen y ya no sé qué responder.</w:t>
      </w:r>
    </w:p>
    <w:p>
      <w:pPr>
        <w:spacing w:before="0" w:after="80"/>
      </w:pPr>
      <w:r>
        <w:rPr>
          <w:rFonts w:ascii="Montserrat" w:hAnsi="Montserrat"/>
          <w:b/>
          <w:color w:val="A48111"/>
          <w:sz w:val="17"/>
        </w:rPr>
        <w:t>RESPUESTA PARA EL ESTUDIANTE</w:t>
      </w:r>
    </w:p>
    <w:p>
      <w:pPr>
        <w:spacing w:after="120"/>
        <w:ind w:left="259"/>
        <w:shd w:val="clear" w:color="auto" w:fill="f5f3ee"/>
      </w:pPr>
      <w:r>
        <w:rPr>
          <w:rFonts w:ascii="Montserrat" w:hAnsi="Montserrat"/>
          <w:b w:val="0"/>
          <w:i w:val="0"/>
          <w:color w:val="1E2A38"/>
          <w:sz w:val="21"/>
        </w:rPr>
        <w:t>Gracias, es una observación muy justa y ya está corregida. Antes las preguntas guía aparecían como texto de ayuda dentro del recuadro y se ocultaban al escribir la primera letra —fue un límite de diseño, no un descuido tuyo—. En la versión actual las preguntas quedan fijas y visibles todo el tiempo, en un bloque justo encima del recuadro, así puedes consultarlas mientras redactas. Si abriste el documento antes de la actualización, recárgalo (tu trabajo se conserva por el autoguardado). Y un consejo que siempre suma: si una respuesta es larga, esbózala por partes usando cada pregunta guía como subtítulo.</w:t>
      </w:r>
    </w:p>
    <w:p>
      <w:pPr>
        <w:spacing w:before="0" w:after="200"/>
      </w:pPr>
      <w:r>
        <w:rPr>
          <w:rFonts w:ascii="Montserrat" w:hAnsi="Montserrat"/>
          <w:b/>
          <w:i w:val="0"/>
          <w:color w:val="A48111"/>
          <w:sz w:val="19"/>
        </w:rPr>
        <w:t xml:space="preserve">Nota interna (facilitador): </w:t>
      </w:r>
      <w:r>
        <w:rPr>
          <w:rFonts w:ascii="Montserrat" w:hAnsi="Montserrat"/>
          <w:b w:val="0"/>
          <w:i/>
          <w:color w:val="6B7280"/>
          <w:sz w:val="19"/>
        </w:rPr>
        <w:t>Resuelto en producción: preguntas movidas del placeholder a un bloque .field-guide fijo, en S01 y S02.</w:t>
      </w:r>
    </w:p>
    <w:p>
      <w:pPr>
        <w:spacing w:before="240" w:after="200"/>
        <w:shd w:val="clear" w:color="auto" w:fill="2e8b76"/>
      </w:pPr>
      <w:r>
        <w:rPr>
          <w:rFonts w:ascii="Marcellus" w:hAnsi="Marcellus"/>
          <w:color w:val="FFFFFF"/>
          <w:sz w:val="30"/>
        </w:rPr>
        <w:t xml:space="preserve">  Frente 2 · Contenido (proceso de aprendizaje del Sprint 01)</w:t>
      </w:r>
    </w:p>
    <w:p>
      <w:pPr>
        <w:spacing w:before="160" w:after="80"/>
      </w:pPr>
      <w:r>
        <w:rPr>
          <w:rFonts w:ascii="Montserrat" w:hAnsi="Montserrat"/>
          <w:b/>
          <w:i w:val="0"/>
          <w:color w:val="2E8B76"/>
          <w:sz w:val="23"/>
        </w:rPr>
        <w:t>▸ ¿Cómo interpreto los niveles del reporte? Entiendo «extendido» o «foco senior», pero cuando dice solo «Cautela» o «Vulnerable», ¿qué significa?</w:t>
      </w:r>
    </w:p>
    <w:p>
      <w:pPr>
        <w:spacing w:before="0" w:after="80"/>
      </w:pPr>
      <w:r>
        <w:rPr>
          <w:rFonts w:ascii="Montserrat" w:hAnsi="Montserrat"/>
          <w:b/>
          <w:color w:val="A48111"/>
          <w:sz w:val="17"/>
        </w:rPr>
        <w:t>RESPUESTA PARA EL ESTUDIANTE</w:t>
      </w:r>
    </w:p>
    <w:p>
      <w:pPr>
        <w:spacing w:after="120"/>
        <w:ind w:left="259"/>
        <w:shd w:val="clear" w:color="auto" w:fill="f5f3ee"/>
      </w:pPr>
      <w:r>
        <w:rPr>
          <w:rFonts w:ascii="Montserrat" w:hAnsi="Montserrat"/>
          <w:b w:val="0"/>
          <w:i w:val="0"/>
          <w:color w:val="1E2A38"/>
          <w:sz w:val="21"/>
        </w:rPr>
        <w:t>Buena pregunta, y vale la pena separar dos cosas que el reporte junta. Una es el NIVEL —el estado de ese obstáculo en la escala Cautela → Vulnerable → Diestro → Óptimo, de más frágil a más maduro— y otra es el ALCANCE —dónde se concentra ese estado: «extendido» (transversal a toda la unidad), «foco senior» (en los perfiles senior) o «en la base» (en la base de la pirámide)—. Cuando el reporte dice «Diestro en la base» te da las dos cosas: nivel + dónde. Cuando dice solo «Cautela» o «Vulnerable», sin apellido de alcance, léelo como el estado del grupo COMO UNIDAD para ese obstáculo, no como algo repartido a medias: si hubiera un foco por segmento, el reporte lo nombraría, como sí hace con «senior» o «base». Para tu análisis lo que manda es el nivel y el peso del obstáculo (priorizas por «mayor peso × nivel más bajo»); el alcance es contexto adicional, no criterio de priorización — no lo sobre-interpretes o desviarás la conclusión.</w:t>
      </w:r>
    </w:p>
    <w:p>
      <w:pPr>
        <w:spacing w:before="0" w:after="200"/>
      </w:pPr>
      <w:r>
        <w:rPr>
          <w:rFonts w:ascii="Montserrat" w:hAnsi="Montserrat"/>
          <w:b/>
          <w:i w:val="0"/>
          <w:color w:val="A48111"/>
          <w:sz w:val="19"/>
        </w:rPr>
        <w:t xml:space="preserve">Nota interna (facilitador): </w:t>
      </w:r>
      <w:r>
        <w:rPr>
          <w:rFonts w:ascii="Montserrat" w:hAnsi="Montserrat"/>
          <w:b w:val="0"/>
          <w:i/>
          <w:color w:val="6B7280"/>
          <w:sz w:val="19"/>
        </w:rPr>
        <w:t>Definición oficial de alcance: extendido / foco senior / en la base. Glosario montado en la pág. Instrucciones del S01. S02 no usa estos niveles.</w:t>
      </w:r>
    </w:p>
    <w:p>
      <w:pPr>
        <w:spacing w:before="160" w:after="80"/>
      </w:pPr>
      <w:r>
        <w:rPr>
          <w:rFonts w:ascii="Montserrat" w:hAnsi="Montserrat"/>
          <w:b/>
          <w:i w:val="0"/>
          <w:color w:val="2E8B76"/>
          <w:sz w:val="23"/>
        </w:rPr>
        <w:t>▸ En un caso real, ¿cómo se recolecta la información de contexto? ¿Cuántas entrevistas, quién las hace? De su calidad depende la calidad del análisis.</w:t>
      </w:r>
    </w:p>
    <w:p>
      <w:pPr>
        <w:spacing w:before="0" w:after="80"/>
      </w:pPr>
      <w:r>
        <w:rPr>
          <w:rFonts w:ascii="Montserrat" w:hAnsi="Montserrat"/>
          <w:b/>
          <w:color w:val="A48111"/>
          <w:sz w:val="17"/>
        </w:rPr>
        <w:t>RESPUESTA PARA EL ESTUDIANTE</w:t>
      </w:r>
    </w:p>
    <w:p>
      <w:pPr>
        <w:spacing w:after="120"/>
        <w:ind w:left="259"/>
        <w:shd w:val="clear" w:color="auto" w:fill="f5f3ee"/>
      </w:pPr>
      <w:r>
        <w:rPr>
          <w:rFonts w:ascii="Montserrat" w:hAnsi="Montserrat"/>
          <w:b w:val="0"/>
          <w:i w:val="0"/>
          <w:color w:val="1E2A38"/>
          <w:sz w:val="21"/>
        </w:rPr>
        <w:t>Excelente pregunta, y toca una frontera de rol que conviene tener clarísima. En BAIP tu trabajo como analista es leer el CONSOLIDADO ya procesado: no diseñas ni ejecutas el levantamiento de información. Ese levantamiento —cómo se recoge el contexto, a quién se entrevista, con qué muestra— es responsabilidad de otro rol: el Líder de Proyecto ReturnAI que gestiona la cuenta de cada cliente. Es ese rol el que garantiza la calidad de la información de contexto (tienes toda la razón en que de ahí depende la calidad del análisis), siguiendo un protocolo estructurado que recibe como parte de su certificación Champion ReturnAI. A ti te llega el consolidado listo para analizar; tu valor está en leer las tres lentes (AIMT, AILS, AICD), triangular y traducir a causa raíz para el responsable del retorno. Así la cadena queda limpia: quien mide (Champion ReturnAI) y quien analiza (Analista BAIP) son roles distintos y complementarios.</w:t>
      </w:r>
    </w:p>
    <w:p>
      <w:pPr>
        <w:spacing w:before="0" w:after="200"/>
      </w:pPr>
      <w:r>
        <w:rPr>
          <w:rFonts w:ascii="Montserrat" w:hAnsi="Montserrat"/>
          <w:b/>
          <w:i w:val="0"/>
          <w:color w:val="A48111"/>
          <w:sz w:val="19"/>
        </w:rPr>
        <w:t xml:space="preserve">Nota interna (facilitador): </w:t>
      </w:r>
      <w:r>
        <w:rPr>
          <w:rFonts w:ascii="Montserrat" w:hAnsi="Montserrat"/>
          <w:b w:val="0"/>
          <w:i/>
          <w:color w:val="6B7280"/>
          <w:sz w:val="19"/>
        </w:rPr>
        <w:t>Champion ReturnAI = próximo lanzamiento DCA (cierre de este semestre); recibe el protocolo completo de levantamiento. El Analista BAIP definitivamente no tiene ese alcance: solo recibe el consolidado.</w:t>
      </w:r>
    </w:p>
    <w:p>
      <w:pPr>
        <w:spacing w:before="320" w:after="0"/>
        <w:jc w:val="center"/>
      </w:pPr>
      <w:r>
        <w:rPr>
          <w:rFonts w:ascii="Montserrat" w:hAnsi="Montserrat"/>
          <w:b w:val="0"/>
          <w:i/>
          <w:color w:val="6B7280"/>
          <w:sz w:val="17"/>
        </w:rPr>
        <w:t>Digital Change Advisors · Modelo ARIA · Documento vivo — se amplía con cada cohorte.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ontserrat" w:hAnsi="Montserrat"/>
      <w:color w:val="1E2A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