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Guida alle abilità di studio</w:t>
      </w:r>
    </w:p>
    <w:p>
      <w:r>
        <w:t>Dispensa universitaria   •   Versione 2.0   •   28 ottobre 2026</w:t>
      </w:r>
    </w:p>
    <w:p>
      <w:r>
        <w:t>Versione 2.0 per lo studio universitario e la verifica critica</w:t>
      </w:r>
    </w:p>
    <w:p>
      <w:pPr>
        <w:pStyle w:val="Heading1"/>
      </w:pPr>
      <w:r>
        <w:t>Scopo e criteri di lettura</w:t>
      </w:r>
    </w:p>
    <w:p>
      <w:r>
        <w:t>Questa dispensa aiuta a progettare, svolgere e valutare lo studio universitario, distinguendo le strategie sostenute dalla ricerca dalle scelte organizzative che richiedono adattamento personale. Il criterio principale è ciò che si riesce a ricordare, spiegare e applicare dopo un intervallo, insieme al tempo impiegato e alla sostenibilità del percorso.</w:t>
      </w:r>
    </w:p>
    <w:p>
      <w:r>
        <w:t>La ricerca sostiene l’utilità del recupero dalla memoria e della distribuzione della pratica; altre attività, come auto-spiegazione, mappatura e pratica intercalata, presentano benefici che dipendono da contenuti, modalità di esecuzione e confronto utilizzato. Nessuna tecnica garantisce comprensione completa, ricordi permanenti o successo a ogni esame. [1, 2, 3]</w:t>
      </w:r>
    </w:p>
    <w:p>
      <w:r>
        <w:t>La versione 2.0 integra le rettifiche del report critico e dei successivi controlli delle fonti. Mantiene il nucleo operativo della versione precedente, aggiunge chiarimenti e applicazioni e riduce le avvertenze ripetitive; l’accordo tra modelli non costituisce una validazione scientifica indipendente.</w:t>
      </w:r>
    </w:p>
    <w:p>
      <w:r>
        <w:t>I numeri tra parentesi quadre rimandano alla bibliografia. Gli esempi relativi alle Scienze Motorie e i calendari proposti sono costruzioni didattiche di questa dispensa: illustrano un’applicazione possibile e non descrivono esperimenti che abbiano verificato esattamente quelle procedure.</w:t>
      </w:r>
    </w:p>
    <w:p>
      <w:r>
        <w:t>La selezione delle fonti deriva da una verifica narrativa mirata, non da una revisione sistematica preregistrata. La bibliografia indica il livello di consultazione; quando sono disponibili soltanto abstract o estratti, non si presume di aver verificato integralmente metodi, supplementi e dati grezzi.</w:t>
      </w:r>
    </w:p>
    <w:p>
      <w:pPr>
        <w:pStyle w:val="Heading1"/>
      </w:pPr>
      <w:r>
        <w:t>Percorso della dispensa</w:t>
      </w:r>
    </w:p>
    <w:p>
      <w:pPr>
        <w:keepNext/>
        <w:spacing w:after="20" w:line="240" w:lineRule="auto"/>
      </w:pPr>
      <w:r>
        <w:rPr>
          <w:sz w:val="20"/>
        </w:rPr>
        <w:t>1. Che cosa significa apprendere e come verificarlo</w:t>
      </w:r>
    </w:p>
    <w:p>
      <w:pPr>
        <w:keepNext/>
        <w:spacing w:after="20" w:line="240" w:lineRule="auto"/>
      </w:pPr>
      <w:r>
        <w:rPr>
          <w:sz w:val="20"/>
        </w:rPr>
        <w:t>2. Fondamenti psicologici senza gerarchie improprie</w:t>
      </w:r>
    </w:p>
    <w:p>
      <w:pPr>
        <w:keepNext/>
        <w:spacing w:after="20" w:line="240" w:lineRule="auto"/>
      </w:pPr>
      <w:r>
        <w:rPr>
          <w:sz w:val="20"/>
        </w:rPr>
        <w:t>3. Leggere per comprendere e usare SQ3R</w:t>
      </w:r>
    </w:p>
    <w:p>
      <w:pPr>
        <w:keepNext/>
        <w:spacing w:after="20" w:line="240" w:lineRule="auto"/>
      </w:pPr>
      <w:r>
        <w:rPr>
          <w:sz w:val="20"/>
        </w:rPr>
        <w:t>4. Recuperare, spiegare e distribuire la pratica</w:t>
      </w:r>
    </w:p>
    <w:p>
      <w:pPr>
        <w:keepNext/>
        <w:spacing w:after="20" w:line="240" w:lineRule="auto"/>
      </w:pPr>
      <w:r>
        <w:rPr>
          <w:sz w:val="20"/>
        </w:rPr>
        <w:t>5. Organizzare il lavoro e scegliere gli obiettivi</w:t>
      </w:r>
    </w:p>
    <w:p>
      <w:pPr>
        <w:keepNext/>
        <w:spacing w:after="20" w:line="240" w:lineRule="auto"/>
      </w:pPr>
      <w:r>
        <w:rPr>
          <w:sz w:val="20"/>
        </w:rPr>
        <w:t>6. Regolare attenzione, emozioni e sforzo</w:t>
      </w:r>
    </w:p>
    <w:p>
      <w:pPr>
        <w:keepNext/>
        <w:spacing w:after="20" w:line="240" w:lineRule="auto"/>
      </w:pPr>
      <w:r>
        <w:rPr>
          <w:sz w:val="20"/>
        </w:rPr>
        <w:t>7. Proteggere sonno e comfort durante lo studio</w:t>
      </w:r>
    </w:p>
    <w:p>
      <w:pPr>
        <w:keepNext/>
        <w:spacing w:after="20" w:line="240" w:lineRule="auto"/>
      </w:pPr>
      <w:r>
        <w:rPr>
          <w:sz w:val="20"/>
        </w:rPr>
        <w:t>8. Usare routine, piani se-allora e strumenti creativi</w:t>
      </w:r>
    </w:p>
    <w:p>
      <w:pPr>
        <w:keepNext/>
        <w:spacing w:after="20" w:line="240" w:lineRule="auto"/>
      </w:pPr>
      <w:r>
        <w:rPr>
          <w:sz w:val="20"/>
        </w:rPr>
        <w:t>9. Applicazioni alle Scienze Motorie</w:t>
      </w:r>
    </w:p>
    <w:p>
      <w:pPr>
        <w:keepNext/>
        <w:spacing w:after="20" w:line="240" w:lineRule="auto"/>
      </w:pPr>
      <w:r>
        <w:rPr>
          <w:sz w:val="20"/>
        </w:rPr>
        <w:t>10. Valutare il metodo e usare criticamente le IA</w:t>
      </w:r>
    </w:p>
    <w:p>
      <w:pPr>
        <w:keepNext/>
        <w:spacing w:after="20" w:line="240" w:lineRule="auto"/>
      </w:pPr>
      <w:r>
        <w:rPr>
          <w:sz w:val="20"/>
        </w:rPr>
        <w:t>Appendice A — Tracciabilità delle rettifiche</w:t>
      </w:r>
    </w:p>
    <w:p>
      <w:pPr>
        <w:keepNext/>
        <w:spacing w:after="20" w:line="240" w:lineRule="auto"/>
      </w:pPr>
      <w:r>
        <w:rPr>
          <w:sz w:val="20"/>
        </w:rPr>
        <w:t>Appendice B — Bibliografia e limiti delle fonti</w:t>
      </w:r>
    </w:p>
    <w:p>
      <w:pPr>
        <w:keepNext w:val="0"/>
        <w:spacing w:after="20" w:line="240" w:lineRule="auto"/>
      </w:pPr>
      <w:r>
        <w:rPr>
          <w:sz w:val="20"/>
        </w:rPr>
        <w:t>Appendice C — Traccia per la verifica successiva</w:t>
      </w:r>
    </w:p>
    <w:p>
      <w:pPr>
        <w:pStyle w:val="Heading1"/>
        <w:pageBreakBefore/>
      </w:pPr>
      <w:r>
        <w:t>1. Che cosa significa apprendere e come verificarlo</w:t>
      </w:r>
    </w:p>
    <w:p>
      <w:pPr>
        <w:pStyle w:val="Heading2"/>
      </w:pPr>
      <w:r>
        <w:t>1.1 Distinguere attività, prestazione immediata e apprendimento</w:t>
      </w:r>
    </w:p>
    <w:p>
      <w:r>
        <w:t>Leggere un capitolo, sottolineare una pagina e costruire una mappa sono attività; rispondere correttamente subito dopo aver studiato è una prestazione immediata. Per valutare l’apprendimento interessa anche ciò che resta disponibile quando il testo non è davanti e quando è trascorso del tempo. [1, 4]</w:t>
      </w:r>
    </w:p>
    <w:p>
      <w:r>
        <w:t>Una risposta appena letta può essere facile da riprodurre senza essere ancora stabile; viceversa, una prova inizialmente faticosa può aiutare a individuare lacune e correggerle. La facilità immediata non basta quindi a giudicare il metodo, mentre la difficoltà va collegata al tipo di elaborazione che produce.</w:t>
      </w:r>
    </w:p>
    <w:p>
      <w:r>
        <w:t>Il quadro delle difficoltà desiderabili descrive condizioni che possono rendere la pratica meno fluida e favorire ritenzione o trasferimento: recuperare dopo un intervallo e distinguere problemi simili ne sono esempi. Mancanza di prerequisiti e istruzioni incomprensibili possono invece aggiungere ostacoli senza il beneficio cercato. [5]</w:t>
      </w:r>
    </w:p>
    <w:p>
      <w:r>
        <w:t>Nel modello di Bjork e Bjork, la forza di immagazzinamento riguarda il radicamento della rappresentazione nelle conoscenze, mentre la forza di recupero riguarda la sua accessibilità attuale. Sono costrutti teorici: una risposta oggi poco accessibile non è necessariamente cancellata, e la sensazione di fatica non misura direttamente nessuna delle due forze. [5]</w:t>
      </w:r>
    </w:p>
    <w:p>
      <w:r>
        <w:t>Le prove differite non devono essere necessariamente esami formali. Si può riprendere un argomento in una giornata successiva, spiegare un meccanismo senza appunti e risolvere una domanda diversa dagli esempi già incontrati; occorre poi confrontare la risposta con una fonte o una soluzione affidabile. [2]</w:t>
      </w:r>
    </w:p>
    <w:p>
      <w:r>
        <w:t>Non esiste un unico intervallo di verifica adatto a ogni obiettivo. Se bisogna ricordare per mesi, una prova dopo pochi minuti offre informazioni limitate; se si sta costruendo una procedura nuova, controlli ravvicinati possono invece essere utili per non proseguire su errori non riconosciuti. [3]</w:t>
      </w:r>
    </w:p>
    <w:p>
      <w:pPr>
        <w:pStyle w:val="Heading2"/>
      </w:pPr>
      <w:r>
        <w:t>1.2 Definire la competenza desiderata</w:t>
      </w:r>
    </w:p>
    <w:p>
      <w:r>
        <w:t>Un obiettivo di apprendimento dovrebbe specificare che cosa si deve riuscire a fare. Conoscere i nomi delle strutture anatomiche, spiegare una relazione fisiologica e interpretare un grafico biomeccanico sono risultati diversi, anche quando appartengono allo stesso capitolo.</w:t>
      </w:r>
    </w:p>
    <w:p>
      <w:r>
        <w:t>Per una definizione può servire recuperare correttamente caratteristiche e condizioni; per una relazione causale occorre mostrare come cambiano gli effetti modificando una premessa. Per un problema quantitativo bisogna scegliere il modello pertinente, applicarlo e controllare unità e plausibilità del risultato.</w:t>
      </w:r>
    </w:p>
    <w:p>
      <w:r>
        <w:t>Una spiegazione orale non verifica da sola ogni competenza. In Scienze Motorie, la conoscenza dichiarativa di un gesto e la sua esecuzione costituiscono esiti distinti; questa guida riguarda soprattutto lo studio di contenuti e ragionamenti e non sostituisce un programma di apprendimento motorio specificamente valutato.</w:t>
      </w:r>
    </w:p>
    <w:p>
      <w:pPr>
        <w:pStyle w:val="Heading2"/>
      </w:pPr>
      <w:r>
        <w:t>1.3 Scegliere indicatori utili</w:t>
      </w:r>
    </w:p>
    <w:p>
      <w:r>
        <w:t>Le ore e le pagine aiutano a descrivere il lavoro svolto, ma non dimostrano che il contenuto sia stato appreso. Un indicatore più vicino all’obiettivo è la capacità di rispondere senza aiuti, motivare una scelta o riconoscere quando una spiegazione non si applica. [1, 2]</w:t>
      </w:r>
    </w:p>
    <w:p>
      <w:r>
        <w:t>Si può affiancare a ogni attività una breve prova: dopo lo studio di un meccanismo, ricostruirne i passaggi; dopo un insieme di esercizi, affrontarne uno senza soluzione visibile. La verifica deve rappresentare ciò che si vuole sapere e non soltanto ciò che è più facile contare.</w:t>
      </w:r>
    </w:p>
    <w:p>
      <w:r>
        <w:t>Le percentuali di risposte corrette vanno interpretate rispetto al numero e alla qualità delle domande. Ottenere quattro risposte corrette su cinque non consente di attribuire una misura precisa dell’intera preparazione se gli argomenti fondamentali non sono stati campionati.</w:t>
      </w:r>
    </w:p>
    <w:p>
      <w:pPr>
        <w:pStyle w:val="Heading2"/>
      </w:pPr>
      <w:r>
        <w:t>1.4 La comprensione come spiegazione controllabile</w:t>
      </w:r>
    </w:p>
    <w:p>
      <w:r>
        <w:t>Una spiegazione utile rende espliciti gli elementi, le relazioni e le condizioni che collegano cause ed effetti. Non richiede sempre parole quotidiane: i termini tecnici possono condensare distinzioni necessarie, purché chi li usa sappia chiarirne il significato e le conseguenze.</w:t>
      </w:r>
    </w:p>
    <w:p>
      <w:r>
        <w:t>L’illusione di profondità esplicativa consiste nel sovrastimare quanto si comprende un fenomeno; dover produrre una spiegazione dettagliata può rendere visibili limiti inizialmente non riconosciuti. Gli studi di Rozenblit e Keil sostengono questo fenomeno, ma non validano una soglia universale basata sull’età dell’ascoltatore. [6]</w:t>
      </w:r>
    </w:p>
    <w:p>
      <w:r>
        <w:t>Spiegare semplicemente è quindi un’euristica utile, non un test assoluto. La difficoltà a parlare a un bambino può dipendere dai suoi prerequisiti o dalle abilità comunicative dello studente; inoltre, una spiegazione semplice può essere errata e deve essere controllata.</w:t>
      </w:r>
    </w:p>
    <w:p>
      <w:pPr>
        <w:pStyle w:val="Heading1"/>
      </w:pPr>
      <w:r>
        <w:t>2. Fondamenti psicologici senza gerarchie improprie</w:t>
      </w:r>
    </w:p>
    <w:p>
      <w:pPr>
        <w:pStyle w:val="Heading2"/>
      </w:pPr>
      <w:r>
        <w:t>2.1 Teorie, metodi e risultati sono livelli diversi</w:t>
      </w:r>
    </w:p>
    <w:p>
      <w:r>
        <w:t>Comportamentismo, cognitivismo e costruttivismo affrontano problemi diversi e non costituiscono una graduatoria crescente di metodi sempre più efficaci. Una teoria dell’apprendimento, una concezione pedagogica e una procedura concreta di insegnamento non sono categorie intercambiabili.</w:t>
      </w:r>
    </w:p>
    <w:p>
      <w:r>
        <w:t>La domanda operativa riguarda che cosa accade quando una determinata procedura viene applicata a un contenuto, da una certa popolazione e rispetto a un’alternativa. L’efficacia di una lezione o di un esercizio non si deduce soltanto dall’etichetta teorica assegnata. [1, 7]</w:t>
      </w:r>
    </w:p>
    <w:p>
      <w:r>
        <w:t>Un’attività può essere fisicamente silenziosa e cognitivamente impegnativa: leggere seguendo una dimostrazione può richiedere molte inferenze. Al contrario, parlare, evidenziare o muoversi non garantisce elaborazione accurata; il coinvolgimento visibile non è una misura sufficiente della comprensione.</w:t>
      </w:r>
    </w:p>
    <w:p>
      <w:pPr>
        <w:pStyle w:val="Heading2"/>
      </w:pPr>
      <w:r>
        <w:t>2.2 Apprendimento associativo e organizzazione del comportamento</w:t>
      </w:r>
    </w:p>
    <w:p>
      <w:r>
        <w:t>Nel condizionamento classico uno stimolo può acquisire la capacità di evocare una risposta attraverso una relazione appresa con un altro evento. L’esempio convenzionale di Pavlov illustra questo principio, ma non autorizza a promettere che una scrivania o un profumo producano automaticamente concentrazione profonda.</w:t>
      </w:r>
    </w:p>
    <w:p>
      <w:r>
        <w:t>Un contesto riconoscibile può facilitare l’avvio di un comportamento attraverso la ripetizione, ma l’automatizzazione richiede tempo e presenta differenze individuali. Preparare l’ambiente può aiutare a cominciare; comprendere un argomento nuovo resta un compito ulteriore. [8]</w:t>
      </w:r>
    </w:p>
    <w:p>
      <w:r>
        <w:t>Nel condizionamento operante le conseguenze modificano la probabilità futura di un comportamento. Per parlare di rinforzo positivo deve aumentare il comportamento dopo l’aggiunta di una conseguenza; il rinforzo negativo riguarda invece la sua crescita dopo la rimozione o riduzione di una condizione avversiva.</w:t>
      </w:r>
    </w:p>
    <w:p>
      <w:r>
        <w:t>Il termine negativo non significa punizione. Inoltre, il sollievo dall’ansia può sostenere sia lo studio sia il suo evitamento, a seconda di quale comportamento lo preceda; bisogna quindi osservare che cosa viene effettivamente favorito, senza assegnare al meccanismo un valore morale.</w:t>
      </w:r>
    </w:p>
    <w:p>
      <w:r>
        <w:t>Un premio non è necessariamente un rinforzo soltanto perché è piacevole nelle intenzioni di chi lo propone. Le ricompense possono avere effetti differenti sulla motivazione; una meta-analisi mostra che alcune ricompense attese e controllanti possono ridurre l’interesse intrinseco, mentre il feedback positivo può sostenerlo. [9]</w:t>
      </w:r>
    </w:p>
    <w:p>
      <w:r>
        <w:t>La tradizione comportamentale non coincide con passività del discente. Nell’insegnamento programmato di Skinner avevano rilievo le risposte dello studente e le conseguenze informative dell’attività; questo basta a evitare l’equazione semplicistica tra comportamentismo e ricezione inerte di contenuti. [10]</w:t>
      </w:r>
    </w:p>
    <w:p>
      <w:pPr>
        <w:pStyle w:val="Heading2"/>
      </w:pPr>
      <w:r>
        <w:t>2.3 Ripetizione, feedback e plasticità</w:t>
      </w:r>
    </w:p>
    <w:p>
      <w:r>
        <w:t>Le formulazioni storiche di Thorndike sull’effetto e sull’esercizio non devono essere trattate come leggi neuroscientifiche inviolabili. Ripetere un’attività non garantisce di migliorarla, soprattutto quando non si riconoscono gli errori o si ripete una risposta scorretta.</w:t>
      </w:r>
    </w:p>
    <w:p>
      <w:r>
        <w:t>La descrizione di un’associazione che diventa più spessa a ogni ripetizione confonde livelli differenti. La pratica può accompagnarsi a cambiamenti biologici, ma una competenza non corrisponde a un singolo collegamento astratto che si ispessisce secondo una regola uniforme.</w:t>
      </w:r>
    </w:p>
    <w:p>
      <w:r>
        <w:t>Per organizzare lo studio è più utile distinguere esposizione ripetuta, recupero della risposta e uso del feedback. La ricerca confronta queste procedure mediante esiti osservabili; la loro efficacia non richiede di attribuire a ogni sessione una specifica quantità di mielina o un rilascio neurochimico. [1, 2]</w:t>
      </w:r>
    </w:p>
    <w:p>
      <w:pPr>
        <w:pStyle w:val="Heading2"/>
      </w:pPr>
      <w:r>
        <w:t>2.4 Comprensione graduale, insight e guida</w:t>
      </w:r>
    </w:p>
    <w:p>
      <w:r>
        <w:t>Una soluzione può emergere con una sensazione improvvisa di comprensione, ma non ogni apprendimento passa attraverso un insight. Il progresso può essere graduale e dipendere da spiegazioni, esempi, tentativi e correzioni, senza un momento soggettivo di illuminazione.</w:t>
      </w:r>
    </w:p>
    <w:p>
      <w:r>
        <w:t>L’apprendimento per scoperta non assistita e quello sostenuto da aiuti non sono equivalenti. Una meta-analisi distingue risultati generalmente sfavorevoli della scoperta senza guida rispetto all’istruzione esplicita da risultati più favorevoli quando la scoperta comprende supporti come feedback, esempi svolti e scaffolding. [7]</w:t>
      </w:r>
    </w:p>
    <w:p>
      <w:r>
        <w:t>Un principiante può quindi studiare prima una soluzione commentata, spiegare perché ogni passaggio è necessario e affrontare poi un esercizio con meno aiuti. La guida si riduce in funzione della padronanza dimostrata, come approfondito nel paragrafo 5.1.</w:t>
      </w:r>
    </w:p>
    <w:p>
      <w:pPr>
        <w:pStyle w:val="Heading2"/>
      </w:pPr>
      <w:r>
        <w:t>2.5 Relazione sociale e costruzione della conoscenza</w:t>
      </w:r>
    </w:p>
    <w:p>
      <w:r>
        <w:t>Il confronto con docenti e compagni può offrire spiegazioni alternative e feedback, ma l’apprendimento non richiede sempre socializzazione o esposizione orale. Anche il lavoro individuale può produrre conoscenze, mentre un gruppo può mantenere errori se nessuno dispone di criteri adeguati per correggerli.</w:t>
      </w:r>
    </w:p>
    <w:p>
      <w:r>
        <w:t>La collaborazione va progettata attorno al compito: ciascuno produce una risposta, espone le ragioni e confronta il risultato con una fonte pertinente. Lo scambio è utile quando rende spiegazioni e correzioni più accurate. [11]</w:t>
      </w:r>
    </w:p>
    <w:p>
      <w:r>
        <w:t>La terminologia di Piaget, Vygotskij e Bruner appartiene a tradizioni differenti; non è necessario attribuire a questi autori una sola teoria relazionale per riconoscere l’utilità possibile della mediazione e degli aiuti. Il sostegno va calibrato sui bisogni del discente, senza imporre discussioni competitive o umilianti.</w:t>
      </w:r>
    </w:p>
    <w:p>
      <w:pPr>
        <w:pStyle w:val="Heading2"/>
      </w:pPr>
      <w:r>
        <w:t>2.6 Preferenze personali e stili di apprendimento</w:t>
      </w:r>
    </w:p>
    <w:p>
      <w:r>
        <w:t>Preferire immagini, ascolto o attività pratiche non dimostra che si impari meglio soltanto attraverso quella modalità. La meshing hypothesis sostiene che abbinare l’istruzione a uno stile diagnosticato migliori l’apprendimento; la revisione di Pashler e colleghi non trova il sostegno necessario a questa applicazione. [12]</w:t>
      </w:r>
    </w:p>
    <w:p>
      <w:r>
        <w:t>La scelta del formato deve seguire soprattutto il contenuto e la competenza richiesta, tenendo conto anche di accessibilità e bisogni specifici. Per interpretare una leva serve lavorare su rappresentazioni spaziali e forze; per una prova orale serve anche esercitarsi a spiegare, qualunque sia il formato preferito.</w:t>
      </w:r>
    </w:p>
    <w:p>
      <w:r>
        <w:t>Si possono usare le preferenze per rendere il lavoro più sostenibile, senza trasformarle in identità rigide. Uno studente che ama ascoltare può comunque aver bisogno di costruire un diagramma, leggere una formula e risolvere un problema; il paragrafo 4.7 mostra come coordinare queste attività.</w:t>
      </w:r>
    </w:p>
    <w:p>
      <w:pPr>
        <w:pStyle w:val="Heading1"/>
      </w:pPr>
      <w:r>
        <w:t>3. Leggere per comprendere e usare SQ3R</w:t>
      </w:r>
    </w:p>
    <w:p>
      <w:pPr>
        <w:pStyle w:val="Heading2"/>
      </w:pPr>
      <w:r>
        <w:t>3.1 Scegliere lo scopo della lettura</w:t>
      </w:r>
    </w:p>
    <w:p>
      <w:r>
        <w:t>Si legge diversamente per cercare un’informazione, orientarsi in un capitolo o seguire un ragionamento complesso. Prima di cominciare conviene chiarire quale risultato si cerca, perché la lettura selettiva e quella approfondita rispondono a esigenze differenti.</w:t>
      </w:r>
    </w:p>
    <w:p>
      <w:r>
        <w:t>La scansione di titoli e riassunti può fornire un orientamento iniziale, ma un testo cumulativo può richiedere lettura sequenziale. Non è corretto vietare di leggere dall’inizio alla fine, né presumere che tutte le introduzioni siano trascurabili: possono contenere definizioni e condizioni necessarie.</w:t>
      </w:r>
    </w:p>
    <w:p>
      <w:r>
        <w:t>L’attenzione alle domande non deve ridurre la lettura alla ricerca di conferme. Se il testo modifica la domanda iniziale o introduce una condizione inattesa, occorre rivedere l’interpretazione anziché selezionare soltanto le frasi compatibili con l’aspettativa.</w:t>
      </w:r>
    </w:p>
    <w:p>
      <w:pPr>
        <w:pStyle w:val="Heading2"/>
      </w:pPr>
      <w:r>
        <w:t>3.2 Velocità, comprensione e scrematura</w:t>
      </w:r>
    </w:p>
    <w:p>
      <w:r>
        <w:t>La ricerca sulla lettura descrive un compromesso tra velocità e accuratezza: aumenti estremi della velocità non mantengono necessariamente lo stesso livello di comprensione. I limiti riguardano l’elaborazione linguistica e l’integrazione del significato, oltre ai movimenti degli occhi. [13]</w:t>
      </w:r>
    </w:p>
    <w:p>
      <w:r>
        <w:t>La scrematura può essere appropriata per localizzare un passaggio o valutare la pertinenza di un testo; per comprendere relazioni complesse può invece essere necessario rallentare e tornare su alcune frasi. La rilettura mirata a risolvere un’incomprensione è diversa dalla ripetizione passiva dell’intero materiale.</w:t>
      </w:r>
    </w:p>
    <w:p>
      <w:r>
        <w:t>La frase inglese Speed readers don’t read; they skim è il titolo di un articolo divulgativo di Carver del 1972, non una citazione senza origine identificabile. La revisione moderna di Rayner e colleghi costituisce qui il riferimento scientifico principale, mentre il titolo storico documenta la provenienza della formula. [14, 13]</w:t>
      </w:r>
    </w:p>
    <w:p>
      <w:pPr>
        <w:pStyle w:val="Heading2"/>
      </w:pPr>
      <w:r>
        <w:t>3.3 SQ3R come struttura adattabile</w:t>
      </w:r>
    </w:p>
    <w:p>
      <w:r>
        <w:t>SQ3R organizza la lettura attraverso Survey, Question, Read, Recite e Review, ossia esplorazione, domande, lettura, rievocazione e revisione. È una possibile struttura di lavoro, non l’unico metodo valido né un pacchetto dimostrato superiore in qualsiasi contesto.</w:t>
      </w:r>
    </w:p>
    <w:p>
      <w:r>
        <w:t>Carlston presenta risultati favorevoli a un’implementazione di SQ3R, descrivendo però la propria indagine come preliminare e la ricerca precedente come limitata. Il supporto esteso a componenti come recupero e pratica distribuita non dimostra da solo l’efficacia di ogni variante della sequenza completa. [15, 1]</w:t>
      </w:r>
    </w:p>
    <w:p>
      <w:pPr>
        <w:pStyle w:val="Heading2"/>
      </w:pPr>
      <w:r>
        <w:t>3.4 Esplorare e formulare domande</w:t>
      </w:r>
    </w:p>
    <w:p>
      <w:r>
        <w:t>Nella fase Survey si osservano titoli, sezioni e rappresentazioni essenziali per capire che cosa si dovrà imparare. L’esplorazione deve restare proporzionata: un grafico incomprensibile può segnalare un obiettivo da raggiungere, senza dover essere decifrato integralmente prima di acquisire i prerequisiti.</w:t>
      </w:r>
    </w:p>
    <w:p>
      <w:r>
        <w:t>Nella fase Question si trasformano alcuni obiettivi in domande. Per esempio, davanti a un capitolo sul trasporto di membrana, si può chiedere quale fonte energetica sia coinvolta, che cosa determini la direzione del flusso e in quali condizioni il processo cambi.</w:t>
      </w:r>
    </w:p>
    <w:p>
      <w:r>
        <w:t>Queste domande orientano l’attività cognitiva; non è necessario attribuire loro l’accensione di un filtro reticolare o l’installazione di una cartella cerebrale. Devono restare aperte a modifiche, perché lo scopo è comprendere l’organizzazione del contenuto e non cercare risposte già presupposte.</w:t>
      </w:r>
    </w:p>
    <w:p>
      <w:pPr>
        <w:pStyle w:val="Heading2"/>
      </w:pPr>
      <w:r>
        <w:t>3.5 Leggere, recuperare e controllare</w:t>
      </w:r>
    </w:p>
    <w:p>
      <w:r>
        <w:t>Nella fase Read si legge il materiale necessario per rispondere e per ricostruire il contesto. Evidenziare poche frasi può aiutare a ritrovarle, ma l’evidenziazione non dimostra che siano state comprese e non sostituisce la verifica successiva. [1]</w:t>
      </w:r>
    </w:p>
    <w:p>
      <w:r>
        <w:t>Nella fase Recite si tenta di rispondere senza consultare la fonte, usando parole, disegni o passaggi di soluzione pertinenti. Se la risposta è incompleta si registra ciò che manca, si consulta il testo e si riprova; il confronto è necessario anche quando la risposta appare fluente. [2]</w:t>
      </w:r>
    </w:p>
    <w:p>
      <w:r>
        <w:t>Nella fase Review si controllano copertura, errori e relazioni tra parti. Si può poi programmare una nuova prova in una giornata successiva: questa estensione distribuita è una scelta coerente con la letteratura sulla pratica, senza imporre a SQ3R un calendario fisso che valga per tutti. [3]</w:t>
      </w:r>
    </w:p>
    <w:p>
      <w:pPr>
        <w:pStyle w:val="Heading2"/>
      </w:pPr>
      <w:r>
        <w:t>3.6 Un esempio di lettura verificabile</w:t>
      </w:r>
    </w:p>
    <w:p>
      <w:r>
        <w:t>Si immagini un paragrafo che confronti diffusione semplice e diffusione facilitata. Una prima domanda può riguardare il ruolo delle proteine di membrana, ma la lettura deve includere anche le condizioni del trasporto e le distinzioni terminologiche presenti nella fonte.</w:t>
      </w:r>
    </w:p>
    <w:p>
      <w:r>
        <w:t>Dopo la lettura, lo studente ricostruisce il confronto e controlla se ha confuso il coinvolgimento di una proteina con il consumo diretto di ATP. Si confrontano termini e condizioni con il manuale del corso.</w:t>
      </w:r>
    </w:p>
    <w:p>
      <w:r>
        <w:t>Se la risposta è corretta soltanto con la tabella davanti, si dispone ancora di un sostegno esterno importante. Una prova successiva senza tabella e una domanda con condizioni modificate permettono di valutare meglio che cosa è stato acquisito.</w:t>
      </w:r>
    </w:p>
    <w:p>
      <w:pPr>
        <w:pStyle w:val="Heading1"/>
      </w:pPr>
      <w:r>
        <w:t>4. Recuperare, spiegare e distribuire la pratica</w:t>
      </w:r>
    </w:p>
    <w:p>
      <w:pPr>
        <w:pStyle w:val="Heading2"/>
      </w:pPr>
      <w:r>
        <w:t>4.1 Recupero attivo con controllo della risposta</w:t>
      </w:r>
    </w:p>
    <w:p>
      <w:r>
        <w:t>Il recupero attivo consiste nel tentare di richiamare informazioni o procedure senza consultare immediatamente la soluzione. Può assumere la forma di una risposta aperta, uno schema ricostruito, una domanda a scelta multipla con motivazione o un esercizio svolto autonomamente. [2]</w:t>
      </w:r>
    </w:p>
    <w:p>
      <w:r>
        <w:t>Una meta-analisi di 222 studi su contesti didattici rileva un beneficio medio dei test rispetto alle condizioni di confronto; la grandezza dell’effetto varia con materiale, formato, feedback, ripetizioni e altre caratteristiche. Il risultato sostiene la pratica, ma non garantisce un beneficio identico per ogni studente o prova. [16]</w:t>
      </w:r>
    </w:p>
    <w:p>
      <w:r>
        <w:t>L’elemento decisivo non è pronunciare con sicurezza una risposta: bisogna controllarne l’accuratezza. Nei test a scelta multipla si sceglie e si motiva la risposta, poi si usa il feedback per correggere anche la spiegazione dei distrattori; se si è incerti, non si archiviano le proprie giustificazioni come corrette.</w:t>
      </w:r>
    </w:p>
    <w:p>
      <w:r>
        <w:t>L’esposizione a distrattori plausibili può produrre intrusioni di informazioni false nelle risposte successive. Butler e Roediger hanno trovato che il feedback, sia immediato sia differito, aumentava le risposte corrette e riduceva queste intrusioni rispetto all’assenza di feedback. Occorre quindi prevedere la correzione, senza imporre l’immediatezza come condizione universale. [17]</w:t>
      </w:r>
    </w:p>
    <w:p>
      <w:r>
        <w:t>Pyc e Rawson hanno ottenuto risultati a sostegno dell’ipotesi dello sforzo di recupero: nelle condizioni studiate, recuperi più difficili ma riusciti producevano benefici maggiori al test finale rispetto a recuperi più facili. Questo sostiene il richiamo impegnativo, senza stabilire che aumentare qualsiasi forma di sforzo migliori qualsiasi apprendimento. [18]</w:t>
      </w:r>
    </w:p>
    <w:p>
      <w:r>
        <w:t>Se il tentativo fallisce, si può usare un indizio o tornare a una spiegazione guidata. Esperimenti mostrano che anche tentativi inizialmente falliti possono favorire il successivo apprendimento della risposta corretta, quando questa viene poi presentata; il beneficio non coincide con il lasciare gli errori senza correzione. [19]</w:t>
      </w:r>
    </w:p>
    <w:p>
      <w:r>
        <w:t>Un’applicazione è provare a spiegare un meccanismo prima di riaprire gli appunti e poi confrontare i passaggi. Se mancano i prerequisiti per cominciare, si studia un esempio commentato: il criterio è rendere possibile un’elaborazione utile, non prolungare il blocco o ricercare il dolore. [1, 7]</w:t>
      </w:r>
    </w:p>
    <w:p>
      <w:pPr>
        <w:pStyle w:val="Heading2"/>
      </w:pPr>
      <w:r>
        <w:t>4.2 Distinguere gli errori per correggerli</w:t>
      </w:r>
    </w:p>
    <w:p>
      <w:r>
        <w:t>Una risposta mancante e una risposta sbagliata non richiedono necessariamente lo stesso intervento. Nel primo caso può mancare la disponibilità del contenuto; nel secondo possono esserci un concetto scorretto, un passaggio saltato o una confusione tra condizioni.</w:t>
      </w:r>
    </w:p>
    <w:p>
      <w:r>
        <w:t>Per scegliere la correzione si può distinguere tra lacuna informativa, errore di relazione, errore procedurale e imprecisione terminologica. Se manca una definizione, la si ricostruisce; se è sbagliato un nesso, si riesamina il meccanismo; se fallisce un passaggio, lo si confronta con un esempio svolto.</w:t>
      </w:r>
    </w:p>
    <w:p>
      <w:r>
        <w:t>Dopo la correzione si affronta di nuovo la domanda e, quando possibile, una variante che richieda lo stesso principio con dettagli differenti. Per iniziare conviene scegliere esercizi con soluzione commentata o trasformare domande già risolte conservando esplicitamente le condizioni del modello.</w:t>
      </w:r>
    </w:p>
    <w:p>
      <w:r>
        <w:t>Quando si inventa una variante e manca la soluzione, si annotano premesse, regola applicata e deduzione. Si cerca un caso risolto comparabile o si chiede un controllo al docente o al tutor; il gruppo può aiutare a individuare dubbi, ma il solo accordo non certifica la risposta.</w:t>
      </w:r>
    </w:p>
    <w:p>
      <w:r>
        <w:t>Una risposta ancora dubbia resta contrassegnata come da verificare e non entra nel materiale di ripasso come fatto acquisito. Risalire da un effetto alle possibili cause può generare una domanda utile, ma non permette di invertire automaticamente una relazione causale o di inferire una causa unica.</w:t>
      </w:r>
    </w:p>
    <w:p>
      <w:pPr>
        <w:pStyle w:val="Heading2"/>
      </w:pPr>
      <w:r>
        <w:t>4.3 Pratica distribuita e intervalli adattabili</w:t>
      </w:r>
    </w:p>
    <w:p>
      <w:r>
        <w:t>Distribuire le occasioni di studio e recupero favorisce generalmente la ritenzione rispetto a concentrare la pratica in un unico periodo. L’intervallo utile dipende anche dalla distanza del test finale, dal materiale e dalla preparazione; la ricerca non fornisce una sequenza di giorni ottimale per qualsiasi esame. [3]</w:t>
      </w:r>
    </w:p>
    <w:p>
      <w:r>
        <w:t>Cepeda e colleghi hanno studiato l’apprendimento di fatti con una prima sessione, una seconda sessione dopo un intervallo variabile e un test successivo. L’intervallo di ritenzione era il tempo fra la seconda sessione e il test, distinto dalla distanza fra le due sessioni. [20]</w:t>
      </w:r>
    </w:p>
    <w:p>
      <w:r>
        <w:t>Gli intervalli ottimali fra le sessioni aumentavano in valore assoluto al crescere del ritardo del test, ma diminuivano in proporzione a quel ritardo: circa 20–40% per una settimana e 5–10% per un anno. Queste stime non costituiscono una regola del primo ripasso pari al 10–30% dei giorni mancanti all’esame. [20]</w:t>
      </w:r>
    </w:p>
    <w:p>
      <w:r>
        <w:t>Il seguente calendario riguarda un singolo nucleo di contenuti studiato al giorno 1, con esame al giorno 28. È un adattamento organizzativo esemplificativo su quattro settimane, non il calendario sperimentalmente ottimizzato di Cepeda; i giorni indicano occasioni di controllo, da modificare secondo le risposte.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032"/>
        <w:gridCol w:w="4248"/>
      </w:tblGrid>
      <w:tr>
        <w:trPr>
          <w:cantSplit/>
          <w:tblHeader/>
        </w:trPr>
        <w:tc>
          <w:tcPr>
            <w:tcW w:type="dxa" w:w="1512"/>
            <w:vAlign w:val="center"/>
            <w:shd w:fill="E7E6E6"/>
            <w:tcMar>
              <w:top w:w="95" w:type="dxa"/>
              <w:left w:w="95" w:type="dxa"/>
              <w:bottom w:w="95" w:type="dxa"/>
              <w:right w:w="95" w:type="dxa"/>
            </w:tcMar>
          </w:tcPr>
          <w:p>
            <w:pPr>
              <w:spacing w:line="252" w:lineRule="auto" w:after="60" w:before="60"/>
            </w:pPr>
            <w:r>
              <w:rPr>
                <w:b/>
                <w:sz w:val="19"/>
              </w:rPr>
              <w:t>Periodo</w:t>
            </w:r>
          </w:p>
        </w:tc>
        <w:tc>
          <w:tcPr>
            <w:tcW w:type="dxa" w:w="4032"/>
            <w:vAlign w:val="center"/>
            <w:shd w:fill="E7E6E6"/>
            <w:tcMar>
              <w:top w:w="95" w:type="dxa"/>
              <w:left w:w="95" w:type="dxa"/>
              <w:bottom w:w="95" w:type="dxa"/>
              <w:right w:w="95" w:type="dxa"/>
            </w:tcMar>
          </w:tcPr>
          <w:p>
            <w:pPr>
              <w:spacing w:line="252" w:lineRule="auto" w:after="60" w:before="60"/>
            </w:pPr>
            <w:r>
              <w:rPr>
                <w:b/>
                <w:sz w:val="19"/>
              </w:rPr>
              <w:t>Attività sul nucleo studiato</w:t>
            </w:r>
          </w:p>
        </w:tc>
        <w:tc>
          <w:tcPr>
            <w:tcW w:type="dxa" w:w="4248"/>
            <w:vAlign w:val="center"/>
            <w:shd w:fill="E7E6E6"/>
            <w:tcMar>
              <w:top w:w="95" w:type="dxa"/>
              <w:left w:w="95" w:type="dxa"/>
              <w:bottom w:w="95" w:type="dxa"/>
              <w:right w:w="95" w:type="dxa"/>
            </w:tcMar>
          </w:tcPr>
          <w:p>
            <w:pPr>
              <w:spacing w:line="252" w:lineRule="auto" w:after="60" w:before="60"/>
            </w:pPr>
            <w:r>
              <w:rPr>
                <w:b/>
                <w:sz w:val="19"/>
              </w:rPr>
              <w:t>Decisione dopo il controllo</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Settimana 1; giorni 1, 2 e 5</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Giorno 1: studio e prima prova; giorni 2 e 5: recupero senza appunti e correzione.</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Se mancano prerequisiti o nessi essenziali, tornarvi prima del controllo successivo.</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Settimana 2; giorno 10</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Riprendere domande fondamentali e un’applicazione con soluzione disponibile.</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Anticipare un nuovo controllo sulle risposte errate; distanziare quelle accurate e motivate.</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Settimana 3; giorno 17</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Inserire le domande in una serie mista con altri nuclei già studiati.</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Distinguere difficoltà di richiamo, scelta del principio e procedura.</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Settimana 4; giorni 24 e 26</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Giorno 24: simulazione coerente con l’esame; giorno 26: verifica mirata delle correzioni.</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Ridurre attività poco informative e concentrare il lavoro sulle lacune rilevanti.</w:t>
            </w:r>
          </w:p>
        </w:tc>
      </w:tr>
    </w:tbl>
    <w:p>
      <w:pPr>
        <w:spacing w:after="40"/>
      </w:pPr>
    </w:p>
    <w:p>
      <w:r>
        <w:t>Per gli argomenti introdotti dopo il giorno 1 si costruiscono ritorni compatibili con il tempo residuo, senza copiare tutte le date della tabella. Il calendario deve conservare spazio per contenuti nuovi, correzioni e imprevisti; una breve prova può campionare più argomenti senza ristudiare ogni volta tutto.</w:t>
      </w:r>
    </w:p>
    <w:p>
      <w:r>
        <w:t>Se il recupero fallisce spesso, si migliora l’acquisizione iniziale o si ravvicina il controllo; se è accurato e motivato, si può aumentare l’intervallo. L’obiettivo è arrivare a ricordare nelle condizioni richieste, non rispettare una sequenza ignorando i risultati.</w:t>
      </w:r>
    </w:p>
    <w:p>
      <w:r>
        <w:t>La curva di Ebbinghaus e le sue repliche riguardano condizioni specifiche, tra cui il risparmio nel riapprendimento di liste. Non dimostrano che in quarantotto ore si perda irrimediabilmente il settanta per cento di un manuale; dover riapprendere non significa che tutto il lavoro iniziale sia stato cancellato. [21]</w:t>
      </w:r>
    </w:p>
    <w:p>
      <w:pPr>
        <w:pStyle w:val="Heading2"/>
      </w:pPr>
      <w:r>
        <w:t>4.4 Auto-spiegazione e lessico tecnico</w:t>
      </w:r>
    </w:p>
    <w:p>
      <w:r>
        <w:t>L’auto-spiegazione richiede di esplicitare relazioni causali o concettuali, oppure il motivo dei passaggi di una soluzione. Una meta-analisi rileva benefici medi delle sollecitazioni a spiegare, con differenze tra condizioni; ciò sostiene l’attività senza validare ogni procedura presentata come tecnica di Feynman. [11]</w:t>
      </w:r>
    </w:p>
    <w:p>
      <w:r>
        <w:t>Una domanda utile è che cosa renda necessario un passaggio, non soltanto che cosa venga dopo. Nel leggere una soluzione numerica si può spiegare perché una certa grandezza entra nel modello e controllare se si stanno usando le sue condizioni di applicabilità.</w:t>
      </w:r>
    </w:p>
    <w:p>
      <w:r>
        <w:t>La spiegazione può essere prima esplorativa e poi formulata con precisione. Le analogie quotidiane aiutano soltanto se si indicano anche i loro limiti; una metafora non deve aggiungere proprietà inesistenti al fenomeno spiegato.</w:t>
      </w:r>
    </w:p>
    <w:p>
      <w:pPr>
        <w:pStyle w:val="Heading2"/>
      </w:pPr>
      <w:r>
        <w:t>4.5 Mappe concettuali e diagrammi</w:t>
      </w:r>
    </w:p>
    <w:p>
      <w:r>
        <w:t>Le mappe possono rendere visibili gerarchie e relazioni, ma i risultati sulle mappe concettuali non si trasferiscono automaticamente a qualsiasi schema decorativo o radiale. La meta-analisi di Nesbit e Adesope presenta benefici variabili in funzione dell’uso e del confronto didattico. [22]</w:t>
      </w:r>
    </w:p>
    <w:p>
      <w:r>
        <w:t>Una mappa utile permette di leggere una relazione completa: un collegamento tra due parole dovrebbe specificare se indica causa, condizione, appartenenza o contrasto. L’aggiunta di frecce senza significato esplicito può invece dare un’impressione di connessione che non è ancora una spiegazione.</w:t>
      </w:r>
    </w:p>
    <w:p>
      <w:r>
        <w:t>Costruire una mappa senza fonte può combinare rappresentazione e recupero; controllarla successivamente aiuta a individuare omissioni. Il fatto che un esperimento trovi vantaggi del recupero rispetto a una condizione di mappatura non dimostra che tutte le mappe siano inutili o che vadano sempre evitate. [4]</w:t>
      </w:r>
    </w:p>
    <w:p>
      <w:pPr>
        <w:pStyle w:val="Heading2"/>
      </w:pPr>
      <w:r>
        <w:t>4.6 Pratica intercalata e scelta della procedura</w:t>
      </w:r>
    </w:p>
    <w:p>
      <w:r>
        <w:t>La pratica intercalata alterna tipi di esempi o problemi anziché presentarli soltanto in blocchi omogenei. Può aiutare alcune forme di apprendimento e discriminazione, ma la meta-analisi mostra che gli effetti dipendono anche da similarità e caratteristiche dei materiali. [23]</w:t>
      </w:r>
    </w:p>
    <w:p>
      <w:r>
        <w:t>Per esempio, dopo aver appreso separatamente alcune procedure, si può usare una serie mista che richieda di riconoscere quale applicare. Questo adattamento non è una dimostrazione che si debbano mescolare sempre materie scollegate o introdurre cambiamenti continui di attività.</w:t>
      </w:r>
    </w:p>
    <w:p>
      <w:r>
        <w:t>Intercalare problemi non equivale al multitasking digitale. L’obiettivo è esercitare la distinzione tra casi e la selezione del principio, mantenendo il tempo necessario per ragionare sul compito corrente.</w:t>
      </w:r>
    </w:p>
    <w:p>
      <w:pPr>
        <w:pStyle w:val="Heading2"/>
      </w:pPr>
      <w:r>
        <w:t>4.7 Integrare testo, diagrammi e grafici</w:t>
      </w:r>
    </w:p>
    <w:p>
      <w:r>
        <w:t>Nello studio multimediale parole e rappresentazioni visive devono contribuire a una spiegazione comune. I principi studiati da Mayer riguardano la progettazione dell’istruzione: comprendono l’esclusione di elementi estranei, la segnalazione delle relazioni importanti e la vicinanza tra parti grafiche e spiegazioni corrispondenti, con condizioni che ne modificano gli effetti. [24]</w:t>
      </w:r>
    </w:p>
    <w:p>
      <w:r>
        <w:t>Per un grafico fisiologico, si identificano assi, unità e condizioni, poi si collega ogni tratto alla spiegazione del testo. Per una leva, si disegna il sistema, si indicano forze e distanze e si spiega quale distanza entri nel calcolo; ogni elemento visivo deve avere una funzione.</w:t>
      </w:r>
    </w:p>
    <w:p>
      <w:r>
        <w:t>Si può poi ricostruire il diagramma senza fonte e spiegare i collegamenti, confrontando il risultato con l’originale. Non basta copiare una figura gradevole: il controllo riguarda relazioni, condizioni e grandezze, oltre ai nomi.</w:t>
      </w:r>
    </w:p>
    <w:p>
      <w:r>
        <w:t>La teoria cognitiva dell’apprendimento multimediale e la teoria del dual coding sono collegate ma distinte. Non ne deriva che aggiungere un’immagine a ogni frase migliori sempre il ricordo; anche il principio di ridondanza riguarda configurazioni specifiche, come testo scritto aggiunto a grafica già narrata, non il divieto generale di ripetere una spiegazione. [24]</w:t>
      </w:r>
    </w:p>
    <w:p>
      <w:pPr>
        <w:pStyle w:val="Heading1"/>
      </w:pPr>
      <w:r>
        <w:t>5. Organizzare il lavoro e scegliere gli obiettivi</w:t>
      </w:r>
    </w:p>
    <w:p>
      <w:pPr>
        <w:pStyle w:val="Heading2"/>
      </w:pPr>
      <w:r>
        <w:t>5.1 Dal programma alle attività verificabili</w:t>
      </w:r>
    </w:p>
    <w:p>
      <w:r>
        <w:t>La gestione del tempo è associata a prestazioni e benessere, ma la letteratura non valida automaticamente ogni strumento aziendale trasferito allo studio. Un piano serve a distribuire risorse e a prendere decisioni, non a rendere infallibile il comportamento. [25]</w:t>
      </w:r>
    </w:p>
    <w:p>
      <w:r>
        <w:t>Si parte da programma, formato dell’esame, scadenza e conoscenze già disponibili. Si distinguono acquisizione, esercitazione, correzione e ripasso, perché dividere il numero di pagine per i giorni non rappresenta tutte queste attività.</w:t>
      </w:r>
    </w:p>
    <w:p>
      <w:r>
        <w:t>Scomporre un progetto in unità può ridurre l’ambiguità sul prossimo passo. Una WBS è una struttura organizzativa possibile; non è una terapia della procrastinazione né la dimostrazione che il cervello possa elaborare soltanto una variabile alla volta.</w:t>
      </w:r>
    </w:p>
    <w:p>
      <w:r>
        <w:t>La teoria del carico cognitivo distingue il carico intrinseco, legato all’interazione fra elementi da elaborare in rapporto alle conoscenze disponibili, dal carico estraneo, prodotto da richieste che non servono all’obiettivo didattico. Non sono quantità che si possano ricavare precisamente dal solo sentirsi affaticati. [26]</w:t>
      </w:r>
    </w:p>
    <w:p>
      <w:r>
        <w:t>In biomeccanica, coordinare asse, forza e distanza richiede di gestire relazioni pertinenti; cercare ogni simbolo in pagine lontane può aggiungere una difficoltà evitabile. Ridurre quest’ultima non significa eliminare le relazioni necessarie: una scomposizione eccessiva può rendere invisibile il problema complessivo.</w:t>
      </w:r>
    </w:p>
    <w:p>
      <w:r>
        <w:t>L’expertise reversal effect indica che aiuti vantaggiosi per chi inizia possono perdere efficacia o diventare ridondanti per chi possiede già schemi pertinenti. Si passa quindi dagli esempi svolti ai problemi parzialmente completati e alla soluzione autonoma, sulla base delle prestazioni; un argomento nuovo può richiedere nuovamente guida. [27]</w:t>
      </w:r>
    </w:p>
    <w:p>
      <w:pPr>
        <w:pStyle w:val="Heading2"/>
      </w:pPr>
      <w:r>
        <w:t>5.2 Obiettivi specifici e uso prudente di SMART</w:t>
      </w:r>
    </w:p>
    <w:p>
      <w:r>
        <w:t>SMART può ricordare di formulare obiettivi specifici, misurabili, raggiungibili, rilevanti e collocati nel tempo. Le varianti dell’acronimo non cambiano il fatto che si tratti di una griglia pratica e non di un algoritmo garantito.</w:t>
      </w:r>
    </w:p>
    <w:p>
      <w:r>
        <w:t>La ricerca sul goal setting descrive condizioni e moderatori, tra cui complessità del compito e caratteristiche dell’obiettivo; non sostiene la sola precisione numerica come requisito sufficiente. Una revisione critica di SMART nell’attività fisica invita a evitarne l’uso acritico, ma non costituisce una prova diretta contro ogni uso nello studio. [28, 29]</w:t>
      </w:r>
    </w:p>
    <w:p>
      <w:r>
        <w:t>Un obiettivo come leggere venti pagine descrive un’attività; spiegare correttamente una relazione e applicarla a un caso nuovo è più vicino a una competenza. Entrambi possono essere registrati, purché non si confonda il conteggio del lavoro con la qualità dell’apprendimento.</w:t>
      </w:r>
    </w:p>
    <w:p>
      <w:r>
        <w:t>Nei compiti nuovi può essere ragionevole un obiettivo esplorativo, per esempio individuare i prerequisiti che mancano e provare una soluzione guidata. Richiedere subito prestazioni impeccabili può rendere il criterio di completamento poco realistico.</w:t>
      </w:r>
    </w:p>
    <w:p>
      <w:pPr>
        <w:pStyle w:val="Heading2"/>
      </w:pPr>
      <w:r>
        <w:t>5.3 Scadenze e legge di Parkinson</w:t>
      </w:r>
    </w:p>
    <w:p>
      <w:r>
        <w:t>Bryan e Locke hanno verificato un effetto compatibile con la legge di Parkinson in compiti di addizione: nelle prime tre prove chi disponeva di tempo eccedente ne impiegava di più. I risultati sostenevano un ruolo degli obiettivi di ritmo nella relazione fra limite temporale e velocità di esecuzione. [30]</w:t>
      </w:r>
    </w:p>
    <w:p>
      <w:r>
        <w:t>Il punto è che il tempo disponibile può contribuire a definire il ritmo che ci si propone, anziché agire soltanto attraverso un timer. Gli autori segnalavano però che anche obiettivi espressi con le stesse parole potevano assumere significati diversi nei due contesti; l’effetto non persisteva nelle prove quarta e quinta. [30]</w:t>
      </w:r>
    </w:p>
    <w:p>
      <w:r>
        <w:t>Questo risultato rende scorretto trattare Parkinson soltanto come una massima priva di riscontri. Non dimostra però che restringere il tempo migliori sempre comprensione e accuratezza, né che una scadenza produca flow o elimini le distrazioni.</w:t>
      </w:r>
    </w:p>
    <w:p>
      <w:r>
        <w:t>Per applicare questa idea si abbina un tempo di lavoro realistico a un prodotto controllabile, per esempio spiegare un meccanismo e risolvere un quesito. Alla scadenza si valuta il risultato e si decide se continuare, ridurre il compito o recuperare un prerequisito; accorciare il tempo non deve premiare risposte superficiali.</w:t>
      </w:r>
    </w:p>
    <w:p>
      <w:pPr>
        <w:pStyle w:val="Heading2"/>
      </w:pPr>
      <w:r>
        <w:t>5.4 Mindset, aspettative e condizioni reali</w:t>
      </w:r>
    </w:p>
    <w:p>
      <w:r>
        <w:t>Considerare le capacità modificabili può essere una prospettiva utile, ma gli interventi sul growth mindset non garantiscono grandi guadagni scolastici. Due meta-analisi del 2023 producono valutazioni differenti, anche per selezione degli studi, analisi e attenzione a gruppi e condizioni mirati. [31, 32]</w:t>
      </w:r>
    </w:p>
    <w:p>
      <w:r>
        <w:t>Macnamara e Burgoyne riportano effetti medi molto piccoli e problemi di qualità e bias; Burnette e colleghi trovano risultati più favorevoli in sottogruppi e implementazioni mirate. Le stime non vanno contrapposte come misure identiche, né trasformate in una promessa individuale. [31, 32]</w:t>
      </w:r>
    </w:p>
    <w:p>
      <w:r>
        <w:t>Credenze sulle capacità, orientamento agli obiettivi e motivazione non coincidono. Uno studente può desiderare un buon voto e cercare comprensione profonda, mentre difficoltà economiche, lavoro e salute possono incidere sui risultati indipendentemente dalle convinzioni personali.</w:t>
      </w:r>
    </w:p>
    <w:p>
      <w:pPr>
        <w:pStyle w:val="Heading2"/>
      </w:pPr>
      <w:r>
        <w:t>5.5 Un piano settimanale con margini</w:t>
      </w:r>
    </w:p>
    <w:p>
      <w:r>
        <w:t>Si può distribuire la settimana tra contenuti nuovi, esercizi e ritorni sugli argomenti precedenti, mantenendo spazio per gli imprevisti. La quantità va stimata attraverso sessioni reali, perché capitoli di uguale lunghezza possono richiedere tempi diversi.</w:t>
      </w:r>
    </w:p>
    <w:p>
      <w:r>
        <w:t>Un piano dovrebbe poter essere aggiornato senza trasformare la revisione in un fallimento personale. Se una parte richiede più tempo, si può cambiare la distribuzione, ridurre attività meno pertinenti o riconsiderare la scadenza; non esiste sempre una soluzione che mantenga immutati tutti i traguardi.</w:t>
      </w:r>
    </w:p>
    <w:p>
      <w:r>
        <w:t>Accettare un voto diverso da quello desiderato o rinviare una prova può essere una decisione ragionata. La scelta dipende dai vincoli e dalle priorità della persona, non da una classificazione tra studenti eccellenti e mediocri.</w:t>
      </w:r>
    </w:p>
    <w:p>
      <w:pPr>
        <w:pStyle w:val="Heading1"/>
      </w:pPr>
      <w:r>
        <w:t>6. Regolare attenzione, emozioni e sforzo</w:t>
      </w:r>
    </w:p>
    <w:p>
      <w:pPr>
        <w:pStyle w:val="Heading2"/>
      </w:pPr>
      <w:r>
        <w:t>6.1 Attenzione e ambiente</w:t>
      </w:r>
    </w:p>
    <w:p>
      <w:r>
        <w:t>Ridurre interruzioni evitabili può rendere più semplice restare sul compito. Prima di iniziare si può predisporre il materiale necessario e scegliere come gestire messaggi e notifiche; l’ambiente dovrebbe sostenere l’attività, senza richiedere una perfezione rituale.</w:t>
      </w:r>
    </w:p>
    <w:p>
      <w:r>
        <w:t>La mera presenza dello smartphone è una domanda distinta dal suo uso durante lo studio. Una meta-analisi presenta un effetto aggregato significativo sulla memoria di lavoro, ma non sulle altre funzioni esaminate, segnalando eterogeneità e limiti metodologici. [33]</w:t>
      </w:r>
    </w:p>
    <w:p>
      <w:r>
        <w:t>Mettere il telefono lontano può essere una soluzione personale utile, mentre per altri compiti può servire come strumento didattico. La scelta va giudicata sugli effetti osservabili, senza descrivere la normale attività dopaminergica come tossica o supporre che la distanza risolva ogni problema attentivo.</w:t>
      </w:r>
    </w:p>
    <w:p>
      <w:r>
        <w:t>Il rumore bianco non è un facilitatore universale. Una meta-analisi rileva piccoli benefici su compiti di laboratorio nei gruppi con ADHD o sintomi elevati, ma effetti sfavorevoli nei gruppi di confronto; non dimostra un miglioramento generale dello studio prolungato per tutti. [34]</w:t>
      </w:r>
    </w:p>
    <w:p>
      <w:pPr>
        <w:pStyle w:val="Heading2"/>
      </w:pPr>
      <w:r>
        <w:t>6.2 Stress e apprendimento</w:t>
      </w:r>
    </w:p>
    <w:p>
      <w:r>
        <w:t>Lo stress può interferire con alcune prestazioni, ma non rende l’apprendimento biologicamente vano. Una meta-analisi sullo stress acuto mostra effetti diversi secondo il momento rispetto a codifica e recupero e secondo altre caratteristiche del compito. [35]</w:t>
      </w:r>
    </w:p>
    <w:p>
      <w:r>
        <w:t>Stress percepito, attivazione autonomica e cortisolo non sono sinonimi. Non si può ricavare una misura del cortisolo dal senso di agitazione, né presumere che una tecnica soggettivamente calmante abbia già prodotto uno specifico cambiamento ormonale.</w:t>
      </w:r>
    </w:p>
    <w:p>
      <w:r>
        <w:t>Le ricerche sui processi prefrontali descrivono effetti dello stress attraverso meccanismi neurochimici e di rete. Non sostengono una spiegazione in cui il sangue venga sottratto alla corteccia razionale e poi restituito mediante una frase motivazionale. [36]</w:t>
      </w:r>
    </w:p>
    <w:p>
      <w:r>
        <w:t>Una possibile strategia è rivalutare l’attivazione: il battito accelerato non implica necessariamente che la prestazione fallirà. Jamieson e colleghi hanno ottenuto risultati favorevoli sulla componente matematica del GRE dopo istruzioni di rivalutazione; ciò non stabilisce benefici su ogni esame né richiede che l’attivazione fisiologica diminuisca. [37]</w:t>
      </w:r>
    </w:p>
    <w:p>
      <w:r>
        <w:t>Come applicazione, si può riconoscere l’agitazione e riportare l’attenzione alla prima operazione richiesta dalla domanda. Se l’interpretazione rassicurante diventa una nuova promessa di successo obbligatorio, perde la sua funzione pratica.</w:t>
      </w:r>
    </w:p>
    <w:p>
      <w:r>
        <w:t>Quando una difficoltà è persistente e compromette lo studio o la vita quotidiana, strumenti organizzativi e tecniche brevi possono non essere sufficienti. In queste condizioni ha senso considerare il supporto dei servizi universitari o di professionisti qualificati, senza interpretare il problema come mancanza di disciplina.</w:t>
      </w:r>
    </w:p>
    <w:p>
      <w:pPr>
        <w:pStyle w:val="Heading2"/>
      </w:pPr>
      <w:r>
        <w:t>6.3 Self-talk e valutazioni realistiche</w:t>
      </w:r>
    </w:p>
    <w:p>
      <w:r>
        <w:t>Il self-talk comprende forme di dialogo interno e autoistruzione; non coincide con la programmazione neurolinguistica. Le evidenze favorevoli a interventi di self-talk nello sport non validano automaticamente ogni applicazione a esami e studio di testi. [38]</w:t>
      </w:r>
    </w:p>
    <w:p>
      <w:r>
        <w:t>La revisione della PNL sugli esiti di salute segnala evidenze limitate e studi di qualità problematica. Questo non implica che ogni frase rivolta a se stessi sia inefficace: implica che la PNL non offre una giustificazione scientifica adeguata alle promesse della guida originale. [39]</w:t>
      </w:r>
    </w:p>
    <w:p>
      <w:r>
        <w:t>Si può distinguere un fatto da una previsione. Aver sbagliato una risposta è un fatto; dedurne che tutto l’esame andrà male è una previsione che richiede altri elementi. Una riformulazione utile dovrebbe restare realistica e indicare un’azione controllabile, come verificare il passaggio mancato.</w:t>
      </w:r>
    </w:p>
    <w:p>
      <w:r>
        <w:t>Il comando di sopprimere ogni pensiero negativo non è necessario. La letteratura sulla soppressione descrive possibili effetti paradossali, senza dimostrare che qualsiasi tentativo di reindirizzare l’attenzione sia dannoso; riconoscere un pensiero e tornare al compito è diverso dal pretendere di cancellarlo. [40]</w:t>
      </w:r>
    </w:p>
    <w:p>
      <w:pPr>
        <w:pStyle w:val="Heading2"/>
      </w:pPr>
      <w:r>
        <w:t>6.4 Respirazione e attivazione</w:t>
      </w:r>
    </w:p>
    <w:p>
      <w:r>
        <w:t>Balban e colleghi hanno confrontato da remoto pratiche quotidiane di cinque minuti per un mese: meditazione mindfulness e tre esercizi respiratori. Il sospiro ciclico, o cyclic sighing, prevedeva una doppia inspirazione seguita da un’espirazione prolungata; il box breathing comprendeva invece fasi di inspirazione, trattenimento, espirazione e trattenimento. [41]</w:t>
      </w:r>
    </w:p>
    <w:p>
      <w:r>
        <w:t>Nel confronto con mindfulness, i risultati più favorevoli al sospiro ciclico riguardavano affettività positiva e frequenza respiratoria. Riduzioni dell’ansia di stato comparivano nei confronti quotidiani prima/dopo anche nelle altre condizioni; queste analisi lungo il mese non dimostrano una superiorità generale per l’ansia o un risultato garantito al primo utilizzo. [41]</w:t>
      </w:r>
    </w:p>
    <w:p>
      <w:r>
        <w:t>La respirazione può quindi offrire un supporto per regolare come ci si sente. Il trial non dimostra un crollo del cortisolo in due minuti né un miglioramento dei voti; la scelta può dipendere dal comfort, senza forzare inspirazioni o trattenimenti. Se compare disagio, si interrompe e si torna al respiro abituale.</w:t>
      </w:r>
    </w:p>
    <w:p>
      <w:r>
        <w:t>La curva a U rovesciata attribuita a Yerkes e Dodson è spesso usata come semplificazione. Lo studio storico riguardava apprendimento nei topi e non stabilisce una vetta universale dell’attivazione che ogni studente possa raggiungere meccanicamente mediante la respirazione. [42]</w:t>
      </w:r>
    </w:p>
    <w:p>
      <w:pPr>
        <w:pStyle w:val="Heading2"/>
      </w:pPr>
      <w:r>
        <w:t>6.5 Imagery senza equivalenza con la realtà</w:t>
      </w:r>
    </w:p>
    <w:p>
      <w:r>
        <w:t>Immaginazione motoria, osservazione ed esecuzione presentano sovrapposizioni parziali e differenze nelle reti coinvolte. La meta-analisi comparativa di Hardwick e colleghi non sostiene l’idea che immaginare e compiere un’azione siano chimicamente ed elettricamente indistinguibili. [43]</w:t>
      </w:r>
    </w:p>
    <w:p>
      <w:r>
        <w:t>Immaginare il processo necessario per prepararsi è inoltre diverso dal rappresentarsi soltanto il risultato desiderato. Uno studio su studenti suggerisce benefici della simulazione del processo attraverso pianificazione e preparazione, senza stabilire una superiorità universale di ogni forma di imagery. [44]</w:t>
      </w:r>
    </w:p>
    <w:p>
      <w:r>
        <w:t>Si può quindi usare una breve simulazione per anticipare come affrontare una domanda o un’interruzione, poi svolgere realmente l’attività. Non serve attribuire all’immagine un’attivazione identica all’esame reale, e la visualizzazione non sostituisce conoscenza, esercizio o feedback.</w:t>
      </w:r>
    </w:p>
    <w:p>
      <w:pPr>
        <w:pStyle w:val="Heading2"/>
      </w:pPr>
      <w:r>
        <w:t>6.6 Autocompassione e criteri di adattamento</w:t>
      </w:r>
    </w:p>
    <w:p>
      <w:r>
        <w:t>Interventi centrati sull’autocompassione mostrano benefici medi su alcuni sintomi, ma una meta-analisi di trial segnala rischio di bias elevato e pochi confronti con controlli attivi. Non è dimostrato che un breve controllo emotivo prevenga da solo burnout o abbandono degli studi. [45]</w:t>
      </w:r>
    </w:p>
    <w:p>
      <w:r>
        <w:t>Un atteggiamento non punitivo può accompagnarsi a criteri di lavoro esigenti e verificabili. Riconoscere la stanchezza non significa interrompere ogni attività appena diventa impegnativa; significa distinguere difficoltà affrontabile, carico eccessivo e bisogni di recupero attraverso osservazioni e risultati.</w:t>
      </w:r>
    </w:p>
    <w:p>
      <w:r>
        <w:t>Come scelta pratica si possono prevedere una sessione ordinaria, una ridotta e una pausa più ampia. La decisione va resa rivedibile, evitando sia l’obbligo di ignorare ogni segnale sia l’assunzione che qualsiasi disagio dimostri impossibilità di apprendere.</w:t>
      </w:r>
    </w:p>
    <w:p>
      <w:pPr>
        <w:pStyle w:val="Heading1"/>
      </w:pPr>
      <w:r>
        <w:t>7. Proteggere sonno e comfort durante lo studio</w:t>
      </w:r>
    </w:p>
    <w:p>
      <w:pPr>
        <w:pStyle w:val="Heading2"/>
      </w:pPr>
      <w:r>
        <w:t>7.1 Sonno e orario di studio</w:t>
      </w:r>
    </w:p>
    <w:p>
      <w:r>
        <w:t>Il sonno partecipa ai processi della memoria e merita una collocazione autonoma nella pianificazione. Il consenso AASM e SRS raccomanda agli adulti di dormire regolarmente almeno sette ore per promuovere la salute, riconoscendo che i bisogni possono variare e che alcuni possono richiederne di più. [46, 47]</w:t>
      </w:r>
    </w:p>
    <w:p>
      <w:r>
        <w:t>La raccomandazione sanitaria non stabilisce una durata esatta che garantisca lo stesso rendimento a ogni studente. Tuttavia, anticipare la sveglia riducendo stabilmente il sonno non può essere presentato come una tecnica neutra per creare ore aggiuntive di studio.</w:t>
      </w:r>
    </w:p>
    <w:p>
      <w:r>
        <w:t>Una revisione su cronotipo e momento della giornata descrive effetti di sincronizzazione eterogenei. Non giustifica la superiorità universale dell’alba, né un’equivalenza tra novanta minuti mattutini e cinque ore serali. [48]</w:t>
      </w:r>
    </w:p>
    <w:p>
      <w:r>
        <w:t>L’orario va scelto considerando sonno, impegni e risultati osservati. L’espressione neurotrasmettitori puliti e riposati non descrive una misura scientifica utile e non dovrebbe essere usata per motivare una sveglia alle quattro e trenta.</w:t>
      </w:r>
    </w:p>
    <w:p>
      <w:pPr>
        <w:pStyle w:val="Heading2"/>
      </w:pPr>
      <w:r>
        <w:t>7.2 Pause e durata delle sessioni</w:t>
      </w:r>
    </w:p>
    <w:p>
      <w:r>
        <w:t>Le pause possono aiutare a gestire la fatica; non esiste una soglia universale oltre la quale la produttività diventi nulla. La meta-analisi di Albulescu e colleghi sulle micro-pause fino a dieci minuti trova piccoli benefici medi su vigore e fatica, ma un effetto complessivo non significativo sulla prestazione. [49]</w:t>
      </w:r>
    </w:p>
    <w:p>
      <w:r>
        <w:t>Per la prestazione emergevano differenze secondo il tipo di compito: benefici significativi nei sottogruppi di compiti creativi e di routine amministrativa, non in quello cognitivo. Il risultato sui compiti amministrativi derivava da soli due studi; la durata maggiore delle micro-pause risultava associata a benefici prestativi maggiori. [49]</w:t>
      </w:r>
    </w:p>
    <w:p>
      <w:r>
        <w:t>Gli autori ipotizzano che recuperare da attività molto impegnative possa richiedere pause superiori a dieci minuti e chiedono ulteriori studi. Non hanno dimostrato una prescrizione di quaranta o cinquanta minuti di studio seguiti da dieci minuti di pausa, né che una micro-pausa sia inutile per ogni studente impegnato in un compito complesso. [49]</w:t>
      </w:r>
    </w:p>
    <w:p>
      <w:r>
        <w:t>Biwer e colleghi hanno confrontato per una giornata 87 studenti: pause autodeterminate oppure pause sistematiche di sei minuti dopo ventiquattro di studio o di tre dopo dodici. Nelle condizioni autodeterminate risultavano maggiore fatica e distraibilità e minore concentrazione e motivazione, senza differenze rilevate nello sforzo mentale investito o nel completamento dei compiti. [50]</w:t>
      </w:r>
    </w:p>
    <w:p>
      <w:r>
        <w:t>Gli autori descrivono benefici sull’umore e apparenti vantaggi di efficienza delle pause sistematiche: completamento simile in meno tempo. Il confronto di una giornata non dimostra però una maggiore ritenzione a settimane di distanza né identifica il ciclo migliore per ogni disciplina. [50]</w:t>
      </w:r>
    </w:p>
    <w:p>
      <w:r>
        <w:t>Come punto di partenza si può scegliere un ciclo sistematico e controllare se facilita avvio e continuità, modificandolo quando il compito lo richiede. Se si sta completando un passaggio breve, si può chiuderlo e annotare da dove ripartire; evitare la frammentazione non significa rinviare indefinitamente il recupero.</w:t>
      </w:r>
    </w:p>
    <w:p>
      <w:r>
        <w:t>Durante la pausa si può cambiare posizione, bere o camminare brevemente. Se la fatica rimane elevata, si valuta una pausa più lunga o una riduzione del carico; le interruzioni brevi non compensano il sonno insufficiente.</w:t>
      </w:r>
    </w:p>
    <w:p>
      <w:pPr>
        <w:pStyle w:val="Heading2"/>
      </w:pPr>
      <w:r>
        <w:t>7.3 Postazione, postura e dolore</w:t>
      </w:r>
    </w:p>
    <w:p>
      <w:r>
        <w:t>L’ergonomia riguarda l’adattamento di compito e postazione, mentre la propriocezione riguarda le informazioni su posizione e movimento del corpo. Migliorare il comfort non richiede di descrivere un generico allenamento propriocettivo come prerequisito per memorizzare un manuale.</w:t>
      </w:r>
    </w:p>
    <w:p>
      <w:r>
        <w:t>La posizione del corpo può modificare parametri respiratori, ma la revisione pertinente sulla funzione polmonare non dimostra una perdita del trenta per cento dell’ossigenazione cerebrale nella normale postura curva da studio. Le due grandezze non sono intercambiabili. [51]</w:t>
      </w:r>
    </w:p>
    <w:p>
      <w:r>
        <w:t>Si cerca una disposizione che permetta di leggere con comodità, cambiare posizione e fare pause di movimento quando utili. Non viene proposta una postura perfetta che annulli ogni carico o che prevenga automaticamente tutti i dolori.</w:t>
      </w:r>
    </w:p>
    <w:p>
      <w:r>
        <w:t>Il dolore oculare acuto non è una contraddizione da superare attraverso uno shock con acqua gelida. Si interrompe o modifica il compito e, se il problema persiste o è importante, si cerca una valutazione appropriata; questo non va sostituito con un protocollo di produttività.</w:t>
      </w:r>
    </w:p>
    <w:p>
      <w:pPr>
        <w:pStyle w:val="Heading2"/>
      </w:pPr>
      <w:r>
        <w:t>7.4 Luce e condizioni serali</w:t>
      </w:r>
    </w:p>
    <w:p>
      <w:r>
        <w:t>L’illuminazione deve consentire una lettura confortevole, senza essere scelta soltanto per sopprimere la melatonina. Gli effetti circadiani dipendono da momento, intensità, durata e caratteristiche della luce.</w:t>
      </w:r>
    </w:p>
    <w:p>
      <w:r>
        <w:t>Uno studio sperimentale sugli e-reader luminosi usati prima di dormire mostra effetti su sonno, fase circadiana e vigilanza successiva. Non quantifica l’effetto di ogni lampada domestica, ma indica perché aumentare indiscriminatamente l’esposizione luminosa serale non sia una regola di studio universale. [52]</w:t>
      </w:r>
    </w:p>
    <w:p>
      <w:pPr>
        <w:pStyle w:val="Heading1"/>
      </w:pPr>
      <w:r>
        <w:t>8. Usare routine, piani se-allora e strumenti creativi</w:t>
      </w:r>
    </w:p>
    <w:p>
      <w:pPr>
        <w:pStyle w:val="Heading2"/>
      </w:pPr>
      <w:r>
        <w:t>8.1 Automatizzare alcune azioni e conservare il controllo</w:t>
      </w:r>
    </w:p>
    <w:p>
      <w:r>
        <w:t>Le intenzioni di implementazione specificano una relazione tra situazione e azione, come quando si decide in anticipo che cosa fare al verificarsi di un segnale. Una meta-analisi sostiene la loro utilità media per il perseguimento di obiettivi, senza garantirne l’efficacia in ogni condizione. [53]</w:t>
      </w:r>
    </w:p>
    <w:p>
      <w:r>
        <w:t>Un esempio proposto è preparare tre domande del capitolo prima di controllare i messaggi al rientro. Il piano deve essere realistico e collegato a un obiettivo; non costituisce già un’abitudine soltanto perché è stato scritto in forma se-allora.</w:t>
      </w:r>
    </w:p>
    <w:p>
      <w:r>
        <w:t>Un’abitudine può ridurre alcune richieste decisionali, ma resta influenzata dal contesto e non rende automatico l’intero apprendimento. Gli studi sulla formazione delle abitudini descrivono tempi variabili e non sostengono routine incorruttibili o impermeabili alle emozioni. [8]</w:t>
      </w:r>
    </w:p>
    <w:p>
      <w:r>
        <w:t>Un piano può includere una condizione di revisione: se la prova mostra molti errori o la stanchezza impedisce di seguire una spiegazione elementare, si riduce il compito o si recupera. La flessibilità fa parte dell’autoregolazione, anziché rappresentare necessariamente una sconfitta. [54]</w:t>
      </w:r>
    </w:p>
    <w:p>
      <w:pPr>
        <w:pStyle w:val="Heading2"/>
      </w:pPr>
      <w:r>
        <w:t>8.2 Fatica decisionale e modello del glucosio</w:t>
      </w:r>
    </w:p>
    <w:p>
      <w:r>
        <w:t>Le etichette Sistema 1 e Sistema 2 sono strumenti descrittivi per processi più automatici e più deliberati; non identificano due organi che si alternano quando uno finisce il carburante. Un processo automatico può anche riflettere una competenza ben acquisita.</w:t>
      </w:r>
    </w:p>
    <w:p>
      <w:r>
        <w:t>Il modello del glucosio dell’ego depletion non dispone del sostegno necessario per essere presentato come spiegazione accertata dell’autocontrollo. La revisione di Vadillo e colleghi ne evidenzia il limitato valore probatorio, mentre un progetto multilaboratorio preregistrato non rileva l’effetto previsto nell’analisi confermativa. [55, 56]</w:t>
      </w:r>
    </w:p>
    <w:p>
      <w:r>
        <w:t>Questo non dimostra che la fatica mentale non esista. Significa che non si può diagnosticarne la causa come esaurimento degli zuccheri o prescrivere una gratificazione alimentare per ripristinare la volontà sulla base del semplice blocco nello studio.</w:t>
      </w:r>
    </w:p>
    <w:p>
      <w:pPr>
        <w:pStyle w:val="Heading2"/>
      </w:pPr>
      <w:r>
        <w:t>8.3 TRIZ come repertorio di domande</w:t>
      </w:r>
    </w:p>
    <w:p>
      <w:r>
        <w:t>TRIZ comprende strumenti sviluppati per affrontare problemi inventivi, tra cui un catalogo di quaranta principi. Nella numerazione usuale, 1 indica segmentazione, 4 asimmetria, 10 azione preliminare, 13 inversione e 19 azione periodica. Il catalogo documenta termini e numerazione, non l’efficacia di un protocollo universitario. [57]</w:t>
      </w:r>
    </w:p>
    <w:p>
      <w:r>
        <w:t>Un adattamento allo studio può suggerire alternative: dividere un compito troppo ampio, predisporre i materiali o provare un orario diverso. Queste sono euristiche organizzative; non dimostrano che ogni difficoltà sia una contraddizione tecnica risolvibile né che un compromesso sia sempre evitabile.</w:t>
      </w:r>
    </w:p>
    <w:p>
      <w:r>
        <w:t>Per usare lo strumento in modo trasparente, si descrive il problema osservabile, si elencano vincoli e alternative e si sceglie una modifica da provare. Poi si controlla se migliora davvero il risultato, distinguendo soddisfazione immediata, avvio del compito e apprendimento a distanza.</w:t>
      </w:r>
    </w:p>
    <w:p>
      <w:pPr>
        <w:pStyle w:val="Heading2"/>
      </w:pPr>
      <w:r>
        <w:t>8.4 Diario breve e interpretazione dei risultati</w:t>
      </w:r>
    </w:p>
    <w:p>
      <w:r>
        <w:t>Un diario può registrare compito, strategia, risultato della prova e modifica successiva. La funzione è sostenere il monitoraggio, non produrre un resoconto dettagliato di ogni minuto o imporre un ulteriore obbligo prima di poter terminare. [54]</w:t>
      </w:r>
    </w:p>
    <w:p>
      <w:r>
        <w:t>Un miglioramento dopo una modifica non dimostra da solo una relazione causale: il contenuto può essere più facile, la stanchezza può essere diminuita o possono essere cambiate altre condizioni. Confronti ripetuti possono essere informativi senza diventare automaticamente esperimenti controllati.</w:t>
      </w:r>
    </w:p>
    <w:p>
      <w:r>
        <w:t>È utile registrare anche esiti sfavorevoli e costi. Se il tempo dedicato a preparare schemi e calendari cresce senza un miglioramento riconoscibile delle prove, si semplifica il metodo; l’organizzazione deve servire all’apprendimento e non soltanto produrre un’impressione di controllo.</w:t>
      </w:r>
    </w:p>
    <w:p>
      <w:pPr>
        <w:pStyle w:val="Heading1"/>
      </w:pPr>
      <w:r>
        <w:t>9. Applicazioni alle Scienze Motorie</w:t>
      </w:r>
    </w:p>
    <w:p>
      <w:pPr>
        <w:pStyle w:val="Heading2"/>
      </w:pPr>
      <w:r>
        <w:t>9.1 Un meccanismo fisiologico</w:t>
      </w:r>
    </w:p>
    <w:p>
      <w:r>
        <w:t>Si consideri lo studio del trasporto attivo secondario. L’obiettivo operativo proposto è distinguere la fonte energetica immediata del trasporto dal consumo di ATP che può contribuire al mantenimento dei gradienti, usando la terminologia e le condizioni descritte dal manuale del corso.</w:t>
      </w:r>
    </w:p>
    <w:p>
      <w:r>
        <w:t>Prima della lettura si formulano domande: quali specie sono trasportate, quali gradienti sono coinvolti e che cosa renderebbe possibile un cambiamento di direzione? Durante lo studio si annotano le condizioni, evitando l’analogia di un trasportatore che desideri raggiungere un risultato.</w:t>
      </w:r>
    </w:p>
    <w:p>
      <w:r>
        <w:t>Senza consultare il testo si ricostruisce la sequenza e si spiegano le relazioni energetiche. Si confronta poi la risposta con il manuale, controllando in particolare eventuali confusioni tra trasporto primario e secondario e tra identità della proteina e direzione del processo.</w:t>
      </w:r>
    </w:p>
    <w:p>
      <w:r>
        <w:t>Per una variante, si modifica una sola condizione chiaramente identificata e si cerca un esempio risolto compatibile con il modello del corso. Se la deduzione non è verificabile sul manuale, si annota il dubbio e lo si porta al docente; fino al controllo non si memorizza la conclusione come accertata.</w:t>
      </w:r>
    </w:p>
    <w:p>
      <w:r>
        <w:t>Nella sessione successiva si riprende una domanda senza il diagramma. Se la risposta è incompleta, si registra quale relazione manca; questo informa la scelta del prossimo esercizio più del semplice numero di pagine già lette.</w:t>
      </w:r>
    </w:p>
    <w:p>
      <w:pPr>
        <w:pStyle w:val="Heading2"/>
      </w:pPr>
      <w:r>
        <w:t>9.2 Un problema di biomeccanica</w:t>
      </w:r>
    </w:p>
    <w:p>
      <w:r>
        <w:t>Si immagini un esercizio sul momento di una forza rispetto al gomito. L’obiettivo non è soltanto ricordare il nome della grandezza, ma riconoscere asse, linea d’azione e braccio pertinente, spiegando perché il modello scelto descrive il caso.</w:t>
      </w:r>
    </w:p>
    <w:p>
      <w:r>
        <w:t>Il principiante può partire da un esempio svolto e commentato. Dopo aver identificato le grandezze, copre la soluzione e ricostruisce il procedimento; passa poi a un problema con alcuni passaggi mancanti e infine a un caso senza aiuti, tornando alla spiegazione quando gli errori mostrano che serve. [7, 27]</w:t>
      </w:r>
    </w:p>
    <w:p>
      <w:r>
        <w:t>La verifica deve distinguere errore aritmetico, scelta della distanza sbagliata e incomprensione del modello. Un risultato numericamente corretto ottenuto con un ragionamento incoerente non dimostra ancora la competenza desiderata.</w:t>
      </w:r>
    </w:p>
    <w:p>
      <w:r>
        <w:t>Una variante cambia la direzione della forza o la posizione del sistema e richiede prima una previsione qualitativa. Il confronto con un esercizio risolto affidabile permette di verificare se lo studente sa adattare il procedimento e non soltanto riprodurlo.</w:t>
      </w:r>
    </w:p>
    <w:p>
      <w:r>
        <w:t>Per una serie mista si possono affiancare problemi che richiedono scelte differenti, dopo aver acquisito le procedure di base. La proposta usa il principio della pratica intercalata senza assumere che il mescolamento sia sempre migliore per ogni livello di preparazione. [23]</w:t>
      </w:r>
    </w:p>
    <w:p>
      <w:pPr>
        <w:pStyle w:val="Heading2"/>
      </w:pPr>
      <w:r>
        <w:t>9.3 Una simulazione orale e il feedback</w:t>
      </w:r>
    </w:p>
    <w:p>
      <w:r>
        <w:t>Si sceglie una domanda coerente con il programma, si produce una risposta senza aiuti e si registra che cosa è stato effettivamente detto. La valutazione può distinguere correttezza, completezza rispetto alla domanda, nessi causali e precisione terminologica.</w:t>
      </w:r>
    </w:p>
    <w:p>
      <w:r>
        <w:t>La griglia rende il feedback specifico: dire che manca una condizione di applicabilità è più utile che definire genericamente la risposta poco sicura.</w:t>
      </w:r>
    </w:p>
    <w:p>
      <w:r>
        <w:t>Un compagno può fare domande di chiarimento, ma non è necessario rendere la simulazione aggressiva. Il confronto deve consentire di correggere, e la fonte finale non può essere il solo accordo tra partecipanti.</w:t>
      </w:r>
    </w:p>
    <w:p>
      <w:r>
        <w:t>Si ripete la prova dopo la correzione e poi a distanza, cambiando qualche elemento della domanda. L’esito può orientare il ripasso, senza trasformare una singola buona esposizione in una certificazione della preparazione completa.</w:t>
      </w:r>
    </w:p>
    <w:p>
      <w:pPr>
        <w:pStyle w:val="Heading2"/>
      </w:pPr>
      <w:r>
        <w:t>9.4 Una sessione breve con tempo disponibile limitato</w:t>
      </w:r>
    </w:p>
    <w:p>
      <w:r>
        <w:t>Quando il tempo è ridotto, si può selezionare una relazione essenziale, studiarla con il supporto necessario e svolgere una prova breve. Il criterio è conservare un legame tra acquisizione e controllo, invece di completare obbligatoriamente tutte le tecniche della guida.</w:t>
      </w:r>
    </w:p>
    <w:p>
      <w:r>
        <w:t>Se la sessione non permette di affrontare un argomento nuovo, si può scegliere una verifica di contenuti precedenti o preparare il prossimo passaggio. Se il tempo disponibile resta insufficiente, si rivedono priorità e scadenze.</w:t>
      </w:r>
    </w:p>
    <w:p>
      <w:r>
        <w:t>Alla fine si annota un risultato concreto: quale domanda è stata risolta, quale errore resta e quale fonte bisogna consultare. Non occorrono un’analisi SWOT, un Gantt e una matrice TRIZ per ogni singolo blocco.</w:t>
      </w:r>
    </w:p>
    <w:p>
      <w:pPr>
        <w:pStyle w:val="Heading1"/>
      </w:pPr>
      <w:r>
        <w:t>10. Valutare il metodo e usare criticamente le IA</w:t>
      </w:r>
    </w:p>
    <w:p>
      <w:pPr>
        <w:pStyle w:val="Heading2"/>
      </w:pPr>
      <w:r>
        <w:t>10.1 Un ciclo essenziale di lavoro</w:t>
      </w:r>
    </w:p>
    <w:p>
      <w:r>
        <w:t>La proposta di base è definire un obiettivo, studiare con il livello di guida necessario, recuperare o applicare senza aiuti, controllare e correggere e tornare sul contenuto a distanza. Il capitolo 4 mostra come applicare questo ciclo e adattarlo alle risposte. [1, 2, 3]</w:t>
      </w:r>
    </w:p>
    <w:p>
      <w:r>
        <w:t>Le tecniche complementari si aggiungono quando risolvono un problema concreto. Una mappa può chiarire relazioni, un piano se-allora può facilitare l’avvio e una pausa può migliorare il comfort, ma la loro somma non garantisce un vantaggio rispetto a una procedura più semplice.</w:t>
      </w:r>
    </w:p>
    <w:p>
      <w:pPr>
        <w:pStyle w:val="Heading2"/>
      </w:pPr>
      <w:r>
        <w:t>10.2 Monitorare per adattare il lavoro</w:t>
      </w:r>
    </w:p>
    <w:p>
      <w:r>
        <w:t>Si parte dalle strategie sostenute dalla ricerca: recupero con controllo, distribuzione della pratica e spiegazione dei nessi pertinenti. Il monitoraggio quotidiano serve soprattutto a regolare quantità, aiuti e intervalli, senza trasformare il semestre in un confronto sperimentale fra tutti i metodi.</w:t>
      </w:r>
    </w:p>
    <w:p>
      <w:r>
        <w:t>È sufficiente registrare quali domande restano sbagliate a distanza, quale errore ricorre e quanto costa correggerlo. Se il problema riguarda i prerequisiti, si aggiunge guida; se il richiamo è fragile, si programma un ritorno; se la procedura è automatizzata ma mal scelta, si introducono problemi misti.</w:t>
      </w:r>
    </w:p>
    <w:p>
      <w:r>
        <w:t>Chi vuole confrontare due modifiche organizzative può usare prove simili e cambiare un elemento alla volta. Materiali, interesse, ordine delle sessioni e pratica precedente restano spiegazioni alternative: le osservazioni personali aiutano a decidere, senza dimostrare una superiorità causale generale.</w:t>
      </w:r>
    </w:p>
    <w:p>
      <w:r>
        <w:t>Prima di una prova si può stimare il risultato atteso e confrontarlo con quello ottenuto. La distanza fra previsione e risposta effettiva può rendere visibili valutazioni troppo ottimistiche o pessimistiche e orientare il controllo successivo. [54]</w:t>
      </w:r>
    </w:p>
    <w:p>
      <w:pPr>
        <w:pStyle w:val="Heading2"/>
      </w:pPr>
      <w:r>
        <w:t>10.3 IA come supporto sottoposto a controllo</w:t>
      </w:r>
    </w:p>
    <w:p>
      <w:r>
        <w:t>Le IA possono essere usate per generare domande, discutere una spiegazione o proporre varianti di un esercizio. Per usarle in modo utile occorre conservare la verifica delle risposte e una quota di lavoro autonomo.</w:t>
      </w:r>
    </w:p>
    <w:p>
      <w:r>
        <w:t>Conviene fornire la fonte del corso, chiedere di distinguere il contenuto documentato dalle integrazioni e produrre una propria risposta prima di leggere quella del modello. Le risposte disciplinari vanno poi controllate su materiali affidabili, soprattutto quando compaiono numeri, formule o riferimenti bibliografici.</w:t>
      </w:r>
    </w:p>
    <w:p>
      <w:r>
        <w:t>Un secondo modello può suggerire obiezioni e fonti, ma il suo accordo non sostituisce la consultazione degli studi. L’esistenza di un DOI non dimostra che l’articolo sostenga l’affermazione associata; bisogna controllare intervento, popolazione, confronto, esito e limiti.</w:t>
      </w:r>
    </w:p>
    <w:p>
      <w:r>
        <w:t>La revisione critica di questa dispensa dovrebbe quindi cercare anche errori plausibili, sovrageneralizzazioni e citazioni usate oltre la loro portata. Il documento è una versione da verificare e migliorare, non una certificazione di infallibilità ottenuta attraverso consenso tra IA.</w:t>
      </w:r>
    </w:p>
    <w:p>
      <w:pPr>
        <w:pStyle w:val="Heading1"/>
        <w:pageBreakBefore/>
      </w:pPr>
      <w:r>
        <w:t>Appendice A — Tracciabilità delle rettifiche</w:t>
      </w:r>
    </w:p>
    <w:p>
      <w:r>
        <w:t>I paragrafi P0–P175 identificano la struttura del file originale, mentre i numeri dei rilievi rimandano al report Analisi scientifica della Guida unificata alle abilità di studio. La corrispondenza copre tutti gli 85 rilievi, raggruppando quelli che riguardano lo stesso problema.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032"/>
        <w:gridCol w:w="4248"/>
      </w:tblGrid>
      <w:tr>
        <w:trPr>
          <w:cantSplit/>
          <w:tblHeader/>
        </w:trPr>
        <w:tc>
          <w:tcPr>
            <w:tcW w:type="dxa" w:w="1512"/>
            <w:vAlign w:val="center"/>
            <w:shd w:fill="E7E6E6"/>
            <w:tcMar>
              <w:top w:w="95" w:type="dxa"/>
              <w:left w:w="95" w:type="dxa"/>
              <w:bottom w:w="95" w:type="dxa"/>
              <w:right w:w="95" w:type="dxa"/>
            </w:tcMar>
          </w:tcPr>
          <w:p>
            <w:pPr>
              <w:spacing w:line="252" w:lineRule="auto" w:after="60" w:before="60"/>
            </w:pPr>
            <w:r>
              <w:rPr>
                <w:b/>
                <w:sz w:val="19"/>
              </w:rPr>
              <w:t>Rilievi del report</w:t>
            </w:r>
          </w:p>
        </w:tc>
        <w:tc>
          <w:tcPr>
            <w:tcW w:type="dxa" w:w="4032"/>
            <w:vAlign w:val="center"/>
            <w:shd w:fill="E7E6E6"/>
            <w:tcMar>
              <w:top w:w="95" w:type="dxa"/>
              <w:left w:w="95" w:type="dxa"/>
              <w:bottom w:w="95" w:type="dxa"/>
              <w:right w:w="95" w:type="dxa"/>
            </w:tcMar>
          </w:tcPr>
          <w:p>
            <w:pPr>
              <w:spacing w:line="252" w:lineRule="auto" w:after="60" w:before="60"/>
            </w:pPr>
            <w:r>
              <w:rPr>
                <w:b/>
                <w:sz w:val="19"/>
              </w:rPr>
              <w:t>Problema corretto</w:t>
            </w:r>
          </w:p>
        </w:tc>
        <w:tc>
          <w:tcPr>
            <w:tcW w:type="dxa" w:w="4248"/>
            <w:vAlign w:val="center"/>
            <w:shd w:fill="E7E6E6"/>
            <w:tcMar>
              <w:top w:w="95" w:type="dxa"/>
              <w:left w:w="95" w:type="dxa"/>
              <w:bottom w:w="95" w:type="dxa"/>
              <w:right w:w="95" w:type="dxa"/>
            </w:tcMar>
          </w:tcPr>
          <w:p>
            <w:pPr>
              <w:spacing w:line="252" w:lineRule="auto" w:after="60" w:before="60"/>
            </w:pPr>
            <w:r>
              <w:rPr>
                <w:b/>
                <w:sz w:val="19"/>
              </w:rPr>
              <w:t>Collocazione nella nuova dispensa</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1–3</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Promesse universali, metafora aziendale ed etimologia usata come argomento</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Scopo; capitoli 1 e 5. Richiamo etimologico rimosso perché non necessario.</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4–6</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Gerarchia tra teorie, comportamentismo passivo e Pavlov semplificato</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Capitolo 2. Distinti livelli teorici e procedure.</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7–11</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Ambiente automatico, rumore, ricompense e spiegazioni dopaminergiche</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Capitoli 2, 6 e 8. Eliminati automatismi e dosaggi neurochimici.</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12–14</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Leggi inviolabili, associazioni ispessite e svalutazione della memoria</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Capitoli 1, 2 e 4. Separati pratica, feedback e comprensione.</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15–19</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Insight obbligatorio, lettura vietata, mappe e socializzazione necessarie</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Capitoli 2, 3 e 4. Conservati strumenti senza necessità universali.</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20–24</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Trasferimento dallo sport, autodiagnosi, stili e controllo totale</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Capitoli 2, 5 e 6. Precisati esiti e limiti; spiegata la distinzione tra preferenze e stili.</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25–30</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Self-talk come PNL, sangue alla corteccia e stress che annulla lo studio</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Capitolo 6. Eliminate spiegazioni improprie e garanzie cliniche.</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31–36</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Curva universale, respirazione endocrina e equivalenza imagery realtà</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Capitolo 6. Distinte euristiche, trial e affermazioni non sostenute.</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37–38</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Propriocezione obbligatoria e calo del trenta per cento</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Capitolo 7. Distinte ergonomia e grandezze fisiologiche.</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39–42</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Cervello primitivo, SMART infallibile e pagine come competenza</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Capitoli 1, 2 e 5. Sostituite causalità improprie con criteri verificabili.</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43–45</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Parkinson senza integrazione sperimentale e mindset garantito</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Capitolo 5. Inserito Bryan e Locke; rappresentate due meta-analisi.</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46–48</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WBS terapeutica, divisione lineare delle pagine e singola variabile</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Capitolo 5. Piano flessibile e limiti della memoria di lavoro.</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49–54</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Carver non identificato, SQ3R esclusivo, priming e lettura iperselettiva</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Capitolo 3. Fonte storica identificata e percorso adattabile.</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55–58</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Recupero tormentato, criterio del bambino e controllo solo dei fallimenti</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Capitoli 1 e 4. Euristica distinta dal criterio e verifica dell’accuratezza.</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59–61</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Oblio fisso, calendario universale e riconsolidamento automatico</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Capitolo 4. Conservato il principio distribuito senza garanzie.</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62–65</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TRIZ universale, compromessi svalutati e numerazione confusa</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Capitoli 5 e 8. Distinti repertorio euristico e validazione educativa.</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66–69</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Sveglia universale, equivalenze orarie e soglie temporali</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Capitoli 7 e 8. Rimossi numeri non documentati e rigidità.</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70–72</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Due organi decisionali, glucosio e piani equiparati alle abitudini</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Capitolo 8. Separati costrutti e livello delle prove.</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73–77</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Dolore necessario, flow temporizzato e immunità emotiva</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Capitoli 6, 7 e 8. Criteri di adattamento senza automatismi assoluti.</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78–82</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Pianificazione inviolabile, sonno ridotto, Stop e luce indiscriminata</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Capitoli 5, 6 e 7. Inclusi recupero e differenze di contesto.</w:t>
            </w:r>
          </w:p>
        </w:tc>
      </w:tr>
      <w:tr>
        <w:trPr>
          <w:cantSplit/>
        </w:trPr>
        <w:tc>
          <w:tcPr>
            <w:tcW w:type="dxa" w:w="1512"/>
            <w:vAlign w:val="center"/>
            <w:shd w:fill="FFFFFF"/>
            <w:tcMar>
              <w:top w:w="95" w:type="dxa"/>
              <w:left w:w="95" w:type="dxa"/>
              <w:bottom w:w="95" w:type="dxa"/>
              <w:right w:w="95" w:type="dxa"/>
            </w:tcMar>
          </w:tcPr>
          <w:p>
            <w:pPr>
              <w:spacing w:line="252" w:lineRule="auto" w:after="60" w:before="60"/>
            </w:pPr>
            <w:r>
              <w:rPr>
                <w:b w:val="0"/>
                <w:sz w:val="19"/>
              </w:rPr>
              <w:t>83–85</w:t>
            </w:r>
          </w:p>
        </w:tc>
        <w:tc>
          <w:tcPr>
            <w:tcW w:type="dxa" w:w="4032"/>
            <w:vAlign w:val="center"/>
            <w:shd w:fill="FFFFFF"/>
            <w:tcMar>
              <w:top w:w="95" w:type="dxa"/>
              <w:left w:w="95" w:type="dxa"/>
              <w:bottom w:w="95" w:type="dxa"/>
              <w:right w:w="95" w:type="dxa"/>
            </w:tcMar>
          </w:tcPr>
          <w:p>
            <w:pPr>
              <w:spacing w:line="252" w:lineRule="auto" w:after="60" w:before="60"/>
            </w:pPr>
            <w:r>
              <w:rPr>
                <w:b w:val="0"/>
                <w:sz w:val="19"/>
              </w:rPr>
              <w:t>Acqua gelida come intervento, diario come prova causale e linguaggio punitivo</w:t>
            </w:r>
          </w:p>
        </w:tc>
        <w:tc>
          <w:tcPr>
            <w:tcW w:type="dxa" w:w="4248"/>
            <w:vAlign w:val="center"/>
            <w:shd w:fill="FFFFFF"/>
            <w:tcMar>
              <w:top w:w="95" w:type="dxa"/>
              <w:left w:w="95" w:type="dxa"/>
              <w:bottom w:w="95" w:type="dxa"/>
              <w:right w:w="95" w:type="dxa"/>
            </w:tcMar>
          </w:tcPr>
          <w:p>
            <w:pPr>
              <w:spacing w:line="252" w:lineRule="auto" w:after="60" w:before="60"/>
            </w:pPr>
            <w:r>
              <w:rPr>
                <w:b w:val="0"/>
                <w:sz w:val="19"/>
              </w:rPr>
              <w:t>Capitoli 7 e 8. Sostituiti con osservazione proporzionata e linguaggio descrittivo.</w:t>
            </w:r>
          </w:p>
        </w:tc>
      </w:tr>
    </w:tbl>
    <w:p>
      <w:pPr>
        <w:spacing w:after="40"/>
      </w:pPr>
    </w:p>
    <w:p>
      <w:r>
        <w:t>La tabella documenta il trattamento dei rilievi precedenti; non misura una percentuale di correttezza del nuovo testo. Gli approfondimenti introdotti nella versione 2.0 sono riepilogati qui per facilitare un controllo successivo.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440"/>
        <w:gridCol w:w="5184"/>
      </w:tblGrid>
      <w:tr>
        <w:trPr>
          <w:cantSplit/>
          <w:tblHeader/>
        </w:trPr>
        <w:tc>
          <w:tcPr>
            <w:tcW w:type="dxa" w:w="3168"/>
            <w:vAlign w:val="center"/>
            <w:shd w:fill="E7E6E6"/>
            <w:tcMar>
              <w:top w:w="95" w:type="dxa"/>
              <w:left w:w="95" w:type="dxa"/>
              <w:bottom w:w="95" w:type="dxa"/>
              <w:right w:w="95" w:type="dxa"/>
            </w:tcMar>
          </w:tcPr>
          <w:p>
            <w:pPr>
              <w:spacing w:line="252" w:lineRule="auto" w:after="60" w:before="60"/>
            </w:pPr>
            <w:r>
              <w:rPr>
                <w:b/>
                <w:sz w:val="19"/>
              </w:rPr>
              <w:t>Integrazione della versione 2.0</w:t>
            </w:r>
          </w:p>
        </w:tc>
        <w:tc>
          <w:tcPr>
            <w:tcW w:type="dxa" w:w="1440"/>
            <w:vAlign w:val="center"/>
            <w:shd w:fill="E7E6E6"/>
            <w:tcMar>
              <w:top w:w="95" w:type="dxa"/>
              <w:left w:w="95" w:type="dxa"/>
              <w:bottom w:w="95" w:type="dxa"/>
              <w:right w:w="95" w:type="dxa"/>
            </w:tcMar>
          </w:tcPr>
          <w:p>
            <w:pPr>
              <w:spacing w:line="252" w:lineRule="auto" w:after="60" w:before="60"/>
            </w:pPr>
            <w:r>
              <w:rPr>
                <w:b/>
                <w:sz w:val="19"/>
              </w:rPr>
              <w:t>Collocazione</w:t>
            </w:r>
          </w:p>
        </w:tc>
        <w:tc>
          <w:tcPr>
            <w:tcW w:type="dxa" w:w="5184"/>
            <w:vAlign w:val="center"/>
            <w:shd w:fill="E7E6E6"/>
            <w:tcMar>
              <w:top w:w="95" w:type="dxa"/>
              <w:left w:w="95" w:type="dxa"/>
              <w:bottom w:w="95" w:type="dxa"/>
              <w:right w:w="95" w:type="dxa"/>
            </w:tcMar>
          </w:tcPr>
          <w:p>
            <w:pPr>
              <w:spacing w:line="252" w:lineRule="auto" w:after="60" w:before="60"/>
            </w:pPr>
            <w:r>
              <w:rPr>
                <w:b/>
                <w:sz w:val="19"/>
              </w:rPr>
              <w:t>Oggetto del controllo</w:t>
            </w:r>
          </w:p>
        </w:tc>
      </w:tr>
      <w:tr>
        <w:trPr>
          <w:cantSplit/>
        </w:trPr>
        <w:tc>
          <w:tcPr>
            <w:tcW w:type="dxa" w:w="3168"/>
            <w:vAlign w:val="center"/>
            <w:shd w:fill="FFFFFF"/>
            <w:tcMar>
              <w:top w:w="95" w:type="dxa"/>
              <w:left w:w="95" w:type="dxa"/>
              <w:bottom w:w="95" w:type="dxa"/>
              <w:right w:w="95" w:type="dxa"/>
            </w:tcMar>
          </w:tcPr>
          <w:p>
            <w:pPr>
              <w:spacing w:line="252" w:lineRule="auto" w:after="60" w:before="60"/>
            </w:pPr>
            <w:r>
              <w:rPr>
                <w:b w:val="0"/>
                <w:sz w:val="19"/>
              </w:rPr>
              <w:t>Difficoltà desiderabili e sforzo di recupero</w:t>
            </w:r>
          </w:p>
        </w:tc>
        <w:tc>
          <w:tcPr>
            <w:tcW w:type="dxa" w:w="1440"/>
            <w:vAlign w:val="center"/>
            <w:shd w:fill="FFFFFF"/>
            <w:tcMar>
              <w:top w:w="95" w:type="dxa"/>
              <w:left w:w="95" w:type="dxa"/>
              <w:bottom w:w="95" w:type="dxa"/>
              <w:right w:w="95" w:type="dxa"/>
            </w:tcMar>
          </w:tcPr>
          <w:p>
            <w:pPr>
              <w:spacing w:line="252" w:lineRule="auto" w:after="60" w:before="60"/>
            </w:pPr>
            <w:r>
              <w:rPr>
                <w:b w:val="0"/>
                <w:sz w:val="19"/>
              </w:rPr>
              <w:t>1.1 e 4.1</w:t>
            </w:r>
          </w:p>
        </w:tc>
        <w:tc>
          <w:tcPr>
            <w:tcW w:type="dxa" w:w="5184"/>
            <w:vAlign w:val="center"/>
            <w:shd w:fill="FFFFFF"/>
            <w:tcMar>
              <w:top w:w="95" w:type="dxa"/>
              <w:left w:w="95" w:type="dxa"/>
              <w:bottom w:w="95" w:type="dxa"/>
              <w:right w:w="95" w:type="dxa"/>
            </w:tcMar>
          </w:tcPr>
          <w:p>
            <w:pPr>
              <w:spacing w:line="252" w:lineRule="auto" w:after="60" w:before="60"/>
            </w:pPr>
            <w:r>
              <w:rPr>
                <w:b w:val="0"/>
                <w:sz w:val="19"/>
              </w:rPr>
              <w:t>Distinguere modello teorico, risultati sperimentali e suggerimenti pratici.</w:t>
            </w:r>
          </w:p>
        </w:tc>
      </w:tr>
      <w:tr>
        <w:trPr>
          <w:cantSplit/>
        </w:trPr>
        <w:tc>
          <w:tcPr>
            <w:tcW w:type="dxa" w:w="3168"/>
            <w:vAlign w:val="center"/>
            <w:shd w:fill="FFFFFF"/>
            <w:tcMar>
              <w:top w:w="95" w:type="dxa"/>
              <w:left w:w="95" w:type="dxa"/>
              <w:bottom w:w="95" w:type="dxa"/>
              <w:right w:w="95" w:type="dxa"/>
            </w:tcMar>
          </w:tcPr>
          <w:p>
            <w:pPr>
              <w:spacing w:line="252" w:lineRule="auto" w:after="60" w:before="60"/>
            </w:pPr>
            <w:r>
              <w:rPr>
                <w:b w:val="0"/>
                <w:sz w:val="19"/>
              </w:rPr>
              <w:t>Preferenze e stili di apprendimento</w:t>
            </w:r>
          </w:p>
        </w:tc>
        <w:tc>
          <w:tcPr>
            <w:tcW w:type="dxa" w:w="1440"/>
            <w:vAlign w:val="center"/>
            <w:shd w:fill="FFFFFF"/>
            <w:tcMar>
              <w:top w:w="95" w:type="dxa"/>
              <w:left w:w="95" w:type="dxa"/>
              <w:bottom w:w="95" w:type="dxa"/>
              <w:right w:w="95" w:type="dxa"/>
            </w:tcMar>
          </w:tcPr>
          <w:p>
            <w:pPr>
              <w:spacing w:line="252" w:lineRule="auto" w:after="60" w:before="60"/>
            </w:pPr>
            <w:r>
              <w:rPr>
                <w:b w:val="0"/>
                <w:sz w:val="19"/>
              </w:rPr>
              <w:t>2.6</w:t>
            </w:r>
          </w:p>
        </w:tc>
        <w:tc>
          <w:tcPr>
            <w:tcW w:type="dxa" w:w="5184"/>
            <w:vAlign w:val="center"/>
            <w:shd w:fill="FFFFFF"/>
            <w:tcMar>
              <w:top w:w="95" w:type="dxa"/>
              <w:left w:w="95" w:type="dxa"/>
              <w:bottom w:w="95" w:type="dxa"/>
              <w:right w:w="95" w:type="dxa"/>
            </w:tcMar>
          </w:tcPr>
          <w:p>
            <w:pPr>
              <w:spacing w:line="252" w:lineRule="auto" w:after="60" w:before="60"/>
            </w:pPr>
            <w:r>
              <w:rPr>
                <w:b w:val="0"/>
                <w:sz w:val="19"/>
              </w:rPr>
              <w:t>Non dedurre l’efficacia dal formato preferito.</w:t>
            </w:r>
          </w:p>
        </w:tc>
      </w:tr>
      <w:tr>
        <w:trPr>
          <w:cantSplit/>
        </w:trPr>
        <w:tc>
          <w:tcPr>
            <w:tcW w:type="dxa" w:w="3168"/>
            <w:vAlign w:val="center"/>
            <w:shd w:fill="FFFFFF"/>
            <w:tcMar>
              <w:top w:w="95" w:type="dxa"/>
              <w:left w:w="95" w:type="dxa"/>
              <w:bottom w:w="95" w:type="dxa"/>
              <w:right w:w="95" w:type="dxa"/>
            </w:tcMar>
          </w:tcPr>
          <w:p>
            <w:pPr>
              <w:spacing w:line="252" w:lineRule="auto" w:after="60" w:before="60"/>
            </w:pPr>
            <w:r>
              <w:rPr>
                <w:b w:val="0"/>
                <w:sz w:val="19"/>
              </w:rPr>
              <w:t>Feedback e varianti senza soluzione</w:t>
            </w:r>
          </w:p>
        </w:tc>
        <w:tc>
          <w:tcPr>
            <w:tcW w:type="dxa" w:w="1440"/>
            <w:vAlign w:val="center"/>
            <w:shd w:fill="FFFFFF"/>
            <w:tcMar>
              <w:top w:w="95" w:type="dxa"/>
              <w:left w:w="95" w:type="dxa"/>
              <w:bottom w:w="95" w:type="dxa"/>
              <w:right w:w="95" w:type="dxa"/>
            </w:tcMar>
          </w:tcPr>
          <w:p>
            <w:pPr>
              <w:spacing w:line="252" w:lineRule="auto" w:after="60" w:before="60"/>
            </w:pPr>
            <w:r>
              <w:rPr>
                <w:b w:val="0"/>
                <w:sz w:val="19"/>
              </w:rPr>
              <w:t>4.1, 4.2 e 9.1</w:t>
            </w:r>
          </w:p>
        </w:tc>
        <w:tc>
          <w:tcPr>
            <w:tcW w:type="dxa" w:w="5184"/>
            <w:vAlign w:val="center"/>
            <w:shd w:fill="FFFFFF"/>
            <w:tcMar>
              <w:top w:w="95" w:type="dxa"/>
              <w:left w:w="95" w:type="dxa"/>
              <w:bottom w:w="95" w:type="dxa"/>
              <w:right w:w="95" w:type="dxa"/>
            </w:tcMar>
          </w:tcPr>
          <w:p>
            <w:pPr>
              <w:spacing w:line="252" w:lineRule="auto" w:after="60" w:before="60"/>
            </w:pPr>
            <w:r>
              <w:rPr>
                <w:b w:val="0"/>
                <w:sz w:val="19"/>
              </w:rPr>
              <w:t>Correggere i distrattori e mantenere espliciti i dubbi irrisolti.</w:t>
            </w:r>
          </w:p>
        </w:tc>
      </w:tr>
      <w:tr>
        <w:trPr>
          <w:cantSplit/>
        </w:trPr>
        <w:tc>
          <w:tcPr>
            <w:tcW w:type="dxa" w:w="3168"/>
            <w:vAlign w:val="center"/>
            <w:shd w:fill="FFFFFF"/>
            <w:tcMar>
              <w:top w:w="95" w:type="dxa"/>
              <w:left w:w="95" w:type="dxa"/>
              <w:bottom w:w="95" w:type="dxa"/>
              <w:right w:w="95" w:type="dxa"/>
            </w:tcMar>
          </w:tcPr>
          <w:p>
            <w:pPr>
              <w:spacing w:line="252" w:lineRule="auto" w:after="60" w:before="60"/>
            </w:pPr>
            <w:r>
              <w:rPr>
                <w:b w:val="0"/>
                <w:sz w:val="19"/>
              </w:rPr>
              <w:t>Intervalli di ripasso e calendario</w:t>
            </w:r>
          </w:p>
        </w:tc>
        <w:tc>
          <w:tcPr>
            <w:tcW w:type="dxa" w:w="1440"/>
            <w:vAlign w:val="center"/>
            <w:shd w:fill="FFFFFF"/>
            <w:tcMar>
              <w:top w:w="95" w:type="dxa"/>
              <w:left w:w="95" w:type="dxa"/>
              <w:bottom w:w="95" w:type="dxa"/>
              <w:right w:w="95" w:type="dxa"/>
            </w:tcMar>
          </w:tcPr>
          <w:p>
            <w:pPr>
              <w:spacing w:line="252" w:lineRule="auto" w:after="60" w:before="60"/>
            </w:pPr>
            <w:r>
              <w:rPr>
                <w:b w:val="0"/>
                <w:sz w:val="19"/>
              </w:rPr>
              <w:t>4.3</w:t>
            </w:r>
          </w:p>
        </w:tc>
        <w:tc>
          <w:tcPr>
            <w:tcW w:type="dxa" w:w="5184"/>
            <w:vAlign w:val="center"/>
            <w:shd w:fill="FFFFFF"/>
            <w:tcMar>
              <w:top w:w="95" w:type="dxa"/>
              <w:left w:w="95" w:type="dxa"/>
              <w:bottom w:w="95" w:type="dxa"/>
              <w:right w:w="95" w:type="dxa"/>
            </w:tcMar>
          </w:tcPr>
          <w:p>
            <w:pPr>
              <w:spacing w:line="252" w:lineRule="auto" w:after="60" w:before="60"/>
            </w:pPr>
            <w:r>
              <w:rPr>
                <w:b w:val="0"/>
                <w:sz w:val="19"/>
              </w:rPr>
              <w:t>Separare le proporzioni sperimentali dal calendario esemplificativo.</w:t>
            </w:r>
          </w:p>
        </w:tc>
      </w:tr>
      <w:tr>
        <w:trPr>
          <w:cantSplit/>
        </w:trPr>
        <w:tc>
          <w:tcPr>
            <w:tcW w:type="dxa" w:w="3168"/>
            <w:vAlign w:val="center"/>
            <w:shd w:fill="FFFFFF"/>
            <w:tcMar>
              <w:top w:w="95" w:type="dxa"/>
              <w:left w:w="95" w:type="dxa"/>
              <w:bottom w:w="95" w:type="dxa"/>
              <w:right w:w="95" w:type="dxa"/>
            </w:tcMar>
          </w:tcPr>
          <w:p>
            <w:pPr>
              <w:spacing w:line="252" w:lineRule="auto" w:after="60" w:before="60"/>
            </w:pPr>
            <w:r>
              <w:rPr>
                <w:b w:val="0"/>
                <w:sz w:val="19"/>
              </w:rPr>
              <w:t>Parole e rappresentazioni visive</w:t>
            </w:r>
          </w:p>
        </w:tc>
        <w:tc>
          <w:tcPr>
            <w:tcW w:type="dxa" w:w="1440"/>
            <w:vAlign w:val="center"/>
            <w:shd w:fill="FFFFFF"/>
            <w:tcMar>
              <w:top w:w="95" w:type="dxa"/>
              <w:left w:w="95" w:type="dxa"/>
              <w:bottom w:w="95" w:type="dxa"/>
              <w:right w:w="95" w:type="dxa"/>
            </w:tcMar>
          </w:tcPr>
          <w:p>
            <w:pPr>
              <w:spacing w:line="252" w:lineRule="auto" w:after="60" w:before="60"/>
            </w:pPr>
            <w:r>
              <w:rPr>
                <w:b w:val="0"/>
                <w:sz w:val="19"/>
              </w:rPr>
              <w:t>4.7</w:t>
            </w:r>
          </w:p>
        </w:tc>
        <w:tc>
          <w:tcPr>
            <w:tcW w:type="dxa" w:w="5184"/>
            <w:vAlign w:val="center"/>
            <w:shd w:fill="FFFFFF"/>
            <w:tcMar>
              <w:top w:w="95" w:type="dxa"/>
              <w:left w:w="95" w:type="dxa"/>
              <w:bottom w:w="95" w:type="dxa"/>
              <w:right w:w="95" w:type="dxa"/>
            </w:tcMar>
          </w:tcPr>
          <w:p>
            <w:pPr>
              <w:spacing w:line="252" w:lineRule="auto" w:after="60" w:before="60"/>
            </w:pPr>
            <w:r>
              <w:rPr>
                <w:b w:val="0"/>
                <w:sz w:val="19"/>
              </w:rPr>
              <w:t>Coordinare informazioni pertinenti senza aggiunte decorative.</w:t>
            </w:r>
          </w:p>
        </w:tc>
      </w:tr>
      <w:tr>
        <w:trPr>
          <w:cantSplit/>
        </w:trPr>
        <w:tc>
          <w:tcPr>
            <w:tcW w:type="dxa" w:w="3168"/>
            <w:vAlign w:val="center"/>
            <w:shd w:fill="FFFFFF"/>
            <w:tcMar>
              <w:top w:w="95" w:type="dxa"/>
              <w:left w:w="95" w:type="dxa"/>
              <w:bottom w:w="95" w:type="dxa"/>
              <w:right w:w="95" w:type="dxa"/>
            </w:tcMar>
          </w:tcPr>
          <w:p>
            <w:pPr>
              <w:spacing w:line="252" w:lineRule="auto" w:after="60" w:before="60"/>
            </w:pPr>
            <w:r>
              <w:rPr>
                <w:b w:val="0"/>
                <w:sz w:val="19"/>
              </w:rPr>
              <w:t>Carico cognitivo e guida graduale</w:t>
            </w:r>
          </w:p>
        </w:tc>
        <w:tc>
          <w:tcPr>
            <w:tcW w:type="dxa" w:w="1440"/>
            <w:vAlign w:val="center"/>
            <w:shd w:fill="FFFFFF"/>
            <w:tcMar>
              <w:top w:w="95" w:type="dxa"/>
              <w:left w:w="95" w:type="dxa"/>
              <w:bottom w:w="95" w:type="dxa"/>
              <w:right w:w="95" w:type="dxa"/>
            </w:tcMar>
          </w:tcPr>
          <w:p>
            <w:pPr>
              <w:spacing w:line="252" w:lineRule="auto" w:after="60" w:before="60"/>
            </w:pPr>
            <w:r>
              <w:rPr>
                <w:b w:val="0"/>
                <w:sz w:val="19"/>
              </w:rPr>
              <w:t>5.1 e 9.2</w:t>
            </w:r>
          </w:p>
        </w:tc>
        <w:tc>
          <w:tcPr>
            <w:tcW w:type="dxa" w:w="5184"/>
            <w:vAlign w:val="center"/>
            <w:shd w:fill="FFFFFF"/>
            <w:tcMar>
              <w:top w:w="95" w:type="dxa"/>
              <w:left w:w="95" w:type="dxa"/>
              <w:bottom w:w="95" w:type="dxa"/>
              <w:right w:w="95" w:type="dxa"/>
            </w:tcMar>
          </w:tcPr>
          <w:p>
            <w:pPr>
              <w:spacing w:line="252" w:lineRule="auto" w:after="60" w:before="60"/>
            </w:pPr>
            <w:r>
              <w:rPr>
                <w:b w:val="0"/>
                <w:sz w:val="19"/>
              </w:rPr>
              <w:t>Calibrare gli aiuti sulla competenza e sul tipo di problema.</w:t>
            </w:r>
          </w:p>
        </w:tc>
      </w:tr>
      <w:tr>
        <w:trPr>
          <w:cantSplit/>
        </w:trPr>
        <w:tc>
          <w:tcPr>
            <w:tcW w:type="dxa" w:w="3168"/>
            <w:vAlign w:val="center"/>
            <w:shd w:fill="FFFFFF"/>
            <w:tcMar>
              <w:top w:w="95" w:type="dxa"/>
              <w:left w:w="95" w:type="dxa"/>
              <w:bottom w:w="95" w:type="dxa"/>
              <w:right w:w="95" w:type="dxa"/>
            </w:tcMar>
          </w:tcPr>
          <w:p>
            <w:pPr>
              <w:spacing w:line="252" w:lineRule="auto" w:after="60" w:before="60"/>
            </w:pPr>
            <w:r>
              <w:rPr>
                <w:b w:val="0"/>
                <w:sz w:val="19"/>
              </w:rPr>
              <w:t>Obiettivi e tempo disponibile</w:t>
            </w:r>
          </w:p>
        </w:tc>
        <w:tc>
          <w:tcPr>
            <w:tcW w:type="dxa" w:w="1440"/>
            <w:vAlign w:val="center"/>
            <w:shd w:fill="FFFFFF"/>
            <w:tcMar>
              <w:top w:w="95" w:type="dxa"/>
              <w:left w:w="95" w:type="dxa"/>
              <w:bottom w:w="95" w:type="dxa"/>
              <w:right w:w="95" w:type="dxa"/>
            </w:tcMar>
          </w:tcPr>
          <w:p>
            <w:pPr>
              <w:spacing w:line="252" w:lineRule="auto" w:after="60" w:before="60"/>
            </w:pPr>
            <w:r>
              <w:rPr>
                <w:b w:val="0"/>
                <w:sz w:val="19"/>
              </w:rPr>
              <w:t>5.3</w:t>
            </w:r>
          </w:p>
        </w:tc>
        <w:tc>
          <w:tcPr>
            <w:tcW w:type="dxa" w:w="5184"/>
            <w:vAlign w:val="center"/>
            <w:shd w:fill="FFFFFF"/>
            <w:tcMar>
              <w:top w:w="95" w:type="dxa"/>
              <w:left w:w="95" w:type="dxa"/>
              <w:bottom w:w="95" w:type="dxa"/>
              <w:right w:w="95" w:type="dxa"/>
            </w:tcMar>
          </w:tcPr>
          <w:p>
            <w:pPr>
              <w:spacing w:line="252" w:lineRule="auto" w:after="60" w:before="60"/>
            </w:pPr>
            <w:r>
              <w:rPr>
                <w:b w:val="0"/>
                <w:sz w:val="19"/>
              </w:rPr>
              <w:t>Non trasformare i risultati sui compiti di addizione in una legge generale.</w:t>
            </w:r>
          </w:p>
        </w:tc>
      </w:tr>
      <w:tr>
        <w:trPr>
          <w:cantSplit/>
        </w:trPr>
        <w:tc>
          <w:tcPr>
            <w:tcW w:type="dxa" w:w="3168"/>
            <w:vAlign w:val="center"/>
            <w:shd w:fill="FFFFFF"/>
            <w:tcMar>
              <w:top w:w="95" w:type="dxa"/>
              <w:left w:w="95" w:type="dxa"/>
              <w:bottom w:w="95" w:type="dxa"/>
              <w:right w:w="95" w:type="dxa"/>
            </w:tcMar>
          </w:tcPr>
          <w:p>
            <w:pPr>
              <w:spacing w:line="252" w:lineRule="auto" w:after="60" w:before="60"/>
            </w:pPr>
            <w:r>
              <w:rPr>
                <w:b w:val="0"/>
                <w:sz w:val="19"/>
              </w:rPr>
              <w:t>Rivalutazione e sospiro ciclico</w:t>
            </w:r>
          </w:p>
        </w:tc>
        <w:tc>
          <w:tcPr>
            <w:tcW w:type="dxa" w:w="1440"/>
            <w:vAlign w:val="center"/>
            <w:shd w:fill="FFFFFF"/>
            <w:tcMar>
              <w:top w:w="95" w:type="dxa"/>
              <w:left w:w="95" w:type="dxa"/>
              <w:bottom w:w="95" w:type="dxa"/>
              <w:right w:w="95" w:type="dxa"/>
            </w:tcMar>
          </w:tcPr>
          <w:p>
            <w:pPr>
              <w:spacing w:line="252" w:lineRule="auto" w:after="60" w:before="60"/>
            </w:pPr>
            <w:r>
              <w:rPr>
                <w:b w:val="0"/>
                <w:sz w:val="19"/>
              </w:rPr>
              <w:t>6.2 e 6.4</w:t>
            </w:r>
          </w:p>
        </w:tc>
        <w:tc>
          <w:tcPr>
            <w:tcW w:type="dxa" w:w="5184"/>
            <w:vAlign w:val="center"/>
            <w:shd w:fill="FFFFFF"/>
            <w:tcMar>
              <w:top w:w="95" w:type="dxa"/>
              <w:left w:w="95" w:type="dxa"/>
              <w:bottom w:w="95" w:type="dxa"/>
              <w:right w:w="95" w:type="dxa"/>
            </w:tcMar>
          </w:tcPr>
          <w:p>
            <w:pPr>
              <w:spacing w:line="252" w:lineRule="auto" w:after="60" w:before="60"/>
            </w:pPr>
            <w:r>
              <w:rPr>
                <w:b w:val="0"/>
                <w:sz w:val="19"/>
              </w:rPr>
              <w:t>Specificare esiti misurati e condizioni dei confronti.</w:t>
            </w:r>
          </w:p>
        </w:tc>
      </w:tr>
      <w:tr>
        <w:trPr>
          <w:cantSplit/>
        </w:trPr>
        <w:tc>
          <w:tcPr>
            <w:tcW w:type="dxa" w:w="3168"/>
            <w:vAlign w:val="center"/>
            <w:shd w:fill="FFFFFF"/>
            <w:tcMar>
              <w:top w:w="95" w:type="dxa"/>
              <w:left w:w="95" w:type="dxa"/>
              <w:bottom w:w="95" w:type="dxa"/>
              <w:right w:w="95" w:type="dxa"/>
            </w:tcMar>
          </w:tcPr>
          <w:p>
            <w:pPr>
              <w:spacing w:line="252" w:lineRule="auto" w:after="60" w:before="60"/>
            </w:pPr>
            <w:r>
              <w:rPr>
                <w:b w:val="0"/>
                <w:sz w:val="19"/>
              </w:rPr>
              <w:t>Pause e loro durata</w:t>
            </w:r>
          </w:p>
        </w:tc>
        <w:tc>
          <w:tcPr>
            <w:tcW w:type="dxa" w:w="1440"/>
            <w:vAlign w:val="center"/>
            <w:shd w:fill="FFFFFF"/>
            <w:tcMar>
              <w:top w:w="95" w:type="dxa"/>
              <w:left w:w="95" w:type="dxa"/>
              <w:bottom w:w="95" w:type="dxa"/>
              <w:right w:w="95" w:type="dxa"/>
            </w:tcMar>
          </w:tcPr>
          <w:p>
            <w:pPr>
              <w:spacing w:line="252" w:lineRule="auto" w:after="60" w:before="60"/>
            </w:pPr>
            <w:r>
              <w:rPr>
                <w:b w:val="0"/>
                <w:sz w:val="19"/>
              </w:rPr>
              <w:t>7.2</w:t>
            </w:r>
          </w:p>
        </w:tc>
        <w:tc>
          <w:tcPr>
            <w:tcW w:type="dxa" w:w="5184"/>
            <w:vAlign w:val="center"/>
            <w:shd w:fill="FFFFFF"/>
            <w:tcMar>
              <w:top w:w="95" w:type="dxa"/>
              <w:left w:w="95" w:type="dxa"/>
              <w:bottom w:w="95" w:type="dxa"/>
              <w:right w:w="95" w:type="dxa"/>
            </w:tcMar>
          </w:tcPr>
          <w:p>
            <w:pPr>
              <w:spacing w:line="252" w:lineRule="auto" w:after="60" w:before="60"/>
            </w:pPr>
            <w:r>
              <w:rPr>
                <w:b w:val="0"/>
                <w:sz w:val="19"/>
              </w:rPr>
              <w:t>Riportare correttamente moderatori e limiti di Albulescu e Biwer.</w:t>
            </w:r>
          </w:p>
        </w:tc>
      </w:tr>
      <w:tr>
        <w:trPr>
          <w:cantSplit/>
        </w:trPr>
        <w:tc>
          <w:tcPr>
            <w:tcW w:type="dxa" w:w="3168"/>
            <w:vAlign w:val="center"/>
            <w:shd w:fill="FFFFFF"/>
            <w:tcMar>
              <w:top w:w="95" w:type="dxa"/>
              <w:left w:w="95" w:type="dxa"/>
              <w:bottom w:w="95" w:type="dxa"/>
              <w:right w:w="95" w:type="dxa"/>
            </w:tcMar>
          </w:tcPr>
          <w:p>
            <w:pPr>
              <w:spacing w:line="252" w:lineRule="auto" w:after="60" w:before="60"/>
            </w:pPr>
            <w:r>
              <w:rPr>
                <w:b w:val="0"/>
                <w:sz w:val="19"/>
              </w:rPr>
              <w:t>Monitoraggio sostenibile</w:t>
            </w:r>
          </w:p>
        </w:tc>
        <w:tc>
          <w:tcPr>
            <w:tcW w:type="dxa" w:w="1440"/>
            <w:vAlign w:val="center"/>
            <w:shd w:fill="FFFFFF"/>
            <w:tcMar>
              <w:top w:w="95" w:type="dxa"/>
              <w:left w:w="95" w:type="dxa"/>
              <w:bottom w:w="95" w:type="dxa"/>
              <w:right w:w="95" w:type="dxa"/>
            </w:tcMar>
          </w:tcPr>
          <w:p>
            <w:pPr>
              <w:spacing w:line="252" w:lineRule="auto" w:after="60" w:before="60"/>
            </w:pPr>
            <w:r>
              <w:rPr>
                <w:b w:val="0"/>
                <w:sz w:val="19"/>
              </w:rPr>
              <w:t>10.2</w:t>
            </w:r>
          </w:p>
        </w:tc>
        <w:tc>
          <w:tcPr>
            <w:tcW w:type="dxa" w:w="5184"/>
            <w:vAlign w:val="center"/>
            <w:shd w:fill="FFFFFF"/>
            <w:tcMar>
              <w:top w:w="95" w:type="dxa"/>
              <w:left w:w="95" w:type="dxa"/>
              <w:bottom w:w="95" w:type="dxa"/>
              <w:right w:w="95" w:type="dxa"/>
            </w:tcMar>
          </w:tcPr>
          <w:p>
            <w:pPr>
              <w:spacing w:line="252" w:lineRule="auto" w:after="60" w:before="60"/>
            </w:pPr>
            <w:r>
              <w:rPr>
                <w:b w:val="0"/>
                <w:sz w:val="19"/>
              </w:rPr>
              <w:t>Usare i risultati per adattare il lavoro, senza obblighi sperimentali.</w:t>
            </w:r>
          </w:p>
        </w:tc>
      </w:tr>
    </w:tbl>
    <w:p>
      <w:pPr>
        <w:spacing w:after="40"/>
      </w:pPr>
    </w:p>
    <w:p>
      <w:pPr>
        <w:pStyle w:val="Heading1"/>
        <w:pageBreakBefore/>
      </w:pPr>
      <w:r>
        <w:t>Appendice B — Bibliografia e limiti delle fonti</w:t>
      </w:r>
    </w:p>
    <w:p>
      <w:r>
        <w:t>I riferimenti sostengono proposizioni specifiche, non l’intero documento. A indica abstract o scheda editoriale consultati, eventualmente con estratti; T indica passaggi pertinenti del testo disponibile consultati, senza implicare un nuovo controllo dei dati grezzi; F indica fonte storica o istituzionale usata per identificazione e terminologia.</w:t>
      </w:r>
    </w:p>
    <w:p>
      <w:r>
        <w:t>Le sigle descrivono l’accesso effettuato, non la qualità intrinseca degli studi. Non sono state applicate valutazioni formali GRADE o una revisione sistematica del rischio di bias a tutta la bibliografia. Le limitazioni riportate nei capitoli restano necessarie anche quando la fonte è una meta-analisi.</w:t>
      </w:r>
    </w:p>
    <w:p>
      <w:pPr>
        <w:keepLines/>
        <w:spacing w:after="180"/>
      </w:pPr>
      <w:r>
        <w:rPr>
          <w:sz w:val="20"/>
        </w:rPr>
        <w:t xml:space="preserve">[1] Dunlosky J, Rawson KA, Marsh EJ, Nathan MJ, Willingham DT (2013). </w:t>
      </w:r>
      <w:r>
        <w:rPr>
          <w:i/>
          <w:sz w:val="20"/>
        </w:rPr>
        <w:t>Improving Students’ Learning With Effective Learning Techniques: Promising Directions From Cognitive and Educational Psychology.</w:t>
      </w:r>
      <w:r>
        <w:rPr>
          <w:sz w:val="20"/>
        </w:rPr>
        <w:t xml:space="preserve"> Psychological Science in the Public Interest, 14, 4–58. </w:t>
      </w:r>
      <w:hyperlink r:id="rId11">
        <w:r>
          <w:rPr>
            <w:color w:val="000000"/>
            <w:u w:val="single"/>
          </w:rPr>
          <w:t>doi: 10.1177/1529100612453266</w:t>
        </w:r>
      </w:hyperlink>
      <w:r>
        <w:rPr>
          <w:sz w:val="20"/>
        </w:rPr>
        <w:t>. A con estratti disponibili. Revisione comparativa; non è una graduatoria immutabile né una prova che una tecnica classificata a bassa utilità sia sempre inefficace.</w:t>
      </w:r>
    </w:p>
    <w:p>
      <w:pPr>
        <w:keepLines/>
        <w:spacing w:after="180"/>
      </w:pPr>
      <w:r>
        <w:rPr>
          <w:sz w:val="20"/>
        </w:rPr>
        <w:t xml:space="preserve">[2] Agarwal PK, Nunes LD, Blunt JR (2021). </w:t>
      </w:r>
      <w:r>
        <w:rPr>
          <w:i/>
          <w:sz w:val="20"/>
        </w:rPr>
        <w:t>Retrieval Practice Consistently Benefits Student Learning: a Systematic Review of Applied Research in Schools and Classrooms.</w:t>
      </w:r>
      <w:r>
        <w:rPr>
          <w:sz w:val="20"/>
        </w:rPr>
        <w:t xml:space="preserve"> Educational Psychology Review, 33, 1409–1453. </w:t>
      </w:r>
      <w:hyperlink r:id="rId12">
        <w:r>
          <w:rPr>
            <w:color w:val="000000"/>
            <w:u w:val="single"/>
          </w:rPr>
          <w:t>doi: 10.1007/s10648-021-09595-9</w:t>
        </w:r>
      </w:hyperlink>
      <w:r>
        <w:rPr>
          <w:sz w:val="20"/>
        </w:rPr>
        <w:t>. A. Revisione di ricerca applicata; importante limite di rappresentatività geografica.</w:t>
      </w:r>
    </w:p>
    <w:p>
      <w:pPr>
        <w:keepLines/>
        <w:spacing w:after="180"/>
      </w:pPr>
      <w:r>
        <w:rPr>
          <w:sz w:val="20"/>
        </w:rPr>
        <w:t xml:space="preserve">[3] Cepeda NJ, Pashler H, Vul E, Wixted JT, Rohrer D (2006). </w:t>
      </w:r>
      <w:r>
        <w:rPr>
          <w:i/>
          <w:sz w:val="20"/>
        </w:rPr>
        <w:t>Distributed practice in verbal recall tasks: A review and quantitative synthesis.</w:t>
      </w:r>
      <w:r>
        <w:rPr>
          <w:sz w:val="20"/>
        </w:rPr>
        <w:t xml:space="preserve"> Psychological Bulletin, 132, 354–380. </w:t>
      </w:r>
      <w:hyperlink r:id="rId13">
        <w:r>
          <w:rPr>
            <w:color w:val="000000"/>
            <w:u w:val="single"/>
          </w:rPr>
          <w:t>doi: 10.1037/0033-2909.132.3.354</w:t>
        </w:r>
      </w:hyperlink>
      <w:r>
        <w:rPr>
          <w:sz w:val="20"/>
        </w:rPr>
        <w:t>. A. Relazione tra intervalli di studio e intervallo di ritenzione; nessun calendario universale.</w:t>
      </w:r>
    </w:p>
    <w:p>
      <w:pPr>
        <w:keepLines/>
        <w:spacing w:after="180"/>
      </w:pPr>
      <w:r>
        <w:rPr>
          <w:sz w:val="20"/>
        </w:rPr>
        <w:t xml:space="preserve">[4] Karpicke JD, Blunt JR (2011). </w:t>
      </w:r>
      <w:r>
        <w:rPr>
          <w:i/>
          <w:sz w:val="20"/>
        </w:rPr>
        <w:t>Retrieval Practice Produces More Learning than Elaborative Studying with Concept Mapping.</w:t>
      </w:r>
      <w:r>
        <w:rPr>
          <w:sz w:val="20"/>
        </w:rPr>
        <w:t xml:space="preserve"> Science, 331, 772–775. </w:t>
      </w:r>
      <w:hyperlink r:id="rId14">
        <w:r>
          <w:rPr>
            <w:color w:val="000000"/>
            <w:u w:val="single"/>
          </w:rPr>
          <w:t>doi: 10.1126/science.1199327</w:t>
        </w:r>
      </w:hyperlink>
      <w:r>
        <w:rPr>
          <w:sz w:val="20"/>
        </w:rPr>
        <w:t>. A. Esperimenti su testi scientifici; non dimostrano inferiorità universale di ogni uso delle mappe.</w:t>
      </w:r>
    </w:p>
    <w:p>
      <w:pPr>
        <w:keepLines/>
        <w:spacing w:after="180"/>
      </w:pPr>
      <w:r>
        <w:rPr>
          <w:sz w:val="20"/>
        </w:rPr>
        <w:t xml:space="preserve">[5] Bjork EL, Bjork RA (2011). </w:t>
      </w:r>
      <w:r>
        <w:rPr>
          <w:i/>
          <w:sz w:val="20"/>
        </w:rPr>
        <w:t>Making things hard on yourself, but in a good way: Creating desirable difficulties to enhance learning.</w:t>
      </w:r>
      <w:r>
        <w:rPr>
          <w:sz w:val="20"/>
        </w:rPr>
        <w:t xml:space="preserve"> In Gernsbacher MA, Pew RW, Hough LM, Pomerantz JR (a cura di), Psychology and the real world: Essays illustrating fundamental contributions to society, pp. 56–64. Worth Publishers. </w:t>
      </w:r>
      <w:hyperlink r:id="rId15">
        <w:r>
          <w:rPr>
            <w:color w:val="000000"/>
            <w:u w:val="single"/>
          </w:rPr>
          <w:t>Testo degli autori</w:t>
        </w:r>
      </w:hyperlink>
      <w:r>
        <w:rPr>
          <w:sz w:val="20"/>
        </w:rPr>
        <w:t>. T. Consultati i passaggi sulla distinzione apprendimento/prestazione e sui costrutti teorici di storage e retrieval strength; non una misura neuroscientifica diretta.</w:t>
      </w:r>
    </w:p>
    <w:p>
      <w:pPr>
        <w:keepLines/>
        <w:spacing w:after="180"/>
      </w:pPr>
      <w:r>
        <w:rPr>
          <w:sz w:val="20"/>
        </w:rPr>
        <w:t xml:space="preserve">[6] Rozenblit L, Keil F (2002). </w:t>
      </w:r>
      <w:r>
        <w:rPr>
          <w:i/>
          <w:sz w:val="20"/>
        </w:rPr>
        <w:t>The misunderstood limits of folk science: an illusion of explanatory depth.</w:t>
      </w:r>
      <w:r>
        <w:rPr>
          <w:sz w:val="20"/>
        </w:rPr>
        <w:t xml:space="preserve"> Cognitive Science, 26(5), 521–562. </w:t>
      </w:r>
      <w:hyperlink r:id="rId16">
        <w:r>
          <w:rPr>
            <w:color w:val="000000"/>
            <w:u w:val="single"/>
          </w:rPr>
          <w:t>doi: 10.1207/s15516709cog2605_1</w:t>
        </w:r>
      </w:hyperlink>
      <w:r>
        <w:rPr>
          <w:sz w:val="20"/>
        </w:rPr>
        <w:t>. T. Consultati abstract e passaggi pertinenti dell’introduzione. Non validazione del test del bambino di sei anni.</w:t>
      </w:r>
    </w:p>
    <w:p>
      <w:pPr>
        <w:keepLines/>
        <w:spacing w:after="180"/>
      </w:pPr>
      <w:r>
        <w:rPr>
          <w:sz w:val="20"/>
        </w:rPr>
        <w:t xml:space="preserve">[7] Alfieri L, Brooks PJ, Aldrich NJ, Tenenbaum HR (2011). </w:t>
      </w:r>
      <w:r>
        <w:rPr>
          <w:i/>
          <w:sz w:val="20"/>
        </w:rPr>
        <w:t>Does Discovery-Based Instruction Enhance Learning?</w:t>
      </w:r>
      <w:r>
        <w:rPr>
          <w:sz w:val="20"/>
        </w:rPr>
        <w:t xml:space="preserve"> Journal of Educational Psychology, 103, 1–18. </w:t>
      </w:r>
      <w:hyperlink r:id="rId17">
        <w:r>
          <w:rPr>
            <w:color w:val="000000"/>
            <w:u w:val="single"/>
          </w:rPr>
          <w:t>doi: 10.1037/a0021017</w:t>
        </w:r>
      </w:hyperlink>
      <w:r>
        <w:rPr>
          <w:sz w:val="20"/>
        </w:rPr>
        <w:t>. A e testo dell’abstract degli autori. Distingue scoperta senza guida e scoperta assistita.</w:t>
      </w:r>
    </w:p>
    <w:p>
      <w:pPr>
        <w:keepLines/>
        <w:spacing w:after="180"/>
      </w:pPr>
      <w:r>
        <w:rPr>
          <w:sz w:val="20"/>
        </w:rPr>
        <w:t xml:space="preserve">[8] Lally P, van Jaarsveld CHM, Potts HWW, Wardle J (2010). </w:t>
      </w:r>
      <w:r>
        <w:rPr>
          <w:i/>
          <w:sz w:val="20"/>
        </w:rPr>
        <w:t>How are habits formed: Modelling habit formation in the real world.</w:t>
      </w:r>
      <w:r>
        <w:rPr>
          <w:sz w:val="20"/>
        </w:rPr>
        <w:t xml:space="preserve"> European Journal of Social Psychology, 40, 998–1009. </w:t>
      </w:r>
      <w:hyperlink r:id="rId18">
        <w:r>
          <w:rPr>
            <w:color w:val="000000"/>
            <w:u w:val="single"/>
          </w:rPr>
          <w:t>doi: 10.1002/ejsp.674</w:t>
        </w:r>
      </w:hyperlink>
      <w:r>
        <w:rPr>
          <w:sz w:val="20"/>
        </w:rPr>
        <w:t>. A. Studio di abitudini quotidiane, non di comprensione automatica di manuali; elevata variabilità tra individui.</w:t>
      </w:r>
    </w:p>
    <w:p>
      <w:pPr>
        <w:keepLines/>
        <w:spacing w:after="180"/>
      </w:pPr>
      <w:r>
        <w:rPr>
          <w:sz w:val="20"/>
        </w:rPr>
        <w:t xml:space="preserve">[9] Deci EL, Koestner R, Ryan RM (1999). </w:t>
      </w:r>
      <w:r>
        <w:rPr>
          <w:i/>
          <w:sz w:val="20"/>
        </w:rPr>
        <w:t>A meta-analytic review of experiments examining the effects of extrinsic rewards on intrinsic motivation.</w:t>
      </w:r>
      <w:r>
        <w:rPr>
          <w:sz w:val="20"/>
        </w:rPr>
        <w:t xml:space="preserve"> Psychological Bulletin, 125, 627–668. </w:t>
      </w:r>
      <w:hyperlink r:id="rId19">
        <w:r>
          <w:rPr>
            <w:color w:val="000000"/>
            <w:u w:val="single"/>
          </w:rPr>
          <w:t>doi: 10.1037/0033-2909.125.6.627</w:t>
        </w:r>
      </w:hyperlink>
      <w:r>
        <w:rPr>
          <w:sz w:val="20"/>
        </w:rPr>
        <w:t>. A. Effetti dipendenti da tipo e contingenza della ricompensa; non dimostra che ogni premio sia dannoso.</w:t>
      </w:r>
    </w:p>
    <w:p>
      <w:pPr>
        <w:keepLines/>
        <w:spacing w:after="180"/>
      </w:pPr>
      <w:r>
        <w:rPr>
          <w:sz w:val="20"/>
        </w:rPr>
        <w:t xml:space="preserve">[10] Skinner BF (1954). </w:t>
      </w:r>
      <w:r>
        <w:rPr>
          <w:i/>
          <w:sz w:val="20"/>
        </w:rPr>
        <w:t>The Science of Learning and the Art of Teaching.</w:t>
      </w:r>
      <w:r>
        <w:rPr>
          <w:sz w:val="20"/>
        </w:rPr>
        <w:t xml:space="preserve"> Harvard Educational Review, 24, 86–97. F con estratto del testo. </w:t>
      </w:r>
      <w:hyperlink r:id="rId20">
        <w:r>
          <w:rPr>
            <w:color w:val="000000"/>
            <w:u w:val="single"/>
          </w:rPr>
          <w:t>Bibliografia della B F Skinner Foundation</w:t>
        </w:r>
      </w:hyperlink>
      <w:r>
        <w:rPr>
          <w:sz w:val="20"/>
        </w:rPr>
        <w:t>. Riferimento storico per la risposta attiva e l’insegnamento programmato.</w:t>
      </w:r>
    </w:p>
    <w:p>
      <w:pPr>
        <w:keepLines/>
        <w:spacing w:after="180"/>
      </w:pPr>
      <w:r>
        <w:rPr>
          <w:sz w:val="20"/>
        </w:rPr>
        <w:t xml:space="preserve">[11] Bisra K, Liu Q, Nesbit JC, Salimi F, Winne PH (2018). </w:t>
      </w:r>
      <w:r>
        <w:rPr>
          <w:i/>
          <w:sz w:val="20"/>
        </w:rPr>
        <w:t>Inducing Self-Explanation: a Meta-Analysis.</w:t>
      </w:r>
      <w:r>
        <w:rPr>
          <w:sz w:val="20"/>
        </w:rPr>
        <w:t xml:space="preserve"> Educational Psychology Review, 30, 703–725. </w:t>
      </w:r>
      <w:hyperlink r:id="rId21">
        <w:r>
          <w:rPr>
            <w:color w:val="000000"/>
            <w:u w:val="single"/>
          </w:rPr>
          <w:t>doi: 10.1007/s10648-018-9434-x</w:t>
        </w:r>
      </w:hyperlink>
      <w:r>
        <w:rPr>
          <w:sz w:val="20"/>
        </w:rPr>
        <w:t>. A. Supporta l’auto-spiegazione sollecitata, non ogni versione della tecnica di Feynman.</w:t>
      </w:r>
    </w:p>
    <w:p>
      <w:pPr>
        <w:keepLines/>
        <w:spacing w:after="180"/>
      </w:pPr>
      <w:r>
        <w:rPr>
          <w:sz w:val="20"/>
        </w:rPr>
        <w:t xml:space="preserve">[12] Pashler H, McDaniel M, Rohrer D, Bjork R (2008). </w:t>
      </w:r>
      <w:r>
        <w:rPr>
          <w:i/>
          <w:sz w:val="20"/>
        </w:rPr>
        <w:t>Learning Styles: Concepts and Evidence.</w:t>
      </w:r>
      <w:r>
        <w:rPr>
          <w:sz w:val="20"/>
        </w:rPr>
        <w:t xml:space="preserve"> Psychological Science in the Public Interest, 9, 105–119. </w:t>
      </w:r>
      <w:hyperlink r:id="rId22">
        <w:r>
          <w:rPr>
            <w:color w:val="000000"/>
            <w:u w:val="single"/>
          </w:rPr>
          <w:t>doi: 10.1111/j.1539-6053.2009.01038.x</w:t>
        </w:r>
      </w:hyperlink>
      <w:r>
        <w:rPr>
          <w:sz w:val="20"/>
        </w:rPr>
        <w:t>. A e conclusioni disponibili. Distingue preferenze e abilità dalla validazione di un insegnamento abbinato a stili diagnostici.</w:t>
      </w:r>
    </w:p>
    <w:p>
      <w:pPr>
        <w:keepLines/>
        <w:spacing w:after="180"/>
      </w:pPr>
      <w:r>
        <w:rPr>
          <w:sz w:val="20"/>
        </w:rPr>
        <w:t xml:space="preserve">[13] Rayner K, Schotter ER, Masson MEJ, Potter MC, Treiman R (2016). </w:t>
      </w:r>
      <w:r>
        <w:rPr>
          <w:i/>
          <w:sz w:val="20"/>
        </w:rPr>
        <w:t>So Much to Read, So Little Time: How Do We Read, and Can Speed Reading Help?</w:t>
      </w:r>
      <w:r>
        <w:rPr>
          <w:sz w:val="20"/>
        </w:rPr>
        <w:t xml:space="preserve"> Psychological Science in the Public Interest, 17, 4–34. </w:t>
      </w:r>
      <w:hyperlink r:id="rId23">
        <w:r>
          <w:rPr>
            <w:color w:val="000000"/>
            <w:u w:val="single"/>
          </w:rPr>
          <w:t>doi: 10.1177/1529100615623267</w:t>
        </w:r>
      </w:hyperlink>
      <w:r>
        <w:rPr>
          <w:sz w:val="20"/>
        </w:rPr>
        <w:t>. T. Compromesso velocità-comprensione e limiti delle promesse estreme.</w:t>
      </w:r>
    </w:p>
    <w:p>
      <w:pPr>
        <w:keepLines/>
        <w:spacing w:after="180"/>
      </w:pPr>
      <w:r>
        <w:rPr>
          <w:sz w:val="20"/>
        </w:rPr>
        <w:t xml:space="preserve">[14] Carver RP (1972). </w:t>
      </w:r>
      <w:r>
        <w:rPr>
          <w:i/>
          <w:sz w:val="20"/>
        </w:rPr>
        <w:t>Speed readers don’t read; they skim.</w:t>
      </w:r>
      <w:r>
        <w:rPr>
          <w:sz w:val="20"/>
        </w:rPr>
        <w:t xml:space="preserve"> Psychology Today, 6, 22–30, agosto. F. Identificazione bibliografica tramite un successivo lavoro di Carver e la bibliografia di Leggere per sapere; articolo originale non consultato integralmente. </w:t>
      </w:r>
      <w:hyperlink r:id="rId24">
        <w:r>
          <w:rPr>
            <w:color w:val="000000"/>
            <w:u w:val="single"/>
          </w:rPr>
          <w:t>Riferimento bibliografico nel lavoro successivo</w:t>
        </w:r>
      </w:hyperlink>
      <w:r>
        <w:rPr>
          <w:sz w:val="20"/>
        </w:rPr>
        <w:t>. È un riferimento storico divulgativo, distinto dalla revisione scientifica moderna sulla lettura.</w:t>
      </w:r>
    </w:p>
    <w:p>
      <w:pPr>
        <w:keepLines/>
        <w:spacing w:after="180"/>
      </w:pPr>
      <w:r>
        <w:rPr>
          <w:sz w:val="20"/>
        </w:rPr>
        <w:t xml:space="preserve">[15] Carlston DL (2011). </w:t>
      </w:r>
      <w:r>
        <w:rPr>
          <w:i/>
          <w:sz w:val="20"/>
        </w:rPr>
        <w:t>Benefits of Student-Generated Note Packets: A Preliminary Investigation of SQ3R Implementation.</w:t>
      </w:r>
      <w:r>
        <w:rPr>
          <w:sz w:val="20"/>
        </w:rPr>
        <w:t xml:space="preserve"> Teaching of Psychology, 38, 142–146. </w:t>
      </w:r>
      <w:hyperlink r:id="rId25">
        <w:r>
          <w:rPr>
            <w:color w:val="000000"/>
            <w:u w:val="single"/>
          </w:rPr>
          <w:t>doi: 10.1177/0098628311411786</w:t>
        </w:r>
      </w:hyperlink>
      <w:r>
        <w:rPr>
          <w:sz w:val="20"/>
        </w:rPr>
        <w:t>. A. Evidenze preliminari favorevoli, non esclusività scientifica di SQ3R.</w:t>
      </w:r>
    </w:p>
    <w:p>
      <w:pPr>
        <w:keepLines/>
        <w:spacing w:after="180"/>
      </w:pPr>
      <w:r>
        <w:rPr>
          <w:sz w:val="20"/>
        </w:rPr>
        <w:t xml:space="preserve">[16] Yang C, Luo L, Vadillo MA, Yu R, Shanks DR (2021). </w:t>
      </w:r>
      <w:r>
        <w:rPr>
          <w:i/>
          <w:sz w:val="20"/>
        </w:rPr>
        <w:t>Testing (quizzing) boosts classroom learning: A systematic and meta-analytic review.</w:t>
      </w:r>
      <w:r>
        <w:rPr>
          <w:sz w:val="20"/>
        </w:rPr>
        <w:t xml:space="preserve"> Psychological Bulletin, 147(4), 399–435. </w:t>
      </w:r>
      <w:hyperlink r:id="rId26">
        <w:r>
          <w:rPr>
            <w:color w:val="000000"/>
            <w:u w:val="single"/>
          </w:rPr>
          <w:t>doi: 10.1037/bul0000309</w:t>
        </w:r>
      </w:hyperlink>
      <w:r>
        <w:rPr>
          <w:sz w:val="20"/>
        </w:rPr>
        <w:t>. A. Meta-analisi di 222 studi didattici; effetti moderati da caratteristiche del confronto, feedback e procedure. Non valida ogni sessione di recupero proposta qui.</w:t>
      </w:r>
    </w:p>
    <w:p>
      <w:pPr>
        <w:keepLines/>
        <w:spacing w:after="180"/>
      </w:pPr>
      <w:r>
        <w:rPr>
          <w:sz w:val="20"/>
        </w:rPr>
        <w:t xml:space="preserve">[17] Butler AC, Roediger HL III (2008). </w:t>
      </w:r>
      <w:r>
        <w:rPr>
          <w:i/>
          <w:sz w:val="20"/>
        </w:rPr>
        <w:t>Feedback enhances the positive effects and reduces the negative effects of multiple-choice testing.</w:t>
      </w:r>
      <w:r>
        <w:rPr>
          <w:sz w:val="20"/>
        </w:rPr>
        <w:t xml:space="preserve"> Memory &amp; Cognition, 36(3), 604–616. </w:t>
      </w:r>
      <w:hyperlink r:id="rId27">
        <w:r>
          <w:rPr>
            <w:color w:val="000000"/>
            <w:u w:val="single"/>
          </w:rPr>
          <w:t>doi: 10.3758/MC.36.3.604</w:t>
        </w:r>
      </w:hyperlink>
      <w:r>
        <w:rPr>
          <w:sz w:val="20"/>
        </w:rPr>
        <w:t>. A. Feedback immediato e differito confrontati con nessun feedback; benefici su risposte corrette e intrusioni dei distrattori al test successivo.</w:t>
      </w:r>
    </w:p>
    <w:p>
      <w:pPr>
        <w:keepLines/>
        <w:spacing w:after="180"/>
      </w:pPr>
      <w:r>
        <w:rPr>
          <w:sz w:val="20"/>
        </w:rPr>
        <w:t xml:space="preserve">[18] Pyc MA, Rawson KA (2009). </w:t>
      </w:r>
      <w:r>
        <w:rPr>
          <w:i/>
          <w:sz w:val="20"/>
        </w:rPr>
        <w:t>Testing the retrieval effort hypothesis: Does greater difficulty correctly recalling information lead to higher levels of memory?</w:t>
      </w:r>
      <w:r>
        <w:rPr>
          <w:sz w:val="20"/>
        </w:rPr>
        <w:t xml:space="preserve"> Journal of Memory and Language, 60(4), 437–447. </w:t>
      </w:r>
      <w:hyperlink r:id="rId28">
        <w:r>
          <w:rPr>
            <w:color w:val="000000"/>
            <w:u w:val="single"/>
          </w:rPr>
          <w:t>doi: 10.1016/j.jml.2009.01.004</w:t>
        </w:r>
      </w:hyperlink>
      <w:r>
        <w:rPr>
          <w:sz w:val="20"/>
        </w:rPr>
        <w:t>. A con estratti disponibili. Due esperimenti sul recupero riuscito; nessuna regola universale secondo cui ogni aumento di sforzo migliori l’apprendimento.</w:t>
      </w:r>
    </w:p>
    <w:p>
      <w:pPr>
        <w:keepLines/>
        <w:spacing w:after="180"/>
      </w:pPr>
      <w:r>
        <w:rPr>
          <w:sz w:val="20"/>
        </w:rPr>
        <w:t xml:space="preserve">[19] Kornell N, Hays MJ, Bjork RA (2009). </w:t>
      </w:r>
      <w:r>
        <w:rPr>
          <w:i/>
          <w:sz w:val="20"/>
        </w:rPr>
        <w:t>Unsuccessful retrieval attempts enhance subsequent learning.</w:t>
      </w:r>
      <w:r>
        <w:rPr>
          <w:sz w:val="20"/>
        </w:rPr>
        <w:t xml:space="preserve"> Journal of Experimental Psychology: Learning, Memory, and Cognition, 35(4), 989–998. </w:t>
      </w:r>
      <w:hyperlink r:id="rId29">
        <w:r>
          <w:rPr>
            <w:color w:val="000000"/>
            <w:u w:val="single"/>
          </w:rPr>
          <w:t>doi: 10.1037/a0015729</w:t>
        </w:r>
      </w:hyperlink>
      <w:r>
        <w:rPr>
          <w:sz w:val="20"/>
        </w:rPr>
        <w:t>. A. Esperimenti con domande e associazioni verbali seguite dalla risposta; il risultato non implica che lasciare senza correzione errori disciplinari sia utile.</w:t>
      </w:r>
    </w:p>
    <w:p>
      <w:pPr>
        <w:keepLines/>
        <w:spacing w:after="180"/>
      </w:pPr>
      <w:r>
        <w:rPr>
          <w:sz w:val="20"/>
        </w:rPr>
        <w:t xml:space="preserve">[20] Cepeda NJ, Vul E, Rohrer D, Wixted JT, Pashler H (2008). </w:t>
      </w:r>
      <w:r>
        <w:rPr>
          <w:i/>
          <w:sz w:val="20"/>
        </w:rPr>
        <w:t>Spacing effects in learning: A temporal ridgeline of optimal retention.</w:t>
      </w:r>
      <w:r>
        <w:rPr>
          <w:sz w:val="20"/>
        </w:rPr>
        <w:t xml:space="preserve"> Psychological Science, 19(11), 1095–1102. </w:t>
      </w:r>
      <w:hyperlink r:id="rId30">
        <w:r>
          <w:rPr>
            <w:color w:val="000000"/>
            <w:u w:val="single"/>
          </w:rPr>
          <w:t>doi: 10.1111/j.1467-9280.2008.02209.x</w:t>
        </w:r>
      </w:hyperlink>
      <w:r>
        <w:rPr>
          <w:sz w:val="20"/>
        </w:rPr>
        <w:t>. A con estratti del testo disponibili. Proporzioni ottimali dipendenti dal ritardo del test; non validazione del calendario multiripasso proposto nella guida.</w:t>
      </w:r>
    </w:p>
    <w:p>
      <w:pPr>
        <w:keepLines/>
        <w:spacing w:after="180"/>
      </w:pPr>
      <w:r>
        <w:rPr>
          <w:sz w:val="20"/>
        </w:rPr>
        <w:t xml:space="preserve">[21] Murre JMJ, Dros J (2015). </w:t>
      </w:r>
      <w:r>
        <w:rPr>
          <w:i/>
          <w:sz w:val="20"/>
        </w:rPr>
        <w:t>Replication and Analysis of Ebbinghaus’ Forgetting Curve.</w:t>
      </w:r>
      <w:r>
        <w:rPr>
          <w:sz w:val="20"/>
        </w:rPr>
        <w:t xml:space="preserve"> PLOS ONE, 10, e0120644. </w:t>
      </w:r>
      <w:hyperlink r:id="rId31">
        <w:r>
          <w:rPr>
            <w:color w:val="000000"/>
            <w:u w:val="single"/>
          </w:rPr>
          <w:t>doi: 10.1371/journal.pone.0120644</w:t>
        </w:r>
      </w:hyperlink>
      <w:r>
        <w:rPr>
          <w:sz w:val="20"/>
        </w:rPr>
        <w:t>. T. Replica con metodo del risparmio e un partecipante; non percentuale universale di conoscenza accademica cancellata.</w:t>
      </w:r>
    </w:p>
    <w:p>
      <w:pPr>
        <w:keepLines/>
        <w:spacing w:after="180"/>
      </w:pPr>
      <w:r>
        <w:rPr>
          <w:sz w:val="20"/>
        </w:rPr>
        <w:t xml:space="preserve">[22] Nesbit JC, Adesope OO (2006). </w:t>
      </w:r>
      <w:r>
        <w:rPr>
          <w:i/>
          <w:sz w:val="20"/>
        </w:rPr>
        <w:t>Learning With Concept and Knowledge Maps: A Meta-Analysis.</w:t>
      </w:r>
      <w:r>
        <w:rPr>
          <w:sz w:val="20"/>
        </w:rPr>
        <w:t xml:space="preserve"> Review of Educational Research, 76, 413–448. </w:t>
      </w:r>
      <w:hyperlink r:id="rId32">
        <w:r>
          <w:rPr>
            <w:color w:val="000000"/>
            <w:u w:val="single"/>
          </w:rPr>
          <w:t>doi: 10.3102/00346543076003413</w:t>
        </w:r>
      </w:hyperlink>
      <w:r>
        <w:rPr>
          <w:sz w:val="20"/>
        </w:rPr>
        <w:t>. A. Benefici e ampia eterogeneità secondo condizioni e confronti.</w:t>
      </w:r>
    </w:p>
    <w:p>
      <w:pPr>
        <w:keepLines/>
        <w:spacing w:after="180"/>
      </w:pPr>
      <w:r>
        <w:rPr>
          <w:sz w:val="20"/>
        </w:rPr>
        <w:t xml:space="preserve">[23] Brunmair M, Richter T (2019). </w:t>
      </w:r>
      <w:r>
        <w:rPr>
          <w:i/>
          <w:sz w:val="20"/>
        </w:rPr>
        <w:t>Similarity matters: A meta-analysis of interleaved learning and its moderators.</w:t>
      </w:r>
      <w:r>
        <w:rPr>
          <w:sz w:val="20"/>
        </w:rPr>
        <w:t xml:space="preserve"> Psychological Bulletin, 145, 1029–1052. </w:t>
      </w:r>
      <w:hyperlink r:id="rId33">
        <w:r>
          <w:rPr>
            <w:color w:val="000000"/>
            <w:u w:val="single"/>
          </w:rPr>
          <w:t>doi: 10.1037/bul0000209</w:t>
        </w:r>
      </w:hyperlink>
      <w:r>
        <w:rPr>
          <w:sz w:val="20"/>
        </w:rPr>
        <w:t>. A. Pratica intercalata con moderatori legati ai materiali e alle condizioni, non multitasking digitale.</w:t>
      </w:r>
    </w:p>
    <w:p>
      <w:pPr>
        <w:keepLines/>
        <w:spacing w:after="180"/>
      </w:pPr>
      <w:r>
        <w:rPr>
          <w:sz w:val="20"/>
        </w:rPr>
        <w:t xml:space="preserve">[24] Mayer RE (2017). </w:t>
      </w:r>
      <w:r>
        <w:rPr>
          <w:i/>
          <w:sz w:val="20"/>
        </w:rPr>
        <w:t>Using multimedia for e-learning.</w:t>
      </w:r>
      <w:r>
        <w:rPr>
          <w:sz w:val="20"/>
        </w:rPr>
        <w:t xml:space="preserve"> Journal of Computer Assisted Learning, 33(5), 403–423. </w:t>
      </w:r>
      <w:hyperlink r:id="rId34">
        <w:r>
          <w:rPr>
            <w:color w:val="000000"/>
            <w:u w:val="single"/>
          </w:rPr>
          <w:t>doi: 10.1111/jcal.12197</w:t>
        </w:r>
      </w:hyperlink>
      <w:r>
        <w:rPr>
          <w:sz w:val="20"/>
        </w:rPr>
        <w:t>. A con sintesi dell’autore disponibile. Principi per materiali multimediali con condizioni di applicazione; le attività autonome della guida sono adattamenti didattici.</w:t>
      </w:r>
    </w:p>
    <w:p>
      <w:pPr>
        <w:keepLines/>
        <w:spacing w:after="180"/>
      </w:pPr>
      <w:r>
        <w:rPr>
          <w:sz w:val="20"/>
        </w:rPr>
        <w:t xml:space="preserve">[25] Aeon B, Faber A, Panaccio A (2021). </w:t>
      </w:r>
      <w:r>
        <w:rPr>
          <w:i/>
          <w:sz w:val="20"/>
        </w:rPr>
        <w:t>Does time management work? A meta-analysis.</w:t>
      </w:r>
      <w:r>
        <w:rPr>
          <w:sz w:val="20"/>
        </w:rPr>
        <w:t xml:space="preserve"> PLOS ONE, 16, e0245066. </w:t>
      </w:r>
      <w:hyperlink r:id="rId35">
        <w:r>
          <w:rPr>
            <w:color w:val="000000"/>
            <w:u w:val="single"/>
          </w:rPr>
          <w:t>doi: 10.1371/journal.pone.0245066</w:t>
        </w:r>
      </w:hyperlink>
      <w:r>
        <w:rPr>
          <w:sz w:val="20"/>
        </w:rPr>
        <w:t>. A con estratti introduttivi. Associazioni tra gestione del tempo, performance e benessere; cautela sulle inferenze causali.</w:t>
      </w:r>
    </w:p>
    <w:p>
      <w:pPr>
        <w:keepLines/>
        <w:spacing w:after="180"/>
      </w:pPr>
      <w:r>
        <w:rPr>
          <w:sz w:val="20"/>
        </w:rPr>
        <w:t xml:space="preserve">[26] de Jong T (2010). </w:t>
      </w:r>
      <w:r>
        <w:rPr>
          <w:i/>
          <w:sz w:val="20"/>
        </w:rPr>
        <w:t>Cognitive load theory, educational research, and instructional design: some food for thought.</w:t>
      </w:r>
      <w:r>
        <w:rPr>
          <w:sz w:val="20"/>
        </w:rPr>
        <w:t xml:space="preserve"> Instructional Science, 38, 105–134. </w:t>
      </w:r>
      <w:hyperlink r:id="rId36">
        <w:r>
          <w:rPr>
            <w:color w:val="000000"/>
            <w:u w:val="single"/>
          </w:rPr>
          <w:t>doi: 10.1007/s11251-009-9110-0</w:t>
        </w:r>
      </w:hyperlink>
      <w:r>
        <w:rPr>
          <w:sz w:val="20"/>
        </w:rPr>
        <w:t>. A. Limiti della memoria di lavoro e problemi di definizione e applicazione della teoria.</w:t>
      </w:r>
    </w:p>
    <w:p>
      <w:pPr>
        <w:keepLines/>
        <w:spacing w:after="180"/>
      </w:pPr>
      <w:r>
        <w:rPr>
          <w:sz w:val="20"/>
        </w:rPr>
        <w:t xml:space="preserve">[27] Kalyuga S, Ayres P, Chandler P, Sweller J (2003). </w:t>
      </w:r>
      <w:r>
        <w:rPr>
          <w:i/>
          <w:sz w:val="20"/>
        </w:rPr>
        <w:t>The expertise reversal effect.</w:t>
      </w:r>
      <w:r>
        <w:rPr>
          <w:sz w:val="20"/>
        </w:rPr>
        <w:t xml:space="preserve"> Educational Psychologist, 38(1), 23–31. </w:t>
      </w:r>
      <w:hyperlink r:id="rId37">
        <w:r>
          <w:rPr>
            <w:color w:val="000000"/>
            <w:u w:val="single"/>
          </w:rPr>
          <w:t>doi: 10.1207/S15326985EP3801_4</w:t>
        </w:r>
      </w:hyperlink>
      <w:r>
        <w:rPr>
          <w:sz w:val="20"/>
        </w:rPr>
        <w:t>. A. Rassegna sull’interazione fra competenza e utilità degli aiuti; non prescrive di eliminare tutti gli esempi svolti appena aumenta l’esperienza.</w:t>
      </w:r>
    </w:p>
    <w:p>
      <w:pPr>
        <w:keepLines/>
        <w:spacing w:after="180"/>
      </w:pPr>
      <w:r>
        <w:rPr>
          <w:sz w:val="20"/>
        </w:rPr>
        <w:t xml:space="preserve">[28] Locke EA, Latham GP (2002). </w:t>
      </w:r>
      <w:r>
        <w:rPr>
          <w:i/>
          <w:sz w:val="20"/>
        </w:rPr>
        <w:t>Building a Practically Useful Theory of Goal Setting and Task Motivation: A 35-Year Odyssey.</w:t>
      </w:r>
      <w:r>
        <w:rPr>
          <w:sz w:val="20"/>
        </w:rPr>
        <w:t xml:space="preserve"> American Psychologist, 57, 705–717. </w:t>
      </w:r>
      <w:hyperlink r:id="rId38">
        <w:r>
          <w:rPr>
            <w:color w:val="000000"/>
            <w:u w:val="single"/>
          </w:rPr>
          <w:t>doi: 10.1037/0003-066X.57.9.705</w:t>
        </w:r>
      </w:hyperlink>
      <w:r>
        <w:rPr>
          <w:sz w:val="20"/>
        </w:rPr>
        <w:t>. A. Teoria del goal setting con condizioni e moderatori, non validazione di SMART come protocollo infallibile.</w:t>
      </w:r>
    </w:p>
    <w:p>
      <w:pPr>
        <w:keepLines/>
        <w:spacing w:after="180"/>
      </w:pPr>
      <w:r>
        <w:rPr>
          <w:sz w:val="20"/>
        </w:rPr>
        <w:t xml:space="preserve">[29] Swann C e colleghi (2023; pubblicazione online 2022). </w:t>
      </w:r>
      <w:r>
        <w:rPr>
          <w:i/>
          <w:sz w:val="20"/>
        </w:rPr>
        <w:t>The (over)use of SMART goals for physical activity promotion: A narrative review and critique.</w:t>
      </w:r>
      <w:r>
        <w:rPr>
          <w:sz w:val="20"/>
        </w:rPr>
        <w:t xml:space="preserve"> Health Psychology Review, 17, 211–226. </w:t>
      </w:r>
      <w:hyperlink r:id="rId39">
        <w:r>
          <w:rPr>
            <w:color w:val="000000"/>
            <w:u w:val="single"/>
          </w:rPr>
          <w:t>doi: 10.1080/17437199.2021.2023608</w:t>
        </w:r>
      </w:hyperlink>
      <w:r>
        <w:rPr>
          <w:sz w:val="20"/>
        </w:rPr>
        <w:t>. A e identificazione editoriale. Critica riferita all’attività fisica; non una prova sperimentale diretta sullo studio universitario.</w:t>
      </w:r>
    </w:p>
    <w:p>
      <w:pPr>
        <w:keepLines/>
        <w:spacing w:after="180"/>
      </w:pPr>
      <w:r>
        <w:rPr>
          <w:sz w:val="20"/>
        </w:rPr>
        <w:t xml:space="preserve">[30] Bryan JF, Locke EA (1967). </w:t>
      </w:r>
      <w:r>
        <w:rPr>
          <w:i/>
          <w:sz w:val="20"/>
        </w:rPr>
        <w:t>Parkinson’s Law as a goal-setting phenomenon.</w:t>
      </w:r>
      <w:r>
        <w:rPr>
          <w:sz w:val="20"/>
        </w:rPr>
        <w:t xml:space="preserve"> Organizational Behavior and Human Performance, 2(3), 258–275. </w:t>
      </w:r>
      <w:hyperlink r:id="rId40">
        <w:r>
          <w:rPr>
            <w:color w:val="000000"/>
            <w:u w:val="single"/>
          </w:rPr>
          <w:t>doi: 10.1016/0030-5073(67)90021-9</w:t>
        </w:r>
      </w:hyperlink>
      <w:r>
        <w:rPr>
          <w:sz w:val="20"/>
        </w:rPr>
        <w:t>. A. Due esperimenti su compiti di addizione; non dimostrazione di una legge universale per lo studio universitario.</w:t>
      </w:r>
    </w:p>
    <w:p>
      <w:pPr>
        <w:keepLines/>
        <w:spacing w:after="180"/>
      </w:pPr>
      <w:r>
        <w:rPr>
          <w:sz w:val="20"/>
        </w:rPr>
        <w:t xml:space="preserve">[31] Macnamara BN, Burgoyne AP (2023). </w:t>
      </w:r>
      <w:r>
        <w:rPr>
          <w:i/>
          <w:sz w:val="20"/>
        </w:rPr>
        <w:t>Do growth mindset interventions impact students’ academic achievement? A systematic review and meta-analysis with recommendations for best practices.</w:t>
      </w:r>
      <w:r>
        <w:rPr>
          <w:sz w:val="20"/>
        </w:rPr>
        <w:t xml:space="preserve"> Psychological Bulletin, 149, 133–173. </w:t>
      </w:r>
      <w:hyperlink r:id="rId41">
        <w:r>
          <w:rPr>
            <w:color w:val="000000"/>
            <w:u w:val="single"/>
          </w:rPr>
          <w:t>doi: 10.1037/bul0000352</w:t>
        </w:r>
      </w:hyperlink>
      <w:r>
        <w:rPr>
          <w:sz w:val="20"/>
        </w:rPr>
        <w:t>. A. Effetti medi molto piccoli e problemi di bias; particolare cautela nelle rivendicazioni causali.</w:t>
      </w:r>
    </w:p>
    <w:p>
      <w:pPr>
        <w:keepLines/>
        <w:spacing w:after="180"/>
      </w:pPr>
      <w:r>
        <w:rPr>
          <w:sz w:val="20"/>
        </w:rPr>
        <w:t xml:space="preserve">[32] Burnette JL e colleghi (2023). </w:t>
      </w:r>
      <w:r>
        <w:rPr>
          <w:i/>
          <w:sz w:val="20"/>
        </w:rPr>
        <w:t>A systematic review and meta-analysis of growth mindset interventions: For whom, how, and why might such interventions work?</w:t>
      </w:r>
      <w:r>
        <w:rPr>
          <w:sz w:val="20"/>
        </w:rPr>
        <w:t xml:space="preserve"> Psychological Bulletin, 149, 174–205. </w:t>
      </w:r>
      <w:hyperlink r:id="rId42">
        <w:r>
          <w:rPr>
            <w:color w:val="000000"/>
            <w:u w:val="single"/>
          </w:rPr>
          <w:t>doi: 10.1037/bul0000368</w:t>
        </w:r>
      </w:hyperlink>
      <w:r>
        <w:rPr>
          <w:sz w:val="20"/>
        </w:rPr>
        <w:t>. A. Risultati più favorevoli in condizioni e gruppi mirati, con eterogeneità; lettura congiunta con il riferimento [31].</w:t>
      </w:r>
    </w:p>
    <w:p>
      <w:pPr>
        <w:keepLines/>
        <w:spacing w:after="180"/>
      </w:pPr>
      <w:r>
        <w:rPr>
          <w:sz w:val="20"/>
        </w:rPr>
        <w:t xml:space="preserve">[33] Parry DA (2024; pubblicazione online 2023). </w:t>
      </w:r>
      <w:r>
        <w:rPr>
          <w:i/>
          <w:sz w:val="20"/>
        </w:rPr>
        <w:t>Does the Mere Presence of a Smartphone Impact Cognitive Performance? A Meta-Analysis of the “Brain Drain Effect”.</w:t>
      </w:r>
      <w:r>
        <w:rPr>
          <w:sz w:val="20"/>
        </w:rPr>
        <w:t xml:space="preserve"> Media Psychology, 27, 737–762. </w:t>
      </w:r>
      <w:hyperlink r:id="rId43">
        <w:r>
          <w:rPr>
            <w:color w:val="000000"/>
            <w:u w:val="single"/>
          </w:rPr>
          <w:t>doi: 10.1080/15213269.2023.2286647</w:t>
        </w:r>
      </w:hyperlink>
      <w:r>
        <w:rPr>
          <w:sz w:val="20"/>
        </w:rPr>
        <w:t>. A. Sei meta-analisi, eterogeneità e limiti di potenza; mera presenza distinta da uso e notifiche.</w:t>
      </w:r>
    </w:p>
    <w:p>
      <w:pPr>
        <w:keepLines/>
        <w:spacing w:after="180"/>
      </w:pPr>
      <w:r>
        <w:rPr>
          <w:sz w:val="20"/>
        </w:rPr>
        <w:t xml:space="preserve">[34] Nigg JT e colleghi (2024). </w:t>
      </w:r>
      <w:r>
        <w:rPr>
          <w:i/>
          <w:sz w:val="20"/>
        </w:rPr>
        <w:t>Systematic Review and Meta-Analysis: Do White Noise or Pink Noise Help With Task Performance in Youth With Attention-Deficit/Hyperactivity Disorder or With Elevated Attention Problems?</w:t>
      </w:r>
      <w:r>
        <w:rPr>
          <w:sz w:val="20"/>
        </w:rPr>
        <w:t xml:space="preserve"> Journal of the American Academy of Child &amp; Adolescent Psychiatry, 63, 778–788. </w:t>
      </w:r>
      <w:hyperlink r:id="rId44">
        <w:r>
          <w:rPr>
            <w:color w:val="000000"/>
            <w:u w:val="single"/>
          </w:rPr>
          <w:t>doi: 10.1016/j.jaac.2023.12.014</w:t>
        </w:r>
      </w:hyperlink>
      <w:r>
        <w:rPr>
          <w:sz w:val="20"/>
        </w:rPr>
        <w:t>. T. Piccoli effetti diversi tra gruppi; misure di laboratorio e generalizzabilità limitata.</w:t>
      </w:r>
    </w:p>
    <w:p>
      <w:pPr>
        <w:keepLines/>
        <w:spacing w:after="180"/>
      </w:pPr>
      <w:r>
        <w:rPr>
          <w:sz w:val="20"/>
        </w:rPr>
        <w:t xml:space="preserve">[35] Shields GS, Sazma MA, McCullough AM, Yonelinas AP (2017). </w:t>
      </w:r>
      <w:r>
        <w:rPr>
          <w:i/>
          <w:sz w:val="20"/>
        </w:rPr>
        <w:t>The effects of acute stress on episodic memory: A meta-analysis and integrative review.</w:t>
      </w:r>
      <w:r>
        <w:rPr>
          <w:sz w:val="20"/>
        </w:rPr>
        <w:t xml:space="preserve"> Psychological Bulletin, 143, 636–675. </w:t>
      </w:r>
      <w:hyperlink r:id="rId45">
        <w:r>
          <w:rPr>
            <w:color w:val="000000"/>
            <w:u w:val="single"/>
          </w:rPr>
          <w:t>doi: 10.1037/bul0000100</w:t>
        </w:r>
      </w:hyperlink>
      <w:r>
        <w:rPr>
          <w:sz w:val="20"/>
        </w:rPr>
        <w:t>. A. Effetti dipendenti da fase della memoria e altre condizioni; stress acuto, non stima universale dello stress cronico.</w:t>
      </w:r>
    </w:p>
    <w:p>
      <w:pPr>
        <w:keepLines/>
        <w:spacing w:after="180"/>
      </w:pPr>
      <w:r>
        <w:rPr>
          <w:sz w:val="20"/>
        </w:rPr>
        <w:t xml:space="preserve">[36] Arnsten AFT (2009). </w:t>
      </w:r>
      <w:r>
        <w:rPr>
          <w:i/>
          <w:sz w:val="20"/>
        </w:rPr>
        <w:t>Stress signalling pathways that impair prefrontal cortex structure and function.</w:t>
      </w:r>
      <w:r>
        <w:rPr>
          <w:sz w:val="20"/>
        </w:rPr>
        <w:t xml:space="preserve"> Nature Reviews Neuroscience, 10, 410–422. </w:t>
      </w:r>
      <w:hyperlink r:id="rId46">
        <w:r>
          <w:rPr>
            <w:color w:val="000000"/>
            <w:u w:val="single"/>
          </w:rPr>
          <w:t>doi: 10.1038/nrn2648</w:t>
        </w:r>
      </w:hyperlink>
      <w:r>
        <w:rPr>
          <w:sz w:val="20"/>
        </w:rPr>
        <w:t>. T. Meccanismi neurochimici e di rete; non una teoria dello spostamento meccanico dell’ossigeno.</w:t>
      </w:r>
    </w:p>
    <w:p>
      <w:pPr>
        <w:keepLines/>
        <w:spacing w:after="180"/>
      </w:pPr>
      <w:r>
        <w:rPr>
          <w:sz w:val="20"/>
        </w:rPr>
        <w:t xml:space="preserve">[37] Jamieson JP, Mendes WB, Blackstock E, Schmader T (2010). </w:t>
      </w:r>
      <w:r>
        <w:rPr>
          <w:i/>
          <w:sz w:val="20"/>
        </w:rPr>
        <w:t>Turning the knots in your stomach into bows: Reappraising arousal improves performance on the GRE.</w:t>
      </w:r>
      <w:r>
        <w:rPr>
          <w:sz w:val="20"/>
        </w:rPr>
        <w:t xml:space="preserve"> Journal of Experimental Social Psychology, 46(1), 208–212. </w:t>
      </w:r>
      <w:hyperlink r:id="rId47">
        <w:r>
          <w:rPr>
            <w:color w:val="000000"/>
            <w:u w:val="single"/>
          </w:rPr>
          <w:t>doi: 10.1016/j.jesp.2009.08.015</w:t>
        </w:r>
      </w:hyperlink>
      <w:r>
        <w:rPr>
          <w:sz w:val="20"/>
        </w:rPr>
        <w:t>. A con estratti disponibili. Risultati favorevoli sulla componente matematica; rivalutare l’attivazione non equivale a ridurla sempre né a trattare ogni ansia da esame.</w:t>
      </w:r>
    </w:p>
    <w:p>
      <w:pPr>
        <w:keepLines/>
        <w:spacing w:after="180"/>
      </w:pPr>
      <w:r>
        <w:rPr>
          <w:sz w:val="20"/>
        </w:rPr>
        <w:t xml:space="preserve">[38] Hatzigeorgiadis A, Zourbanos N, Galanis E, Theodorakis Y (2011). </w:t>
      </w:r>
      <w:r>
        <w:rPr>
          <w:i/>
          <w:sz w:val="20"/>
        </w:rPr>
        <w:t>Self-Talk and Sports Performance: A Meta-Analysis.</w:t>
      </w:r>
      <w:r>
        <w:rPr>
          <w:sz w:val="20"/>
        </w:rPr>
        <w:t xml:space="preserve"> Perspectives on Psychological Science, 6, 348–356. </w:t>
      </w:r>
      <w:hyperlink r:id="rId48">
        <w:r>
          <w:rPr>
            <w:color w:val="000000"/>
            <w:u w:val="single"/>
          </w:rPr>
          <w:t>doi: 10.1177/1745691611413136</w:t>
        </w:r>
      </w:hyperlink>
      <w:r>
        <w:rPr>
          <w:sz w:val="20"/>
        </w:rPr>
        <w:t>. A. Esiti nello sport, con moderatori; trasferimento accademico da verificare.</w:t>
      </w:r>
    </w:p>
    <w:p>
      <w:pPr>
        <w:keepLines/>
        <w:spacing w:after="180"/>
      </w:pPr>
      <w:r>
        <w:rPr>
          <w:sz w:val="20"/>
        </w:rPr>
        <w:t xml:space="preserve">[39] Sturt J e colleghi (2012). </w:t>
      </w:r>
      <w:r>
        <w:rPr>
          <w:i/>
          <w:sz w:val="20"/>
        </w:rPr>
        <w:t>Neurolinguistic programming: a systematic review of the effects on health outcomes.</w:t>
      </w:r>
      <w:r>
        <w:rPr>
          <w:sz w:val="20"/>
        </w:rPr>
        <w:t xml:space="preserve"> British Journal of General Practice, 62, e757–e764. </w:t>
      </w:r>
      <w:hyperlink r:id="rId49">
        <w:r>
          <w:rPr>
            <w:color w:val="000000"/>
            <w:u w:val="single"/>
          </w:rPr>
          <w:t>doi: 10.3399/bjgp12X658287</w:t>
        </w:r>
      </w:hyperlink>
      <w:r>
        <w:rPr>
          <w:sz w:val="20"/>
        </w:rPr>
        <w:t>. A. Evidenze limitate e di bassa qualità; riguarda esiti sanitari, non una verifica diretta di ogni uso didattico.</w:t>
      </w:r>
    </w:p>
    <w:p>
      <w:pPr>
        <w:keepLines/>
        <w:spacing w:after="180"/>
      </w:pPr>
      <w:r>
        <w:rPr>
          <w:sz w:val="20"/>
        </w:rPr>
        <w:t xml:space="preserve">[40] Abramowitz JS, Tolin DF, Street GP (2001). </w:t>
      </w:r>
      <w:r>
        <w:rPr>
          <w:i/>
          <w:sz w:val="20"/>
        </w:rPr>
        <w:t>Paradoxical effects of thought suppression: a meta-analysis of controlled studies.</w:t>
      </w:r>
      <w:r>
        <w:rPr>
          <w:sz w:val="20"/>
        </w:rPr>
        <w:t xml:space="preserve"> Clinical Psychology Review, 21, 683–703. </w:t>
      </w:r>
      <w:hyperlink r:id="rId50">
        <w:r>
          <w:rPr>
            <w:color w:val="000000"/>
            <w:u w:val="single"/>
          </w:rPr>
          <w:t>doi: 10.1016/S0272-7358(00)00057-X</w:t>
        </w:r>
      </w:hyperlink>
      <w:r>
        <w:rPr>
          <w:sz w:val="20"/>
        </w:rPr>
        <w:t>. A. Possibili effetti paradossali; non implica che ogni tentativo di reindirizzare l’attenzione sia controproducente.</w:t>
      </w:r>
    </w:p>
    <w:p>
      <w:pPr>
        <w:keepLines/>
        <w:spacing w:after="180"/>
      </w:pPr>
      <w:r>
        <w:rPr>
          <w:sz w:val="20"/>
        </w:rPr>
        <w:t xml:space="preserve">[41] Balban MY, Neri E, Kogon MM, Weed L, Nouriani B, Jo B, Holl G, Zeitzer JM, Spiegel D, Huberman AD (2023). </w:t>
      </w:r>
      <w:r>
        <w:rPr>
          <w:i/>
          <w:sz w:val="20"/>
        </w:rPr>
        <w:t>Brief structured respiration practices enhance mood and reduce physiological arousal.</w:t>
      </w:r>
      <w:r>
        <w:rPr>
          <w:sz w:val="20"/>
        </w:rPr>
        <w:t xml:space="preserve"> Cell Reports Medicine, 4(1), 100895. </w:t>
      </w:r>
      <w:hyperlink r:id="rId51">
        <w:r>
          <w:rPr>
            <w:color w:val="000000"/>
            <w:u w:val="single"/>
          </w:rPr>
          <w:t>doi: 10.1016/j.xcrm.2022.100895</w:t>
        </w:r>
      </w:hyperlink>
      <w:r>
        <w:rPr>
          <w:sz w:val="20"/>
        </w:rPr>
        <w:t>. T. Consultati risultati e discussione disponibili; distinte variazioni quotidiane prima/dopo, confronti fra condizioni ed esiti fisiologici.</w:t>
      </w:r>
    </w:p>
    <w:p>
      <w:pPr>
        <w:keepLines/>
        <w:spacing w:after="180"/>
      </w:pPr>
      <w:r>
        <w:rPr>
          <w:sz w:val="20"/>
        </w:rPr>
        <w:t xml:space="preserve">[42] Yerkes RM, Dodson JD (1908). </w:t>
      </w:r>
      <w:r>
        <w:rPr>
          <w:i/>
          <w:sz w:val="20"/>
        </w:rPr>
        <w:t>The relation of strength of stimulus to rapidity of habit-formation.</w:t>
      </w:r>
      <w:r>
        <w:rPr>
          <w:sz w:val="20"/>
        </w:rPr>
        <w:t xml:space="preserve"> Journal of Comparative Neurology and Psychology, 18, 459–482. </w:t>
      </w:r>
      <w:hyperlink r:id="rId52">
        <w:r>
          <w:rPr>
            <w:color w:val="000000"/>
            <w:u w:val="single"/>
          </w:rPr>
          <w:t>doi: 10.1002/cne.920180503</w:t>
        </w:r>
      </w:hyperlink>
      <w:r>
        <w:rPr>
          <w:sz w:val="20"/>
        </w:rPr>
        <w:t>. F. Esperimenti sui topi; non dimostra una curva universale per ogni compito umano.</w:t>
      </w:r>
    </w:p>
    <w:p>
      <w:pPr>
        <w:keepLines/>
        <w:spacing w:after="180"/>
      </w:pPr>
      <w:r>
        <w:rPr>
          <w:sz w:val="20"/>
        </w:rPr>
        <w:t xml:space="preserve">[43] Hardwick RM, Caspers S, Eickhoff SB, Swinnen SP (2018). </w:t>
      </w:r>
      <w:r>
        <w:rPr>
          <w:i/>
          <w:sz w:val="20"/>
        </w:rPr>
        <w:t>Neural correlates of action: Comparing meta-analyses of imagery, observation, and execution.</w:t>
      </w:r>
      <w:r>
        <w:rPr>
          <w:sz w:val="20"/>
        </w:rPr>
        <w:t xml:space="preserve"> Neuroscience &amp; Biobehavioral Reviews, 94, 31–44. </w:t>
      </w:r>
      <w:hyperlink r:id="rId53">
        <w:r>
          <w:rPr>
            <w:color w:val="000000"/>
            <w:u w:val="single"/>
          </w:rPr>
          <w:t>doi: 10.1016/j.neubiorev.2018.08.003</w:t>
        </w:r>
      </w:hyperlink>
      <w:r>
        <w:rPr>
          <w:sz w:val="20"/>
        </w:rPr>
        <w:t>. A. Sovrapposizioni e differenze tra reti, non equivalenza di immaginazione e realtà.</w:t>
      </w:r>
    </w:p>
    <w:p>
      <w:pPr>
        <w:keepLines/>
        <w:spacing w:after="180"/>
      </w:pPr>
      <w:r>
        <w:rPr>
          <w:sz w:val="20"/>
        </w:rPr>
        <w:t xml:space="preserve">[44] Pham LB, Taylor SE (1999). </w:t>
      </w:r>
      <w:r>
        <w:rPr>
          <w:i/>
          <w:sz w:val="20"/>
        </w:rPr>
        <w:t>From Thought to Action: Effects of Process-Versus Outcome-Based Mental Simulations on Performance.</w:t>
      </w:r>
      <w:r>
        <w:rPr>
          <w:sz w:val="20"/>
        </w:rPr>
        <w:t xml:space="preserve"> Personality and Social Psychology Bulletin, 25, 250–260. </w:t>
      </w:r>
      <w:hyperlink r:id="rId54">
        <w:r>
          <w:rPr>
            <w:color w:val="000000"/>
            <w:u w:val="single"/>
          </w:rPr>
          <w:t>doi: 10.1177/0146167299025002010</w:t>
        </w:r>
      </w:hyperlink>
      <w:r>
        <w:rPr>
          <w:sz w:val="20"/>
        </w:rPr>
        <w:t>. A. Studio su simulazione del processo e preparazione a un esame; non prova universale di efficacia.</w:t>
      </w:r>
    </w:p>
    <w:p>
      <w:pPr>
        <w:keepLines/>
        <w:spacing w:after="180"/>
      </w:pPr>
      <w:r>
        <w:rPr>
          <w:sz w:val="20"/>
        </w:rPr>
        <w:t xml:space="preserve">[45] Han A, Kim TH (2023). </w:t>
      </w:r>
      <w:r>
        <w:rPr>
          <w:i/>
          <w:sz w:val="20"/>
        </w:rPr>
        <w:t>Effects of Self-Compassion Interventions on Reducing Depressive Symptoms, Anxiety, and Stress: A Meta-Analysis.</w:t>
      </w:r>
      <w:r>
        <w:rPr>
          <w:sz w:val="20"/>
        </w:rPr>
        <w:t xml:space="preserve"> Mindfulness. </w:t>
      </w:r>
      <w:hyperlink r:id="rId55">
        <w:r>
          <w:rPr>
            <w:color w:val="000000"/>
            <w:u w:val="single"/>
          </w:rPr>
          <w:t>doi: 10.1007/s12671-023-02148-x</w:t>
        </w:r>
      </w:hyperlink>
      <w:r>
        <w:rPr>
          <w:sz w:val="20"/>
        </w:rPr>
        <w:t>. A. Trial randomizzati, benefici medi ma rischio di bias complessivo elevato.</w:t>
      </w:r>
    </w:p>
    <w:p>
      <w:pPr>
        <w:keepLines/>
        <w:spacing w:after="180"/>
      </w:pPr>
      <w:r>
        <w:rPr>
          <w:sz w:val="20"/>
        </w:rPr>
        <w:t xml:space="preserve">[46] Rasch B, Born J (2013). </w:t>
      </w:r>
      <w:r>
        <w:rPr>
          <w:i/>
          <w:sz w:val="20"/>
        </w:rPr>
        <w:t>About sleep’s role in memory.</w:t>
      </w:r>
      <w:r>
        <w:rPr>
          <w:sz w:val="20"/>
        </w:rPr>
        <w:t xml:space="preserve"> Physiological Reviews, 93, 681–766. </w:t>
      </w:r>
      <w:hyperlink r:id="rId56">
        <w:r>
          <w:rPr>
            <w:color w:val="000000"/>
            <w:u w:val="single"/>
          </w:rPr>
          <w:t>doi: 10.1152/physrev.00032.2012</w:t>
        </w:r>
      </w:hyperlink>
      <w:r>
        <w:rPr>
          <w:sz w:val="20"/>
        </w:rPr>
        <w:t>. A e introduzione disponibile. Revisione su sonno e memoria, senza equivalenze fisse tra ore mattutine e serali.</w:t>
      </w:r>
    </w:p>
    <w:p>
      <w:pPr>
        <w:keepLines/>
        <w:spacing w:after="180"/>
      </w:pPr>
      <w:r>
        <w:rPr>
          <w:sz w:val="20"/>
        </w:rPr>
        <w:t xml:space="preserve">[47] Watson NF e colleghi (2015). </w:t>
      </w:r>
      <w:r>
        <w:rPr>
          <w:i/>
          <w:sz w:val="20"/>
        </w:rPr>
        <w:t>Recommended Amount of Sleep for a Healthy Adult: A Joint Consensus Statement of the American Academy of Sleep Medicine and Sleep Research Society.</w:t>
      </w:r>
      <w:r>
        <w:rPr>
          <w:sz w:val="20"/>
        </w:rPr>
        <w:t xml:space="preserve"> Journal of Clinical Sleep Medicine, 11(6), 591–592. </w:t>
      </w:r>
      <w:hyperlink r:id="rId57">
        <w:r>
          <w:rPr>
            <w:color w:val="000000"/>
            <w:u w:val="single"/>
          </w:rPr>
          <w:t>doi: 10.5664/jcsm.4758</w:t>
        </w:r>
      </w:hyperlink>
      <w:r>
        <w:rPr>
          <w:sz w:val="20"/>
        </w:rPr>
        <w:t>. T. Raccomandazione di consenso sulla salute degli adulti, non durata individuale ottimale per ogni prestazione.</w:t>
      </w:r>
    </w:p>
    <w:p>
      <w:pPr>
        <w:keepLines/>
        <w:spacing w:after="180"/>
      </w:pPr>
      <w:r>
        <w:rPr>
          <w:sz w:val="20"/>
        </w:rPr>
        <w:t xml:space="preserve">[48] Chauhan S e colleghi (2025). </w:t>
      </w:r>
      <w:r>
        <w:rPr>
          <w:i/>
          <w:sz w:val="20"/>
        </w:rPr>
        <w:t>Chronotype and synchrony effects in human cognitive performance: A systematic review.</w:t>
      </w:r>
      <w:r>
        <w:rPr>
          <w:sz w:val="20"/>
        </w:rPr>
        <w:t xml:space="preserve"> Chronobiology International, 42, 463–499. </w:t>
      </w:r>
      <w:hyperlink r:id="rId58">
        <w:r>
          <w:rPr>
            <w:color w:val="000000"/>
            <w:u w:val="single"/>
          </w:rPr>
          <w:t>doi: 10.1080/07420528.2025.2490495</w:t>
        </w:r>
      </w:hyperlink>
      <w:r>
        <w:rPr>
          <w:sz w:val="20"/>
        </w:rPr>
        <w:t>. A. Evidenze eterogenee su cronotipo e ora del giorno.</w:t>
      </w:r>
    </w:p>
    <w:p>
      <w:pPr>
        <w:keepLines/>
        <w:spacing w:after="180"/>
      </w:pPr>
      <w:r>
        <w:rPr>
          <w:sz w:val="20"/>
        </w:rPr>
        <w:t xml:space="preserve">[49] Albulescu P e colleghi (2022). </w:t>
      </w:r>
      <w:r>
        <w:rPr>
          <w:i/>
          <w:sz w:val="20"/>
        </w:rPr>
        <w:t>“Give me a break!” A systematic review and meta-analysis on the efficacy of micro-breaks for increasing well-being and performance.</w:t>
      </w:r>
      <w:r>
        <w:rPr>
          <w:sz w:val="20"/>
        </w:rPr>
        <w:t xml:space="preserve"> PLOS ONE, 17, e0272460. </w:t>
      </w:r>
      <w:hyperlink r:id="rId59">
        <w:r>
          <w:rPr>
            <w:color w:val="000000"/>
            <w:u w:val="single"/>
          </w:rPr>
          <w:t>doi: 10.1371/journal.pone.0272460</w:t>
        </w:r>
      </w:hyperlink>
      <w:r>
        <w:rPr>
          <w:sz w:val="20"/>
        </w:rPr>
        <w:t>. T. Benefici medi su fatica e vigore, esiti di performance più incerti; nessuna convalida di 20/5 per tutti.</w:t>
      </w:r>
    </w:p>
    <w:p>
      <w:pPr>
        <w:keepLines/>
        <w:spacing w:after="180"/>
      </w:pPr>
      <w:r>
        <w:rPr>
          <w:sz w:val="20"/>
        </w:rPr>
        <w:t xml:space="preserve">[50] Biwer F, Wiradhany W, oude Egbrink MGA, de Bruin ABH (2023). </w:t>
      </w:r>
      <w:r>
        <w:rPr>
          <w:i/>
          <w:sz w:val="20"/>
        </w:rPr>
        <w:t>Understanding effort regulation: Comparing ‘Pomodoro’ breaks and self-regulated breaks.</w:t>
      </w:r>
      <w:r>
        <w:rPr>
          <w:sz w:val="20"/>
        </w:rPr>
        <w:t xml:space="preserve"> British Journal of Educational Psychology, 93(S2), 353–367. </w:t>
      </w:r>
      <w:hyperlink r:id="rId60">
        <w:r>
          <w:rPr>
            <w:color w:val="000000"/>
            <w:u w:val="single"/>
          </w:rPr>
          <w:t>doi: 10.1111/bjep.12593</w:t>
        </w:r>
      </w:hyperlink>
      <w:r>
        <w:rPr>
          <w:sz w:val="20"/>
        </w:rPr>
        <w:t>. A. Confronto su una giornata in 87 studenti; esiti soggettivi e completamento del compito, non ritenzione a lungo termine.</w:t>
      </w:r>
    </w:p>
    <w:p>
      <w:pPr>
        <w:keepLines/>
        <w:spacing w:after="180"/>
      </w:pPr>
      <w:r>
        <w:rPr>
          <w:sz w:val="20"/>
        </w:rPr>
        <w:t xml:space="preserve">[51] Katz S, Arish N, Rokach A, Zaltzman Y, Marcus EL (2018). </w:t>
      </w:r>
      <w:r>
        <w:rPr>
          <w:i/>
          <w:sz w:val="20"/>
        </w:rPr>
        <w:t>The effect of body position on pulmonary function: a systematic review.</w:t>
      </w:r>
      <w:r>
        <w:rPr>
          <w:sz w:val="20"/>
        </w:rPr>
        <w:t xml:space="preserve"> BMC Pulmonary Medicine, 18, 159. </w:t>
      </w:r>
      <w:hyperlink r:id="rId61">
        <w:r>
          <w:rPr>
            <w:color w:val="000000"/>
            <w:u w:val="single"/>
          </w:rPr>
          <w:t>doi: 10.1186/s12890-018-0723-4</w:t>
        </w:r>
      </w:hyperlink>
      <w:r>
        <w:rPr>
          <w:sz w:val="20"/>
        </w:rPr>
        <w:t>. A con estratti disponibili. Parametri polmonari in popolazioni diverse; non dimostrazione del 30% di ossigenazione cerebrale perso alla scrivania.</w:t>
      </w:r>
    </w:p>
    <w:p>
      <w:pPr>
        <w:keepLines/>
        <w:spacing w:after="180"/>
      </w:pPr>
      <w:r>
        <w:rPr>
          <w:sz w:val="20"/>
        </w:rPr>
        <w:t xml:space="preserve">[52] Chang AM, Aeschbach D, Duffy JF, Czeisler CA (2015). </w:t>
      </w:r>
      <w:r>
        <w:rPr>
          <w:i/>
          <w:sz w:val="20"/>
        </w:rPr>
        <w:t>Evening use of light-emitting eReaders negatively affects sleep, circadian timing, and next-morning alertness.</w:t>
      </w:r>
      <w:r>
        <w:rPr>
          <w:sz w:val="20"/>
        </w:rPr>
        <w:t xml:space="preserve"> PNAS, 112, 1232–1237. </w:t>
      </w:r>
      <w:hyperlink r:id="rId62">
        <w:r>
          <w:rPr>
            <w:color w:val="000000"/>
            <w:u w:val="single"/>
          </w:rPr>
          <w:t>doi: 10.1073/pnas.1418490112</w:t>
        </w:r>
      </w:hyperlink>
      <w:r>
        <w:rPr>
          <w:sz w:val="20"/>
        </w:rPr>
        <w:t>. T. Esperimento in condizioni specifiche; non generalizzare le dimensioni dell’effetto a ogni esposizione luminosa.</w:t>
      </w:r>
    </w:p>
    <w:p>
      <w:pPr>
        <w:keepLines/>
        <w:spacing w:after="180"/>
      </w:pPr>
      <w:r>
        <w:rPr>
          <w:sz w:val="20"/>
        </w:rPr>
        <w:t xml:space="preserve">[53] Gollwitzer PM, Sheeran P (2006). </w:t>
      </w:r>
      <w:r>
        <w:rPr>
          <w:i/>
          <w:sz w:val="20"/>
        </w:rPr>
        <w:t>Implementation Intentions and Goal Achievement: A Meta-analysis of Effects and Processes.</w:t>
      </w:r>
      <w:r>
        <w:rPr>
          <w:sz w:val="20"/>
        </w:rPr>
        <w:t xml:space="preserve"> Advances in Experimental Social Psychology, 38, 69–119. </w:t>
      </w:r>
      <w:hyperlink r:id="rId63">
        <w:r>
          <w:rPr>
            <w:color w:val="000000"/>
            <w:u w:val="single"/>
          </w:rPr>
          <w:t>doi: 10.1016/S0065-2601(06)38002-1</w:t>
        </w:r>
      </w:hyperlink>
      <w:r>
        <w:rPr>
          <w:sz w:val="20"/>
        </w:rPr>
        <w:t>. A. Piani se-allora; non automatismi infallibili.</w:t>
      </w:r>
    </w:p>
    <w:p>
      <w:pPr>
        <w:keepLines/>
        <w:spacing w:after="180"/>
      </w:pPr>
      <w:r>
        <w:rPr>
          <w:sz w:val="20"/>
        </w:rPr>
        <w:t xml:space="preserve">[54] Panadero E (2017). </w:t>
      </w:r>
      <w:r>
        <w:rPr>
          <w:i/>
          <w:sz w:val="20"/>
        </w:rPr>
        <w:t>A Review of Self-regulated Learning: Six Models and Four Directions for Research.</w:t>
      </w:r>
      <w:r>
        <w:rPr>
          <w:sz w:val="20"/>
        </w:rPr>
        <w:t xml:space="preserve"> Frontiers in Psychology, 8, 422. </w:t>
      </w:r>
      <w:hyperlink r:id="rId64">
        <w:r>
          <w:rPr>
            <w:color w:val="000000"/>
            <w:u w:val="single"/>
          </w:rPr>
          <w:t>doi: 10.3389/fpsyg.2017.00422</w:t>
        </w:r>
      </w:hyperlink>
      <w:r>
        <w:rPr>
          <w:sz w:val="20"/>
        </w:rPr>
        <w:t>. A e sintesi disponibile. Quadro di autoregolazione con componenti cognitive, motivazionali, emotive e metacognitive.</w:t>
      </w:r>
    </w:p>
    <w:p>
      <w:pPr>
        <w:keepLines/>
        <w:spacing w:after="180"/>
      </w:pPr>
      <w:r>
        <w:rPr>
          <w:sz w:val="20"/>
        </w:rPr>
        <w:t xml:space="preserve">[55] Vadillo MA, Gold N, Osman M (2016). </w:t>
      </w:r>
      <w:r>
        <w:rPr>
          <w:i/>
          <w:sz w:val="20"/>
        </w:rPr>
        <w:t>The Bitter Truth About Sugar and Willpower: The Limited Evidential Value of the Glucose Model of Ego Depletion.</w:t>
      </w:r>
      <w:r>
        <w:rPr>
          <w:sz w:val="20"/>
        </w:rPr>
        <w:t xml:space="preserve"> Psychological Science, 27, 1207–1214. </w:t>
      </w:r>
      <w:hyperlink r:id="rId65">
        <w:r>
          <w:rPr>
            <w:color w:val="000000"/>
            <w:u w:val="single"/>
          </w:rPr>
          <w:t>doi: 10.1177/0956797616654911</w:t>
        </w:r>
      </w:hyperlink>
      <w:r>
        <w:rPr>
          <w:sz w:val="20"/>
        </w:rPr>
        <w:t>. A. Critica meta-analitica al supporto empirico del modello del glucosio.</w:t>
      </w:r>
    </w:p>
    <w:p>
      <w:pPr>
        <w:keepLines/>
        <w:spacing w:after="180"/>
      </w:pPr>
      <w:r>
        <w:rPr>
          <w:sz w:val="20"/>
        </w:rPr>
        <w:t xml:space="preserve">[56] Vohs KD e colleghi (2021). </w:t>
      </w:r>
      <w:r>
        <w:rPr>
          <w:i/>
          <w:sz w:val="20"/>
        </w:rPr>
        <w:t>A Multisite Preregistered Paradigmatic Test of the Ego-Depletion Effect.</w:t>
      </w:r>
      <w:r>
        <w:rPr>
          <w:sz w:val="20"/>
        </w:rPr>
        <w:t xml:space="preserve"> Psychological Science, 32, 1566–1581. </w:t>
      </w:r>
      <w:hyperlink r:id="rId66">
        <w:r>
          <w:rPr>
            <w:color w:val="000000"/>
            <w:u w:val="single"/>
          </w:rPr>
          <w:t>doi: 10.1177/0956797621989733</w:t>
        </w:r>
      </w:hyperlink>
      <w:r>
        <w:rPr>
          <w:sz w:val="20"/>
        </w:rPr>
        <w:t>. A. Progetto multilaboratorio preregistrato; analisi confermativa non significativa.</w:t>
      </w:r>
    </w:p>
    <w:p>
      <w:pPr>
        <w:keepLines/>
        <w:spacing w:after="180"/>
      </w:pPr>
      <w:r>
        <w:rPr>
          <w:sz w:val="20"/>
        </w:rPr>
        <w:t xml:space="preserve">[57] Technical Innovation Center, catalogo dei 40 principi TRIZ. </w:t>
      </w:r>
      <w:hyperlink r:id="rId67">
        <w:r>
          <w:rPr>
            <w:color w:val="000000"/>
            <w:u w:val="single"/>
          </w:rPr>
          <w:t>40 Principles</w:t>
        </w:r>
      </w:hyperlink>
      <w:r>
        <w:rPr>
          <w:sz w:val="20"/>
        </w:rPr>
        <w:t>. F. Usato esclusivamente per nomi e numerazione. La pagina presenta un’incoerenza in un esempio introduttivo sull’azione periodica; la lista numerata completa assegna correttamente l’azione anticipata a 10 e l’azione periodica a 19. Non costituisce una prova di efficacia educativa o clinica.</w:t>
      </w:r>
    </w:p>
    <w:p>
      <w:pPr>
        <w:pStyle w:val="Heading1"/>
        <w:pageBreakBefore/>
      </w:pPr>
      <w:r>
        <w:t>Appendice C — Traccia per la verifica successiva</w:t>
      </w:r>
    </w:p>
    <w:p>
      <w:r>
        <w:t>La revisione successiva può controllare il documento attraverso domande specifiche, registrando per ogni rilievo sezione, frase interessata, fonte consultata, ragione della correzione e nuova formulazione proposta. Non basta assegnare un voto generale di rigore.</w:t>
      </w:r>
    </w:p>
    <w:p>
      <w:r>
        <w:t>1. La fonte esiste e i dati bibliografici permettono di identificarla senza ambiguità?</w:t>
      </w:r>
    </w:p>
    <w:p>
      <w:r>
        <w:t>2. Il passaggio citato riguarda davvero l’intervento e l’esito descritti nella dispensa?</w:t>
      </w:r>
    </w:p>
    <w:p>
      <w:r>
        <w:t>3. Una relazione osservata è stata trasformata impropriamente in una causa o in una garanzia individuale?</w:t>
      </w:r>
    </w:p>
    <w:p>
      <w:r>
        <w:t>4. Risultati su animali, sport o compiti semplici sono stati trasferiti allo studio complesso senza motivazione?</w:t>
      </w:r>
    </w:p>
    <w:p>
      <w:r>
        <w:t>5. Sono distinti efficacia di una componente e validazione della procedura complessiva?</w:t>
      </w:r>
    </w:p>
    <w:p>
      <w:r>
        <w:t>6. I numeri indicano unità, condizioni e significato, senza percentuali ornamentali o calendari biologici universali?</w:t>
      </w:r>
    </w:p>
    <w:p>
      <w:r>
        <w:t>7. Le proposte pratiche sono riconoscibili come esempi, anziché come protocolli sperimentalmente verificati?</w:t>
      </w:r>
    </w:p>
    <w:p>
      <w:r>
        <w:t>8. La risposta corretta viene distinta dalla fluidità espositiva e dalla sensazione di familiarità?</w:t>
      </w:r>
    </w:p>
    <w:p>
      <w:r>
        <w:t>9. Le correzioni elencate nell’Appendice A sono effettivamente applicate nel corpo del testo?</w:t>
      </w:r>
    </w:p>
    <w:p>
      <w:r>
        <w:t>10. Le obiezioni riguardano il contenuto scritto, senza attribuire al documento pretese o intenzioni che non esprime?</w:t>
      </w:r>
    </w:p>
    <w:p>
      <w:r>
        <w:t>Per i punti in cui è stato consultato soltanto l’abstract, il revisore dovrebbe dare priorità al testo integrale e controllare disegno, campione, comparatore, misure, durata e limitazioni. Una conferma dell’esistenza della fonte non completa questo passaggio.</w:t>
      </w:r>
    </w:p>
    <w:p>
      <w:r>
        <w:t>Una verifica tra IA può aiutare a trovare problemi e suggerire controlli; non equivale alla revisione editoriale di una rivista né a una validazione sperimentale delle procedure. Il risultato utile è una serie di rettifiche documentate, con eventuali questioni ancora aperte indicate esplicitamente.</w:t>
      </w:r>
    </w:p>
    <w:sectPr w:rsidR="00FC693F" w:rsidRPr="0006063C" w:rsidSect="00034616">
      <w:headerReference w:type="default" r:id="rId9"/>
      <w:footerReference w:type="default" r:id="rId10"/>
      <w:pgSz w:w="12240" w:h="15840"/>
      <w:pgMar w:top="1152" w:right="1224" w:bottom="1152"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Versione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GUIDA ALLE ABILITÀ DI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77/1529100612453266" TargetMode="External"/><Relationship Id="rId12" Type="http://schemas.openxmlformats.org/officeDocument/2006/relationships/hyperlink" Target="https://doi.org/10.1007/s10648-021-09595-9" TargetMode="External"/><Relationship Id="rId13" Type="http://schemas.openxmlformats.org/officeDocument/2006/relationships/hyperlink" Target="https://doi.org/10.1037/0033-2909.132.3.354" TargetMode="External"/><Relationship Id="rId14" Type="http://schemas.openxmlformats.org/officeDocument/2006/relationships/hyperlink" Target="https://doi.org/10.1126/science.1199327" TargetMode="External"/><Relationship Id="rId15" Type="http://schemas.openxmlformats.org/officeDocument/2006/relationships/hyperlink" Target="https://bjorklab.psych.ucla.edu/wp-content/uploads/sites/13/2016/11/Making-Things-Hard-on-Yourself-but-in-a-Good-Way-20111.pdf" TargetMode="External"/><Relationship Id="rId16" Type="http://schemas.openxmlformats.org/officeDocument/2006/relationships/hyperlink" Target="https://doi.org/10.1207/s15516709cog2605_1" TargetMode="External"/><Relationship Id="rId17" Type="http://schemas.openxmlformats.org/officeDocument/2006/relationships/hyperlink" Target="https://doi.org/10.1037/a0021017" TargetMode="External"/><Relationship Id="rId18" Type="http://schemas.openxmlformats.org/officeDocument/2006/relationships/hyperlink" Target="https://doi.org/10.1002/ejsp.674" TargetMode="External"/><Relationship Id="rId19" Type="http://schemas.openxmlformats.org/officeDocument/2006/relationships/hyperlink" Target="https://doi.org/10.1037/0033-2909.125.6.627" TargetMode="External"/><Relationship Id="rId20" Type="http://schemas.openxmlformats.org/officeDocument/2006/relationships/hyperlink" Target="https://www.bfskinner.org/publications/full-bibliography/" TargetMode="External"/><Relationship Id="rId21" Type="http://schemas.openxmlformats.org/officeDocument/2006/relationships/hyperlink" Target="https://doi.org/10.1007/s10648-018-9434-x" TargetMode="External"/><Relationship Id="rId22" Type="http://schemas.openxmlformats.org/officeDocument/2006/relationships/hyperlink" Target="https://doi.org/10.1111/j.1539-6053.2009.01038.x" TargetMode="External"/><Relationship Id="rId23" Type="http://schemas.openxmlformats.org/officeDocument/2006/relationships/hyperlink" Target="https://doi.org/10.1177/1529100615623267" TargetMode="External"/><Relationship Id="rId24" Type="http://schemas.openxmlformats.org/officeDocument/2006/relationships/hyperlink" Target="https://www.jstor.org/stable/747588" TargetMode="External"/><Relationship Id="rId25" Type="http://schemas.openxmlformats.org/officeDocument/2006/relationships/hyperlink" Target="https://doi.org/10.1177/0098628311411786" TargetMode="External"/><Relationship Id="rId26" Type="http://schemas.openxmlformats.org/officeDocument/2006/relationships/hyperlink" Target="https://doi.org/10.1037/bul0000309" TargetMode="External"/><Relationship Id="rId27" Type="http://schemas.openxmlformats.org/officeDocument/2006/relationships/hyperlink" Target="https://doi.org/10.3758/MC.36.3.604" TargetMode="External"/><Relationship Id="rId28" Type="http://schemas.openxmlformats.org/officeDocument/2006/relationships/hyperlink" Target="https://doi.org/10.1016/j.jml.2009.01.004" TargetMode="External"/><Relationship Id="rId29" Type="http://schemas.openxmlformats.org/officeDocument/2006/relationships/hyperlink" Target="https://doi.org/10.1037/a0015729" TargetMode="External"/><Relationship Id="rId30" Type="http://schemas.openxmlformats.org/officeDocument/2006/relationships/hyperlink" Target="https://doi.org/10.1111/j.1467-9280.2008.02209.x" TargetMode="External"/><Relationship Id="rId31" Type="http://schemas.openxmlformats.org/officeDocument/2006/relationships/hyperlink" Target="https://doi.org/10.1371/journal.pone.0120644" TargetMode="External"/><Relationship Id="rId32" Type="http://schemas.openxmlformats.org/officeDocument/2006/relationships/hyperlink" Target="https://doi.org/10.3102/00346543076003413" TargetMode="External"/><Relationship Id="rId33" Type="http://schemas.openxmlformats.org/officeDocument/2006/relationships/hyperlink" Target="https://doi.org/10.1037/bul0000209" TargetMode="External"/><Relationship Id="rId34" Type="http://schemas.openxmlformats.org/officeDocument/2006/relationships/hyperlink" Target="https://doi.org/10.1111/jcal.12197" TargetMode="External"/><Relationship Id="rId35" Type="http://schemas.openxmlformats.org/officeDocument/2006/relationships/hyperlink" Target="https://doi.org/10.1371/journal.pone.0245066" TargetMode="External"/><Relationship Id="rId36" Type="http://schemas.openxmlformats.org/officeDocument/2006/relationships/hyperlink" Target="https://doi.org/10.1007/s11251-009-9110-0" TargetMode="External"/><Relationship Id="rId37" Type="http://schemas.openxmlformats.org/officeDocument/2006/relationships/hyperlink" Target="https://doi.org/10.1207/S15326985EP3801_4" TargetMode="External"/><Relationship Id="rId38" Type="http://schemas.openxmlformats.org/officeDocument/2006/relationships/hyperlink" Target="https://doi.org/10.1037/0003-066X.57.9.705" TargetMode="External"/><Relationship Id="rId39" Type="http://schemas.openxmlformats.org/officeDocument/2006/relationships/hyperlink" Target="https://doi.org/10.1080/17437199.2021.2023608" TargetMode="External"/><Relationship Id="rId40" Type="http://schemas.openxmlformats.org/officeDocument/2006/relationships/hyperlink" Target="https://doi.org/10.1016/0030-5073(67)90021-9" TargetMode="External"/><Relationship Id="rId41" Type="http://schemas.openxmlformats.org/officeDocument/2006/relationships/hyperlink" Target="https://doi.org/10.1037/bul0000352" TargetMode="External"/><Relationship Id="rId42" Type="http://schemas.openxmlformats.org/officeDocument/2006/relationships/hyperlink" Target="https://doi.org/10.1037/bul0000368" TargetMode="External"/><Relationship Id="rId43" Type="http://schemas.openxmlformats.org/officeDocument/2006/relationships/hyperlink" Target="https://doi.org/10.1080/15213269.2023.2286647" TargetMode="External"/><Relationship Id="rId44" Type="http://schemas.openxmlformats.org/officeDocument/2006/relationships/hyperlink" Target="https://doi.org/10.1016/j.jaac.2023.12.014" TargetMode="External"/><Relationship Id="rId45" Type="http://schemas.openxmlformats.org/officeDocument/2006/relationships/hyperlink" Target="https://doi.org/10.1037/bul0000100" TargetMode="External"/><Relationship Id="rId46" Type="http://schemas.openxmlformats.org/officeDocument/2006/relationships/hyperlink" Target="https://doi.org/10.1038/nrn2648" TargetMode="External"/><Relationship Id="rId47" Type="http://schemas.openxmlformats.org/officeDocument/2006/relationships/hyperlink" Target="https://doi.org/10.1016/j.jesp.2009.08.015" TargetMode="External"/><Relationship Id="rId48" Type="http://schemas.openxmlformats.org/officeDocument/2006/relationships/hyperlink" Target="https://doi.org/10.1177/1745691611413136" TargetMode="External"/><Relationship Id="rId49" Type="http://schemas.openxmlformats.org/officeDocument/2006/relationships/hyperlink" Target="https://doi.org/10.3399/bjgp12X658287" TargetMode="External"/><Relationship Id="rId50" Type="http://schemas.openxmlformats.org/officeDocument/2006/relationships/hyperlink" Target="https://doi.org/10.1016/S0272-7358(00)00057-X" TargetMode="External"/><Relationship Id="rId51" Type="http://schemas.openxmlformats.org/officeDocument/2006/relationships/hyperlink" Target="https://doi.org/10.1016/j.xcrm.2022.100895" TargetMode="External"/><Relationship Id="rId52" Type="http://schemas.openxmlformats.org/officeDocument/2006/relationships/hyperlink" Target="https://doi.org/10.1002/cne.920180503" TargetMode="External"/><Relationship Id="rId53" Type="http://schemas.openxmlformats.org/officeDocument/2006/relationships/hyperlink" Target="https://doi.org/10.1016/j.neubiorev.2018.08.003" TargetMode="External"/><Relationship Id="rId54" Type="http://schemas.openxmlformats.org/officeDocument/2006/relationships/hyperlink" Target="https://doi.org/10.1177/0146167299025002010" TargetMode="External"/><Relationship Id="rId55" Type="http://schemas.openxmlformats.org/officeDocument/2006/relationships/hyperlink" Target="https://doi.org/10.1007/s12671-023-02148-x" TargetMode="External"/><Relationship Id="rId56" Type="http://schemas.openxmlformats.org/officeDocument/2006/relationships/hyperlink" Target="https://doi.org/10.1152/physrev.00032.2012" TargetMode="External"/><Relationship Id="rId57" Type="http://schemas.openxmlformats.org/officeDocument/2006/relationships/hyperlink" Target="https://doi.org/10.5664/jcsm.4758" TargetMode="External"/><Relationship Id="rId58" Type="http://schemas.openxmlformats.org/officeDocument/2006/relationships/hyperlink" Target="https://doi.org/10.1080/07420528.2025.2490495" TargetMode="External"/><Relationship Id="rId59" Type="http://schemas.openxmlformats.org/officeDocument/2006/relationships/hyperlink" Target="https://doi.org/10.1371/journal.pone.0272460" TargetMode="External"/><Relationship Id="rId60" Type="http://schemas.openxmlformats.org/officeDocument/2006/relationships/hyperlink" Target="https://doi.org/10.1111/bjep.12593" TargetMode="External"/><Relationship Id="rId61" Type="http://schemas.openxmlformats.org/officeDocument/2006/relationships/hyperlink" Target="https://doi.org/10.1186/s12890-018-0723-4" TargetMode="External"/><Relationship Id="rId62" Type="http://schemas.openxmlformats.org/officeDocument/2006/relationships/hyperlink" Target="https://doi.org/10.1073/pnas.1418490112" TargetMode="External"/><Relationship Id="rId63" Type="http://schemas.openxmlformats.org/officeDocument/2006/relationships/hyperlink" Target="https://doi.org/10.1016/S0065-2601(06)38002-1" TargetMode="External"/><Relationship Id="rId64" Type="http://schemas.openxmlformats.org/officeDocument/2006/relationships/hyperlink" Target="https://doi.org/10.3389/fpsyg.2017.00422" TargetMode="External"/><Relationship Id="rId65" Type="http://schemas.openxmlformats.org/officeDocument/2006/relationships/hyperlink" Target="https://doi.org/10.1177/0956797616654911" TargetMode="External"/><Relationship Id="rId66" Type="http://schemas.openxmlformats.org/officeDocument/2006/relationships/hyperlink" Target="https://doi.org/10.1177/0956797621989733" TargetMode="External"/><Relationship Id="rId67" Type="http://schemas.openxmlformats.org/officeDocument/2006/relationships/hyperlink" Target="https://triz.org/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alle abilità di studio</dc:title>
  <dc:subject>Versione riveduta per lo studio universitario e la verifica critica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