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Piano di azione universitario generale</w:t>
      </w:r>
    </w:p>
    <w:p>
      <w:pPr>
        <w:pStyle w:val="Subtitle"/>
      </w:pPr>
      <w:r>
        <w:t>Guida ragionata alla preparazione degli esami</w:t>
      </w:r>
    </w:p>
    <w:p>
      <w:pPr>
        <w:spacing w:after="300"/>
      </w:pPr>
      <w:r>
        <w:rPr>
          <w:sz w:val="20"/>
        </w:rPr>
        <w:t>Versione 2.0 | 27 ottobre 2026</w:t>
      </w:r>
    </w:p>
    <w:p>
      <w:r>
        <w:t>Questa guida aiuta a organizzare la preparazione di un esame attraverso cinque attività collegate: pianificare, comprendere, rielaborare, esercitare il recupero e regolare il carico di lavoro. Il metodo consiste nel scegliere attività adeguate al compito, controllarne i risultati e modificarle quando non funzionano.</w:t>
      </w:r>
    </w:p>
    <w:p>
      <w:r>
        <w:t>Le cinque fasi costituiscono una struttura orientativa: possono alternarsi più volte sullo stesso argomento, perché un esercizio rivela spesso una lacuna che richiede una nuova spiegazione. La gestione del lavoro accompagna tutte le altre attività, mentre le mappe e le mnemotecniche entrano nel percorso quando offrono un vantaggio concreto.</w:t>
      </w:r>
    </w:p>
    <w:p>
      <w:r>
        <w:t>Il testo distingue fra risultati della ricerca, spiegazioni teoriche ed esempi operativi. I riferimenti tra parentesi quadre rimandano alla bibliografia; gli esempi di calendario e le schede proposte sono strumenti adattabili, senza la pretesa di costituire protocolli sperimentali validati nella loro specifica combinazione.</w:t>
      </w:r>
    </w:p>
    <w:p>
      <w:r>
        <w:t>Questa versione amplia le indicazioni operative e la preparazione pratica, mantenendo una distinzione fra evidenze sull'apprendimento, interpretazioni dei meccanismi e scelte organizzative. Le appendici permettono di controllare le fonti e ricostruire le modifiche; la revisione resta aperta a errori documentabili e nuove evidenze.</w:t>
      </w:r>
    </w:p>
    <w:p>
      <w:pPr>
        <w:pStyle w:val="Heading2"/>
      </w:pPr>
      <w:r>
        <w:t>Come usare questa guida</w:t>
      </w:r>
    </w:p>
    <w:p>
      <w:r>
        <w:t>Prima di cambiare tutte le abitudini di studio, individuare un problema osservabile: difficoltà ad avviare il lavoro, comprensione incompleta, dimenticanza oppure incapacità di applicare una conoscenza. Scegliere una modifica pertinente e verificarla su più occasioni, considerando anche tempo impiegato, difficoltà del materiale e sostenibilità.</w:t>
      </w:r>
    </w:p>
    <w:p>
      <w:r>
        <w:t>Le evidenze descrivono risultati medi ottenuti in determinate condizioni, per cui una tecnica efficace in molti studi non garantisce lo stesso beneficio a ogni persona. Il criterio di successo personale è una prestazione corretta e sufficientemente stabile nei compiti rilevanti, senza richiedere assenza di fatica o perfezione continua.</w:t>
      </w:r>
    </w:p>
    <w:p>
      <w:pPr>
        <w:pStyle w:val="Heading2"/>
      </w:pPr>
      <w:r>
        <w:t>Apprendimento prestazione e giudizio personale</w:t>
      </w:r>
    </w:p>
    <w:p>
      <w:r>
        <w:t>La prestazione è ciò che si osserva in una prova; l'apprendimento si inferisce anche dalla capacità di mantenere e utilizzare le conoscenze successivamente. Rispondere bene subito dopo aver letto è informativo, ma non dimostra ancora che la risposta sarà disponibile dopo alcuni giorni o in un problema differente. [9, 24]</w:t>
      </w:r>
    </w:p>
    <w:p>
      <w:r>
        <w:t>La sensazione di familiarità può far sembrare facile una pagina già incontrata, mentre una rievocazione senza testo può mettere in luce lacune prima invisibili. Per calibrare il giudizio, confrontare ciò che si prevedeva di saper fare con una risposta effettiva e con una verifica differita, evitando di trattare la sicurezza soggettiva come prova sufficiente. [9]</w:t>
      </w:r>
    </w:p>
    <w:p>
      <w:r>
        <w:t>La difficoltà percepita, a sua volta, non misura direttamente il consolidamento della memoria: una domanda può risultare difficile perché stimola un recupero utile oppure perché mancano informazioni essenziali. Conviene quindi chiedersi quale ostacolo si sta incontrando e quale intervento potrebbe risolverlo, senza cercare deliberatamente frustrazione come indicatore di qualità. [24]</w:t>
      </w:r>
    </w:p>
    <w:p>
      <w:r>
        <w:t>La ricerca sugli engrammi descrive insiemi cellulari e circuiti coinvolti nella formazione e nel recupero delle memorie. Questa conoscenza non permette di dedurre la stabilità di un ricordo dalla fatica percepita: per studiare servono verifiche comportamentali, mentre le misure dei meccanismi richiedono strumenti e disegni di ricerca specifici. [22]</w:t>
      </w:r>
    </w:p>
    <w:p>
      <w:pPr>
        <w:pStyle w:val="Heading1"/>
      </w:pPr>
      <w:r>
        <w:t>Fase 1 Pianificazione e organizzazione delle fonti</w:t>
      </w:r>
    </w:p>
    <w:p>
      <w:pPr>
        <w:pStyle w:val="Heading2"/>
      </w:pPr>
      <w:r>
        <w:t>Definire il risultato da raggiungere</w:t>
      </w:r>
    </w:p>
    <w:p>
      <w:r>
        <w:t>Preparare un esame richiede di conoscere il programma e il tipo di prestazione attesa. Ricordare definizioni, discutere relazioni causali, risolvere problemi e svolgere una prova pratica sono obiettivi collegati ma diversi, per cui il piano deve prevedere occasioni di esercitarli e verificarli.</w:t>
      </w:r>
    </w:p>
    <w:p>
      <w:r>
        <w:t>All'inizio raccogliere programma ufficiale, indicazioni del docente e modalità di valutazione; verificare quali materiali siano richiesti e quali abbiano una funzione integrativa. Le eventuali prove degli anni precedenti possono orientare sul formato, ma non garantiscono né la completezza del programma né la ripetizione delle stesse domande.</w:t>
      </w:r>
    </w:p>
    <w:p>
      <w:r>
        <w:t>Convertire gli argomenti in risultati osservabili. Studiare il potenziale d'azione diventa, per esempio, saper descrivere le fasi, spiegare il ruolo dei canali e prevedere qualitativamente le conseguenze di una variazione rilevante, dichiarando le condizioni dell'esempio; un obiettivo così formulato facilita la scelta degli esercizi.</w:t>
      </w:r>
    </w:p>
    <w:p>
      <w:pPr>
        <w:pStyle w:val="Heading2"/>
      </w:pPr>
      <w:r>
        <w:t>Valutare e coordinare i materiali</w:t>
      </w:r>
    </w:p>
    <w:p>
      <w:r>
        <w:t>Un manuale offre spesso spiegazioni continue e prerequisiti; le slide possono guidare l'attenzione sui temi del corso, mentre appunti e dispense aiutano a ricostruire il percorso delle lezioni. La sinteticità non dimostra l'accuratezza, e una diapositiva progettata per accompagnare una lezione può risultare insufficiente da sola.</w:t>
      </w:r>
    </w:p>
    <w:p>
      <w:r>
        <w:t>Scegliere una fonte principale per ciascun nucleo del programma e usare le altre per integrare o chiarire. Quando emergono differenze, controllare definizioni, condizioni e aggiornamento del contenuto, annotando il punto controverso invece di fondere automaticamente versioni incompatibili.</w:t>
      </w:r>
    </w:p>
    <w:p>
      <w:r>
        <w:t>Le sintesi personali dovrebbero mantenere un rinvio alla fonte, soprattutto per formule, eccezioni e passaggi difficili. Questa precauzione permette di correggere gli errori durante il ripasso e riduce la dipendenza da una rappresentazione abbreviata che potrebbe essere incompleta.</w:t>
      </w:r>
    </w:p>
    <w:p>
      <w:pPr>
        <w:pStyle w:val="Heading2"/>
      </w:pPr>
      <w:r>
        <w:t>Orientarsi con una panoramica</w:t>
      </w:r>
    </w:p>
    <w:p>
      <w:r>
        <w:t>Esaminare programma e indice aiuta a conoscere l'estensione degli argomenti. Per un capitolo sulla contrazione muscolare, una panoramica può anticipare attivazione elettrica, calcio intracellulare, interazione delle proteine contrattili e produzione di forza. Questa traccia descrive il percorso del capitolo e andrà precisata durante lo studio.</w:t>
      </w:r>
    </w:p>
    <w:p>
      <w:pPr>
        <w:pStyle w:val="Heading2"/>
      </w:pPr>
      <w:r>
        <w:t>Collegare il nuovo a ciò che si conosce</w:t>
      </w:r>
    </w:p>
    <w:p>
      <w:r>
        <w:t>Nella teoria di Ausubel, un organizzatore anticipato precede il materiale specifico e introduce concetti più generali e inclusivi che aiutano a collegarlo alle conoscenze disponibili. Un indice o un riassunto dei passaggi non svolge automaticamente questa funzione. [2]</w:t>
      </w:r>
    </w:p>
    <w:p>
      <w:r>
        <w:t>Un possibile organizzatore didattico, se questi concetti sono già familiari, parte dall'idea che un sistema biologico coordini segnale, disponibilità di energia e risposta meccanica. Distingue quindi il segnale che regola l'attivazione dall'energia necessaria al lavoro, prima di introdurre i dettagli dell'accoppiamento eccitazione contrazione.</w:t>
      </w:r>
    </w:p>
    <w:p>
      <w:r>
        <w:t>La distinzione aiuta a evitare che il segnale elettrico venga scambiato per l'intera fonte energetica della contrazione. L'esempio è una proposta di questa guida, non un organizzatore validato sperimentalmente; se i concetti generali non sono compresi, vanno prima spiegati oppure sostituiti con un collegamento più accessibile.</w:t>
      </w:r>
    </w:p>
    <w:p>
      <w:pPr>
        <w:pStyle w:val="Heading2"/>
      </w:pPr>
      <w:r>
        <w:t>Scegliere la modalità di lettura</w:t>
      </w:r>
    </w:p>
    <w:p>
      <w:r>
        <w:t>Leggere un capitolo seguendo l'ordine dell'autore è appropriato quando la spiegazione costruisce progressivamente i prerequisiti. La consultazione mirata è utile per una domanda circoscritta o quando si possiede già una struttura sufficiente a riconoscere ciò che manca; le due modalità possono alternarsi sullo stesso testo.</w:t>
      </w:r>
    </w:p>
    <w:p>
      <w:r>
        <w:t>Non occorre aspettare di conoscere tutte le relazioni prima di aprire il manuale, perché spesso è proprio la spiegazione estesa a renderle comprensibili. Analogamente, partire da una sintesi è conveniente soltanto se questa offre un orientamento affidabile e non nasconde i passaggi necessari.</w:t>
      </w:r>
    </w:p>
    <w:p>
      <w:pPr>
        <w:pStyle w:val="Heading2"/>
      </w:pPr>
      <w:r>
        <w:t>Stimare il carico e preparare le sessioni</w:t>
      </w:r>
    </w:p>
    <w:p>
      <w:r>
        <w:t>Una prima stima del lavoro può usare capitoli, pagine ed esercizi, ma va aggiornata dopo alcune sessioni reali. Il numero di pagine descrive la copertura, mentre prove di spiegazione e applicazione forniscono informazioni sulla preparazione: entrambe le misure possono servire, purché non vengano confuse.</w:t>
      </w:r>
    </w:p>
    <w:p>
      <w:r>
        <w:t>Assegnare priorità ai concetti che sostengono altri argomenti, alle competenze richieste e alle lacune rilevate. Non esiste una percentuale generale di contenuti che garantisca una percentuale prefissata di comprensione; la priorità dipende dalla struttura del programma e dalle esigenze della prova.</w:t>
      </w:r>
    </w:p>
    <w:p>
      <w:r>
        <w:t>Per scegliere da dove iniziare, cercare indizi convergenti: un concetto richiamato in più moduli, un prerequisito necessario a risolvere molti esercizi oppure una competenza esplicitamente richiesta dal docente. Sono criteri orientativi: la frequenza negli appunti o nelle vecchie prove non autorizza a escludere il resto del programma.</w:t>
      </w:r>
    </w:p>
    <w:p>
      <w:r>
        <w:t>Un controllo iniziale può usare poche domande rappresentative per ciascun nucleo importante. Distinguere una risposta autonoma corretta, una risposta ottenuta con aiuto e un errore che blocca altri argomenti; assegnare prima lavoro ai prerequisiti mancanti, poi rivedere le priorità quando emergono nuovi risultati.</w:t>
      </w:r>
    </w:p>
    <w:p>
      <w:r>
        <w:t>Preparare in anticipo materiali e prossima attività può facilitare l'avvio. È una soluzione organizzativa da valutare sul proprio comportamento, senza attribuirle la capacità di eliminare l'ansia o di preservare un presunto serbatoio di glucosio consumato dalle decisioni.</w:t>
      </w:r>
    </w:p>
    <w:p>
      <w:pPr>
        <w:pStyle w:val="Heading2"/>
      </w:pPr>
      <w:r>
        <w:t>Esito della fase</w:t>
      </w:r>
    </w:p>
    <w:p>
      <w:r>
        <w:t>Il piano iniziale è sufficiente quando chiarisce quali fonti usare, quali risultati esercitare e quale attività svolgere nella prossima sessione. Deve contenere spazio per verifiche e imprevisti; continuare a perfezionarlo senza iniziare lo studio non offre informazioni sulla reale difficoltà del materiale.</w:t>
      </w:r>
    </w:p>
    <w:p>
      <w:pPr>
        <w:pStyle w:val="Heading1"/>
      </w:pPr>
      <w:r>
        <w:t>Fase 2 Comprensione e decodifica del testo</w:t>
      </w:r>
    </w:p>
    <w:p>
      <w:pPr>
        <w:pStyle w:val="Heading2"/>
      </w:pPr>
      <w:r>
        <w:t>Leggere per costruire significato</w:t>
      </w:r>
    </w:p>
    <w:p>
      <w:r>
        <w:t>La lettura è una possibile attività di apprendimento e acquisizione, insieme ad ascolto, osservazione ed esercizio guidato. Il suo rendimento dipende dal materiale e dal modo di elaborarlo; gli studi che favoriscono il recupero rispetto al ristudio non dimostrano che leggere sia equivalente a non apprendere. [1, 9]</w:t>
      </w:r>
    </w:p>
    <w:p>
      <w:r>
        <w:t>Prima di una porzione di testo, formulare una domanda pertinente può aiutare a orientare il lavoro, purché non impedisca di riconoscere informazioni inattese. Se l'argomento è nuovo, la domanda può essere semplice e provvisoria, perché una formulazione più precisa emergerà durante la comprensione.</w:t>
      </w:r>
    </w:p>
    <w:p>
      <w:pPr>
        <w:pStyle w:val="Heading2"/>
      </w:pPr>
      <w:r>
        <w:t>Regolare la dimensione delle unità</w:t>
      </w:r>
    </w:p>
    <w:p>
      <w:r>
        <w:t>La memoria di lavoro ha capacità limitata, ma non esiste un numero fisso di frasi che ogni studente possa elaborare. Il limite di circa quattro chunk, discusso da Cowan in determinate condizioni, riguarda unità di informazione il cui significato dipende anche dal raggruppamento e dalle conoscenze disponibili. [5]</w:t>
      </w:r>
    </w:p>
    <w:p>
      <w:r>
        <w:t>Segmentare il materiale può aiutare quando molti elementi interagiscono o quando un passaggio è denso. L'unità appropriata può essere una definizione con il suo esempio, una breve catena causale o alcuni passaggi di una dimostrazione; fermarsi dopo ogni frase ha senso soltanto se favorisce realmente l'integrazione. [3]</w:t>
      </w:r>
    </w:p>
    <w:p>
      <w:pPr>
        <w:pStyle w:val="Heading2"/>
      </w:pPr>
      <w:r>
        <w:t>Spiegare e verificare</w:t>
      </w:r>
    </w:p>
    <w:p>
      <w:r>
        <w:t>Dopo un'unità significativa, provare a spiegare il contenuto senza consultare continuamente il testo. Riformulare il meccanismo, chiarire perché un passaggio segue dal precedente e indicare quando la conclusione vale; poi confrontare la spiegazione con la fonte, controllando se le relazioni sono state mantenute. [4]</w:t>
      </w:r>
    </w:p>
    <w:p>
      <w:r>
        <w:t>Usare parole proprie aiuta a rendere visibili alcune incomprensioni, ma una parafrasi fluida può comunque essere sbagliata. Conservare i termini tecnici necessari e affiancarli a una spiegazione accessibile, verificando almeno un esempio e, quando pertinente, un caso in cui la regola non si applica.</w:t>
      </w:r>
    </w:p>
    <w:p>
      <w:r>
        <w:t>La sintesi può eliminare ripetizioni e riempitivi, mentre deve conservare i nessi che determinano il significato. Espressioni come se, perché, salvo e a parità delle altre condizioni indicano vincoli differenti; rimuoverle può trasformare una spiegazione circoscritta in una generalizzazione indebita.</w:t>
      </w:r>
    </w:p>
    <w:p>
      <w:r>
        <w:t>Gli esempi meritano una selezione funzionale: alcuni sono ridondanti, altri chiariscono l'applicazione di una regola o impediscono un'interpretazione errata. Negli esempi svolti, cercare di spiegare il legame fra passaggi e principi, invece di limitarsi a riprodurre la sequenza. [4]</w:t>
      </w:r>
    </w:p>
    <w:p>
      <w:pPr>
        <w:pStyle w:val="Heading2"/>
      </w:pPr>
      <w:r>
        <w:t>Affrontare un dubbio senza bloccarsi inutilmente</w:t>
      </w:r>
    </w:p>
    <w:p>
      <w:r>
        <w:t>Quando il significato è oscuro, individuare prima la funzione del dubbio. Se una definizione o un passaggio è necessario al ragionamento successivo, fermarsi per chiarirlo; se il testo sta introducendo un concetto che verrà sviluppato nell'esempio seguente, può essere utile leggere quel segmento e tornare al punto.</w:t>
      </w:r>
    </w:p>
    <w:p>
      <w:r>
        <w:t>Per un termine tecnico, consultare il glossario o una fonte disciplinare affidabile; l'etimologia può offrire un aiuto, ma non determina da sola il significato attuale. Se la sintassi impedisce la comprensione, isolare soggetto, relazioni e condizioni, quindi ricomporre l'intera proposizione.</w:t>
      </w:r>
    </w:p>
    <w:p>
      <w:r>
        <w:t>Quando il tentativo continua senza produrre progressi, cambiare supporto: cercare un esempio svolto, una spiegazione alternativa oppure una domanda da rivolgere al docente o a un compagno competente. Una lacuna riconosciuta è un'informazione sul lavoro da fare, senza implicare un giudizio sull'intelligenza o sul valore personale.</w:t>
      </w:r>
    </w:p>
    <w:p>
      <w:pPr>
        <w:pStyle w:val="Heading2"/>
      </w:pPr>
      <w:r>
        <w:t>Usare esempi svolti e guida progressiva</w:t>
      </w:r>
    </w:p>
    <w:p>
      <w:r>
        <w:t>Chi incontra un procedimento nuovo può aver bisogno di un esempio completo prima di affrontare un problema autonomamente. La ricerca sul carico cognitivo mostra che lo sforzo di cercare una soluzione e l'acquisizione dei principi non coincidono sempre, soprattutto quando mancano conoscenze specifiche. [3]</w:t>
      </w:r>
    </w:p>
    <w:p>
      <w:r>
        <w:t>La riduzione progressiva dei passaggi già svolti, detta fading, accompagna il passaggio dall'esempio completo al problema autonomo. Ha una letteratura specifica, distinta dal solo articolo di Sweller: alcuni studi l'hanno combinata con domande che chiedono di identificare il principio usato in ogni passaggio. [25, 26]</w:t>
      </w:r>
    </w:p>
    <w:p>
      <w:r>
        <w:t>Una progressione applicabile consiste nell'analizzare un esempio, spiegarne i passaggi, completarne uno parzialmente svolto e provare poi un problema autonomo. Se manca il principio necessario, ripristinare la spiegazione; se il ragionamento è corretto anche in un caso nuovo, ridurre la guida. Il criterio proposto è operativo, senza una soglia numerica validata.</w:t>
      </w:r>
    </w:p>
    <w:p>
      <w:r>
        <w:t>L'effetto di inversione dell'esperienza indica che alcuni aiuti efficaci per i principianti possono perdere utilità e talvolta ostacolare chi possiede già le conoscenze pertinenti. Conta la competenza nello specifico compito: essere avanti negli studi non rende automaticamente superfluo ogni esempio guidato. [27]</w:t>
      </w:r>
    </w:p>
    <w:p>
      <w:r>
        <w:t>Fading ed expertise reversal sono collegati ma differenti: il primo descrive una modalità di riduzione della guida, il secondo un'interazione fra istruzione e conoscenze precedenti. L'autonomia va verificata con problemi appropriati, senza ridurre l'aiuto soltanto perché è trascorso un certo numero di sessioni.</w:t>
      </w:r>
    </w:p>
    <w:p>
      <w:pPr>
        <w:pStyle w:val="Heading2"/>
      </w:pPr>
      <w:r>
        <w:t>Esito della fase</w:t>
      </w:r>
    </w:p>
    <w:p>
      <w:r>
        <w:t>Si può passare a un primo esercizio quando la comprensione consente un tentativo significativo, anche se alcuni dettagli restano da chiarire. L'esercizio stesso contribuirà a diagnosticare le lacune: comprensione, memoria e applicazione si influenzano e possono richiedere ritorni successivi sulla spiegazione.</w:t>
      </w:r>
    </w:p>
    <w:p>
      <w:pPr>
        <w:pStyle w:val="Heading1"/>
      </w:pPr>
      <w:r>
        <w:t>Fase 3 Rielaborazione e rappresentazione delle conoscenze</w:t>
      </w:r>
    </w:p>
    <w:p>
      <w:pPr>
        <w:pStyle w:val="Heading2"/>
      </w:pPr>
      <w:r>
        <w:t>Scegliere un supporto adatto alla domanda</w:t>
      </w:r>
    </w:p>
    <w:p>
      <w:r>
        <w:t>Una rappresentazione esterna può rendere più visibili relazioni, sequenze o confronti. Il vantaggio dipende da ciò che permette di capire e controllare; produrre uno schema non garantisce automaticamente una comprensione migliore, soprattutto se si copia il testo senza esaminarne il significato.</w:t>
      </w:r>
    </w:p>
    <w:p>
      <w:r>
        <w:t>Scegliere la forma in base alla relazione da rappresentare, senza assegnare a un'intera disciplina un unico strumento obbligatorio. La tabella seguente propone abbinamenti funzionali, non una graduatoria sperimentale di efficacia.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7"/>
        <w:gridCol w:w="3067"/>
        <w:gridCol w:w="3614"/>
      </w:tblGrid>
      <w:tr>
        <w:trPr>
          <w:cantSplit/>
          <w:tblHeader/>
        </w:trPr>
        <w:tc>
          <w:tcPr>
            <w:tcW w:type="dxa" w:w="3197"/>
            <w:vAlign w:val="center"/>
            <w:tcMar>
              <w:top w:w="85" w:type="dxa"/>
              <w:left w:w="85" w:type="dxa"/>
              <w:bottom w:w="85" w:type="dxa"/>
              <w:right w:w="85" w:type="dxa"/>
            </w:tcMar>
            <w:shd w:fill="E7E6E6"/>
          </w:tcPr>
          <w:p>
            <w:pPr>
              <w:keepNext w:val="0"/>
              <w:spacing w:after="60" w:before="60" w:line="254" w:lineRule="auto"/>
            </w:pPr>
            <w:r>
              <w:rPr>
                <w:b/>
                <w:sz w:val="21"/>
              </w:rPr>
              <w:t>Domanda da chiarire</w:t>
            </w:r>
          </w:p>
        </w:tc>
        <w:tc>
          <w:tcPr>
            <w:tcW w:type="dxa" w:w="3067"/>
            <w:vAlign w:val="center"/>
            <w:tcMar>
              <w:top w:w="85" w:type="dxa"/>
              <w:left w:w="85" w:type="dxa"/>
              <w:bottom w:w="85" w:type="dxa"/>
              <w:right w:w="85" w:type="dxa"/>
            </w:tcMar>
            <w:shd w:fill="E7E6E6"/>
          </w:tcPr>
          <w:p>
            <w:pPr>
              <w:keepNext w:val="0"/>
              <w:spacing w:after="60" w:before="60" w:line="254" w:lineRule="auto"/>
            </w:pPr>
            <w:r>
              <w:rPr>
                <w:b/>
                <w:sz w:val="21"/>
              </w:rPr>
              <w:t>Supporto possibile</w:t>
            </w:r>
          </w:p>
        </w:tc>
        <w:tc>
          <w:tcPr>
            <w:tcW w:type="dxa" w:w="3614"/>
            <w:vAlign w:val="center"/>
            <w:tcMar>
              <w:top w:w="85" w:type="dxa"/>
              <w:left w:w="85" w:type="dxa"/>
              <w:bottom w:w="85" w:type="dxa"/>
              <w:right w:w="85" w:type="dxa"/>
            </w:tcMar>
            <w:shd w:fill="E7E6E6"/>
          </w:tcPr>
          <w:p>
            <w:pPr>
              <w:keepNext w:val="0"/>
              <w:spacing w:after="60" w:before="60" w:line="254" w:lineRule="auto"/>
            </w:pPr>
            <w:r>
              <w:rPr>
                <w:b/>
                <w:sz w:val="21"/>
              </w:rPr>
              <w:t>Controllo necessario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Come si collegano i concetti</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Mappa concettuale</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Significato e validità delle relazioni</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Quale passaggio segue una condizione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Diagramma di flusso</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Alternative e condizioni decisionali</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In cosa differiscono più elementi</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Tabella comparativa</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Criteri omogenei e informazioni mancanti</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Come varia una grandezza</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Grafico commentato</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Assi unità condizioni e andamento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Come sono disposte le strutture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Disegno o immagine annotata</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Orientamento e rapporti spaziali</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Perché una formula conduce al risultato</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Derivazione con spiegazione</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Ipotesi passaggi e unità di misura</w:t>
            </w:r>
          </w:p>
        </w:tc>
      </w:tr>
    </w:tbl>
    <w:p>
      <w:pPr>
        <w:spacing w:after="60" w:before="0" w:line="240" w:lineRule="auto"/>
      </w:pPr>
      <w:r>
        <w:rPr>
          <w:sz w:val="4"/>
        </w:rPr>
      </w:r>
    </w:p>
    <w:p>
      <w:pPr>
        <w:pStyle w:val="Heading2"/>
      </w:pPr>
      <w:r>
        <w:t>Costruire una mappa concettuale</w:t>
      </w:r>
    </w:p>
    <w:p>
      <w:r>
        <w:t>Una mappa concettuale rappresenta concetti e relazioni esplicitate attraverso parole o frasi di collegamento. Gli autori del metodo raccomandano una domanda focale, che delimiti il problema da chiarire, e una selezione delle relazioni rilevanti nel contesto. [6]</w:t>
      </w:r>
    </w:p>
    <w:p>
      <w:r>
        <w:t>Usare etichette brevi che preservino il concetto, comprese espressioni formate da più parole. Potenziale di membrana può quindi restare un unico nodo; inserire un intero capoverso è spesso poco funzionale, ma la concisione deve sostenere la precisione, senza imporre un conteggio arbitrario delle parole. [6]</w:t>
      </w:r>
    </w:p>
    <w:p>
      <w:r>
        <w:t>Leggere ogni collegamento come una proposizione: i due nodi e la relazione devono formare un'affermazione comprensibile. Scegliere liberamente il collegamento pertinente, distinguendo composizione, successione, regolazione, causalità e associazione; gli autori non richiedono un elenco chiuso di parole consentite. [6]</w:t>
      </w:r>
    </w:p>
    <w:p>
      <w:r>
        <w:t>Se una relazione dipende da condizioni, esplicitarle nella mappa o in una nota collegata. Una difficoltà nel formulare il legame può segnalare comprensione incompleta, un problema linguistico oppure incertezza del contenuto: la risposta consiste nel verificare, senza diagnosticare automaticamente una sola causa.</w:t>
      </w:r>
    </w:p>
    <w:p>
      <w:r>
        <w:t>L'organizzazione gerarchica è frequente, ma alcuni fenomeni richiedono anche retroazioni e collegamenti trasversali. Per una via metabolica, conservare ramificazioni e punti di regolazione; per un sistema endocrino, rappresentare il verso dei feedback invece di trasformare la rete in una sequenza soltanto lineare.</w:t>
      </w:r>
    </w:p>
    <w:p>
      <w:pPr>
        <w:pStyle w:val="Heading2"/>
      </w:pPr>
      <w:r>
        <w:t>Integrare parole e rappresentazioni non verbali</w:t>
      </w:r>
    </w:p>
    <w:p>
      <w:r>
        <w:t>La teoria della doppia codifica distingue rappresentazioni verbali e non verbali che possono interagire. Questo modello non corrisponde a una separazione rigida fra emisfero destro visivo e aree linguistiche isolate; il beneficio va cercato nell'integrazione pertinente fra rappresentazioni. [7]</w:t>
      </w:r>
    </w:p>
    <w:p>
      <w:r>
        <w:t>Un disegno anatomico annotato può mettere in relazione descrizione e disposizione spaziale, mentre un grafico commentato può collegare l'andamento a una spiegazione. Scrivere soltanto parole dentro rettangoli può offrire organizzazione relazionale, ma non dimostra automaticamente una ricca codifica immaginativa.</w:t>
      </w:r>
    </w:p>
    <w:p>
      <w:pPr>
        <w:pStyle w:val="Heading2"/>
      </w:pPr>
      <w:r>
        <w:t>Valutare il costo della rielaborazione</w:t>
      </w:r>
    </w:p>
    <w:p>
      <w:r>
        <w:t>La costruzione di uno schema occupa tempo che potrebbe essere dedicato anche a esercizi o correzione. In un confronto sperimentale su testi scientifici, il recupero ha prodotto risultati superiori allo studio elaborativo con mappe nelle condizioni adottate; questo non rende inutili tutte le mappe né ne giustifica l'obbligatorietà. [8]</w:t>
      </w:r>
    </w:p>
    <w:p>
      <w:r>
        <w:t>Interrompere il perfezionamento del supporto quando consente di orientarsi, esercitare la competenza e identificare gli errori. Verificare la sintesi sulla fonte e mantenerla modificabile; un appunto utile può restare incompleto in alcuni dettagli, purché le lacune siano riconosciute e non vengano presentate come conoscenze acquisite.</w:t>
      </w:r>
    </w:p>
    <w:p>
      <w:pPr>
        <w:pStyle w:val="Heading2"/>
      </w:pPr>
      <w:r>
        <w:t>Esito della fase</w:t>
      </w:r>
    </w:p>
    <w:p>
      <w:r>
        <w:t>La rielaborazione è utile quando chiarisce una relazione o facilita un'attività successiva. Conservare i rinvii al materiale originale e usare la rappresentazione anche per formulare domande, evitando che il riconoscimento di una pagina familiare sostituisca la verifica della conoscenza.</w:t>
      </w:r>
    </w:p>
    <w:p>
      <w:pPr>
        <w:pStyle w:val="Heading1"/>
      </w:pPr>
      <w:r>
        <w:t>Fase 4 Recupero applicazione e ripasso distribuito</w:t>
      </w:r>
    </w:p>
    <w:p>
      <w:pPr>
        <w:pStyle w:val="Heading2"/>
      </w:pPr>
      <w:r>
        <w:t>Esercitare il recupero</w:t>
      </w:r>
    </w:p>
    <w:p>
      <w:r>
        <w:t>Il recupero attivo consiste nel tentare di richiamare informazioni dalla memoria, attraverso domande, spiegazioni, problemi o ricostruzioni. Gli esperimenti e le sintesi della letteratura mostrano che può migliorare la prestazione successiva rispetto al solo ristudio in molte condizioni, compresi contesti educativi reali. [9, 10]</w:t>
      </w:r>
    </w:p>
    <w:p>
      <w:r>
        <w:t>Il risultato medio non equivale a un beneficio garantito per ogni contenuto: formato delle domande, corrispondenza con il materiale, ripetizioni e feedback contribuiscono agli esiti. Il recupero si integra quindi con acquisizione e correzione, senza costituire l'unico processo attraverso cui si apprende. [10]</w:t>
      </w:r>
    </w:p>
    <w:p>
      <w:r>
        <w:t>Per iniziare, scegliere una domanda collegata all'obiettivo e tentare una risposta senza consultare subito la soluzione. Chiudere il libro è una possibilità pratica, ma basta evitare l'accesso involontario alla risposta; quando un aiuto è necessario, registrarlo permette di distinguere prestazione autonoma e prestazione guidata.</w:t>
      </w:r>
    </w:p>
    <w:p>
      <w:pPr>
        <w:pStyle w:val="Heading2"/>
      </w:pPr>
      <w:r>
        <w:t>Scegliere prove che mostrino la competenza</w:t>
      </w:r>
    </w:p>
    <w:p>
      <w:r>
        <w:t>Per una definizione, controllare termini essenziali e condizioni; per un meccanismo, ricostruire i passaggi e spiegare i collegamenti. Se la prova richiede calcoli o decisioni, risolvere anche problemi, perché la rievocazione verbale di una regola non dimostra da sola la capacità di applicarla.</w:t>
      </w:r>
    </w:p>
    <w:p>
      <w:r>
        <w:t>Ricostruire una mappa da memoria o scrivere ciò che si ricorda può essere utile per una verifica ampia. Non è una tecnica superiore per definizione: se richiede troppo tempo o privilegia la disposizione grafica, alternarla con domande mirate, confronti e applicazioni.</w:t>
      </w:r>
    </w:p>
    <w:p>
      <w:r>
        <w:t>Alcune simulazioni dovrebbero riprendere formato, tempi e criteri della valutazione, senza tentare di riprodurne ogni condizione emotiva. Integrare anche formulazioni e casi differenti è una scelta pratica per controllare se la conoscenza è disponibile oltre la sequenza già esercitata.</w:t>
      </w:r>
    </w:p>
    <w:p>
      <w:pPr>
        <w:pStyle w:val="Heading2"/>
      </w:pPr>
      <w:r>
        <w:t>Verificare il trasferimento a compiti nuovi</w:t>
      </w:r>
    </w:p>
    <w:p>
      <w:r>
        <w:t>Il trasferimento consiste nell'utilizzare ciò che si è appreso quando cambiano domanda, contesto o richiesta. La metanalisi di Pan e Rickard rileva un beneficio medio del recupero anche su misure di trasferimento, ma la sua ampiezza varia con le condizioni e la distanza fra esercizio e prova successiva. [29]</w:t>
      </w:r>
    </w:p>
    <w:p>
      <w:r>
        <w:t>Fra i moderatori emergono la corrispondenza delle risposte fra prove, il recupero elaborativo e il successo nel recupero iniziale. Queste associazioni non definiscono requisiti necessari e sufficienti per ogni trasferimento, né dimostrano che ricordare una spiegazione produca automaticamente competenze lontane da quelle esercitate. [29]</w:t>
      </w:r>
    </w:p>
    <w:p>
      <w:r>
        <w:t>Per controllare l'applicazione, proporre un problema con dati o rappresentazione differenti e chiedere quale principio resti valido. Nel momento di una forza, variare la linea di azione e l'asse richiede di individuare nuovamente la distanza perpendicolare; ripetere una formula senza riconoscere questa distanza non basta.</w:t>
      </w:r>
    </w:p>
    <w:p>
      <w:r>
        <w:t>La variazione degli esempi è qui una scelta didattica per verificare i limiti della conoscenza, senza presentarla come condizione universale ricavata dalla sola metanalisi. Se il nuovo compito richiede prerequisiti aggiuntivi, occorre insegnarli: un mancato trasferimento non dimostra automaticamente un difetto del recupero.</w:t>
      </w:r>
    </w:p>
    <w:p>
      <w:pPr>
        <w:pStyle w:val="Heading2"/>
      </w:pPr>
      <w:r>
        <w:t>Correggere gli errori</w:t>
      </w:r>
    </w:p>
    <w:p>
      <w:r>
        <w:t>Il feedback deve permettere di capire cosa cambiare: sapere soltanto che una risposta è sbagliata può non bastare. Confrontarla con una soluzione affidabile, individuare omissioni o passaggi errati e ricostruire il ragionamento corretto, senza limitarsi a osservare una risposta familiare. [23]</w:t>
      </w:r>
    </w:p>
    <w:p>
      <w:r>
        <w:t>Quando un tentativo non progredisce, un indizio o la presentazione della risposta possono rendere utile il successivo studio. Esperimenti sui tentativi falliti mostrano che questi possono facilitare l'apprendimento seguente, ma non dimostrano che restare a lungo nel vuoto mentale produca da solo conoscenza. [12]</w:t>
      </w:r>
    </w:p>
    <w:p>
      <w:r>
        <w:t>La tempestività del controllo dipende dal compito: una lacuna che impedisce di continuare richiede un aiuto, mentre in una simulazione può essere utile completare prima il tentativo previsto. Evitare sia la consultazione automatica dopo ogni esitazione sia la ricerca indefinita di una risposta senza progressi.</w:t>
      </w:r>
    </w:p>
    <w:p>
      <w:r>
        <w:t>Per gli argomenti complessi, usare criteri espliciti su correttezza, completezza e ragionamento. La percentuale di risposte giuste è informativa soltanto insieme alla difficoltà e alla rappresentatività delle domande; un insieme ristretto di quesiti familiari non misura l'intero programma.</w:t>
      </w:r>
    </w:p>
    <w:p>
      <w:pPr>
        <w:pStyle w:val="Heading2"/>
      </w:pPr>
      <w:r>
        <w:t>Distribuire le occasioni di studio</w:t>
      </w:r>
    </w:p>
    <w:p>
      <w:r>
        <w:t>Il ripasso distribuito separa nel tempo le occasioni di studio, invece di concentrarle tutte in un'unica sessione. Gli intervalli appropriati dipendono anche da quanto a lungo si desidera mantenere la conoscenza; non esiste una sequenza universale valida per ogni persona e materiale. [1, 11]</w:t>
      </w:r>
    </w:p>
    <w:p>
      <w:r>
        <w:t>Nello studio di Cepeda e colleghi, la distanza più favorevole fra due occasioni di studio cresceva con l'intervallo prima del test, ma diminuiva in proporzione a quest'ultimo. Le stime passavano da circa il 20–40% per un intervallo di una settimana a circa il 5–10% per un anno. [11]</w:t>
      </w:r>
    </w:p>
    <w:p>
      <w:r>
        <w:t>Queste percentuali riguardano uno specifico disegno con due occasioni di studio; l'intervallo di ritenzione era misurato dalla seconda occasione al test finale. Non sono percentuali del tempo dalla prima lettura all'esame, né un algoritmo già validato per pianificare molti richiami di un intero corso. [11]</w:t>
      </w:r>
    </w:p>
    <w:p>
      <w:r>
        <w:t>Si può programmare un primo controllo in una sessione successiva e usare il risultato per decidere il seguito. Se il recupero è accurato su più occasioni, provare un intervallo maggiore; se emerge una lacuna importante, correggerla e prevedere un nuovo controllo prima, tenendo conto della scadenza.</w:t>
      </w:r>
    </w:p>
    <w:p>
      <w:r>
        <w:t>Questa regola è un'euristica operativa, non un algoritmo ottimale dimostrato. Gli intervalli non devono crescere sempre: un nuovo argomento, un errore o una richiesta d'esame differente possono rendere opportuno tornare più vicino sul contenuto.</w:t>
      </w:r>
    </w:p>
    <w:p>
      <w:pPr>
        <w:pStyle w:val="Heading2"/>
      </w:pPr>
      <w:r>
        <w:t>Alternare problemi e categorie pertinenti</w:t>
      </w:r>
    </w:p>
    <w:p>
      <w:r>
        <w:t>Dopo una prima acquisizione, può essere utile alternare problemi che richiedono strategie differenti, così da esercitare anche la scelta del procedimento. Un trial in classi di matematica sostiene il valore dell'alternanza nelle condizioni studiate, senza dimostrare che cambiare casualmente materia migliori ogni forma di apprendimento. [13]</w:t>
      </w:r>
    </w:p>
    <w:p>
      <w:r>
        <w:t>L'alternanza può servire anche a discriminare categorie simili: confrontare esempi di categorie diverse rende disponibili differenze che una sequenza omogenea può nascondere. Una metanalisi riporta un effetto complessivo g = 0,42, con risultati differenti per materiale: g = 0,67 nei dipinti e g = 0,34 nei compiti matematici. [28]</w:t>
      </w:r>
    </w:p>
    <w:p>
      <w:r>
        <w:t>Sono differenze standardizzate medie, non percentuali di miglioramento individuale. Per i testi espositivi il risultato complessivo non era significativo; nei compiti con parole prevaleva lo studio a blocchi, con g = −0,39. Questi sottogruppi non giustificano divieti per ogni testo o attività lessicale. [28]</w:t>
      </w:r>
    </w:p>
    <w:p>
      <w:r>
        <w:t>In Scienze Motorie si può provare un confronto fra immagini di strutture facilmente confuse, chiedendo quali caratteristiche permettano di distinguerle. È un'estensione didattica da verificare con immagini nuove, non una prova diretta di efficacia su anatomia, istologia o apprendimento motorio ricavata dagli studi sui dipinti.</w:t>
      </w:r>
    </w:p>
    <w:p>
      <w:r>
        <w:t>Alternare categorie durante un esercizio non equivale a interrompersi continuamente o saltare fra attività scollegate. Per una prima spiegazione complessa può servire continuità; l'alternanza diventa pertinente quando il compito richiede scegliere una procedura o riconoscere una categoria senza che il blocco suggerisca già la risposta.</w:t>
      </w:r>
    </w:p>
    <w:p>
      <w:pPr>
        <w:pStyle w:val="Heading2"/>
      </w:pPr>
      <w:r>
        <w:t>Contenere il carico dei richiami</w:t>
      </w:r>
    </w:p>
    <w:p>
      <w:r>
        <w:t>Ogni contenuto nuovo aggiunge possibili ripassi futuri, per cui il calendario deve riservare tempo sia alle revisioni sia al materiale ancora da acquisire. Quando i richiami diventano eccessivi, eliminare duplicazioni e rivedere le priorità, controllando di non abbandonare parti essenziali del programma.</w:t>
      </w:r>
    </w:p>
    <w:p>
      <w:pPr>
        <w:pStyle w:val="Heading2"/>
      </w:pPr>
      <w:r>
        <w:t>Preparare competenze pratiche e motorie</w:t>
      </w:r>
    </w:p>
    <w:p>
      <w:r>
        <w:t>Spiegare un gesto, riconoscerne un errore ed eseguirlo sono competenze diverse. Per una prova pratica, affiancare allo studio teorico occasioni di esecuzione coerenti con i criteri del corso: un'interrogazione mentale non verifica coordinazione, precisione o adattamento del movimento. [24]</w:t>
      </w:r>
    </w:p>
    <w:p>
      <w:r>
        <w:t>Come percorso iniziale, osservare una dimostrazione cercando obiettivo, fasi e criteri di riuscita; provare poi il compito e confrontare il risultato con quei criteri. Questa sequenza è una proposta organizzativa: l'osservazione serve a orientare la prova, mentre il suo contributo non va confuso con quello della pratica fisica.</w:t>
      </w:r>
    </w:p>
    <w:p>
      <w:r>
        <w:t>Il feedback intrinseco comprende le informazioni sensoriali disponibili attraverso il movimento stesso, incluse propriocezione e visione dell'esito. Il feedback estrinseco o aumentato aggiunge informazioni dall'esterno, per esempio il commento del docente, una misura strumentale o la revisione di un filmato. La modalità sensoriale, da sola, non determina la categoria.</w:t>
      </w:r>
    </w:p>
    <w:p>
      <w:r>
        <w:t>Una sensazione propriocettiva spontanea è quindi intrinseca; una guida fisica fornita dall'istruttore può aggiungere informazione aptica esterna. Nella pratica, distinguere ciò che si percepisce da ciò che viene comunicato aiuta a formulare domande precise: quale errore è osservabile e quale informazione permette di correggerlo?</w:t>
      </w:r>
    </w:p>
    <w:p>
      <w:r>
        <w:t>La letteratura sul focus attentivo descrive vantaggi, in diversi compiti, di istruzioni rivolte all'effetto del movimento rispetto a istruzioni centrate sui segmenti corporei. Per esempio, dirigere la palla verso un bersaglio offre un riferimento esterno. L'utilità va valutata sul compito e sul criterio richiesto, senza trasformarla in un divieto di spiegazioni anatomiche. [30]</w:t>
      </w:r>
    </w:p>
    <w:p>
      <w:r>
        <w:t>Anche la frequenza del feedback dipende dalle condizioni. In uno studio su bambini di 10–12 anni che praticavano una rimessa laterale, il feedback con focus esterno dopo ogni tentativo superava quello dopo un tentativo su tre nelle prove di trasferimento della forma del movimento. Il vantaggio non riguardava tutti gli esiti misurati. [31]</w:t>
      </w:r>
    </w:p>
    <w:p>
      <w:r>
        <w:t>Questo risultato impedisce di prescrivere una riduzione del feedback come legge universale. Concordare con il docente che cosa correggere e quando; introdurre anche tentativi senza commento aggiuntivo per controllare l'autonomia, mantenendo gli aiuti necessari al compito e senza confondere questa scelta pratica con una frequenza ottimale dimostrata.</w:t>
      </w:r>
    </w:p>
    <w:p>
      <w:r>
        <w:t>Quando l'esecuzione di base lo permette, variare in modo pertinente bersaglio, distanza o situazione e controllare la prestazione in un'occasione successiva. La variazione è una proposta da adattare al corso: l'alternanza di categorie studiata nei compiti visivi non basta a dimostrare quale ordine di pratica sia migliore per ogni abilità motoria.</w:t>
      </w:r>
    </w:p>
    <w:p>
      <w:r>
        <w:t>Per esempio, nella rimessa laterale distinguere rispetto dei criteri tecnici e precisione verso il bersaglio. Dopo la correzione, riprovare senza suggerimenti e successivamente con un bersaglio diverso; registrare separatamente forma ed esito, perché il miglioramento di una misura non garantisce quello dell'altra. [24, 31]</w:t>
      </w:r>
    </w:p>
    <w:p>
      <w:pPr>
        <w:pStyle w:val="Heading2"/>
      </w:pPr>
      <w:r>
        <w:t>Integrare le mnemotecniche quando servono</w:t>
      </w:r>
    </w:p>
    <w:p>
      <w:r>
        <w:t>Il metodo dei loci e altre associazioni possono sostenere il ricordo di materiale selezionato. Uno studio di allenamento mnemonico ha osservato miglioramenti nella memoria di liste e cambiamenti nelle reti funzionali, senza dimostrare competenza universitaria generale o immunità allo stress. [14]</w:t>
      </w:r>
    </w:p>
    <w:p>
      <w:r>
        <w:t>Usare una mnemotecnica quando la relazione da ricordare è convenzionale o difficile da mantenere, verificando se facilita davvero il recupero. Un acronimo, una breve associazione o un percorso di loci sono alternative possibili; immagini vivide e colori non costituiscono requisiti universali per ogni tecnica.</w:t>
      </w:r>
    </w:p>
    <w:p>
      <w:r>
        <w:t>Anatomia, chimica e diritto comprendono sia informazioni convenzionali sia relazioni spiegabili. Un'associazione può aiutare a ricordare un nome, mentre disposizione, funzione o condizioni d'applicazione richiedono anche comprensione: l'utilità della tecnica dipende dalla componente del compito che sostiene.</w:t>
      </w:r>
    </w:p>
    <w:p>
      <w:pPr>
        <w:pStyle w:val="Heading2"/>
      </w:pPr>
      <w:r>
        <w:t>Esito della fase</w:t>
      </w:r>
    </w:p>
    <w:p>
      <w:r>
        <w:t>La preparazione va valutata attraverso prove sufficientemente rappresentative, distribuite nel tempo e corrette con criteri affidabili. Nessuna singola risposta, sensazione o mnemotecnica certifica un ricordo permanente; l'obiettivo è mantenere e usare conoscenze corrette per gli scopi previsti, continuando a rivederle quando necessario.</w:t>
      </w:r>
    </w:p>
    <w:p>
      <w:pPr>
        <w:pStyle w:val="Heading1"/>
      </w:pPr>
      <w:r>
        <w:t>Fase 5 Gestione del carico attenzione e recupero</w:t>
      </w:r>
    </w:p>
    <w:p>
      <w:pPr>
        <w:pStyle w:val="Heading2"/>
      </w:pPr>
      <w:r>
        <w:t>Riconoscere il problema prima di scegliere la pausa</w:t>
      </w:r>
    </w:p>
    <w:p>
      <w:r>
        <w:t>Fatica, difficoltà del materiale, noia e preoccupazione possono rendere più faticoso il lavoro, ma richiedono interventi differenti. Un calo nella qualità non permette da solo di diagnosticare esaurimento di glucosio, carenza di ossigeno o impoverimento di neurotrasmettitori.</w:t>
      </w:r>
    </w:p>
    <w:p>
      <w:r>
        <w:t>Il modello dell'autocontrollo come risorsa consumabile e le sue interpretazioni metaboliche sono oggetto di discussione. Le repliche sull'ego depletion hanno prodotto risultati differenti e verificano soprattutto effetti comportamentali; non costituiscono automaticamente misure del glucosio locale né spiegazioni complete della fatica durante lo studio. [19–21]</w:t>
      </w:r>
    </w:p>
    <w:p>
      <w:r>
        <w:t>La ricerca sulla fatica prolungata pone domande differenti dagli esperimenti brevi sull'ego depletion. I modelli computazionali discutono come costi, benefici e alternative influenzino l'allocazione dello sforzo; la loro plausibilità non significa che la fatica sia immaginaria o interamente spiegata dalla motivazione. [32]</w:t>
      </w:r>
    </w:p>
    <w:p>
      <w:r>
        <w:t>Uno studio durante una giornata di lavoro cognitivo ha osservato differenze nei segnali di spettroscopia associati al glutammato nella corteccia prefrontale laterale e cambiamenti nelle scelte economiche. Gli autori propongono una spiegazione neurometabolica, che non equivale a misurare tossicità neuronale o a dimostrare un serbatoio di glucosio esaurito. [33]</w:t>
      </w:r>
    </w:p>
    <w:p>
      <w:r>
        <w:t>Questi risultati e modelli non stabiliscono quanto debba durare una sessione universitaria né dimostrano che una specifica pausa normalizzi un metabolita. Per applicare la guida, osservare qualità del lavoro, progressi e recupero rimane più giustificato che attribuire ogni calo a un singolo meccanismo biologico.</w:t>
      </w:r>
    </w:p>
    <w:p>
      <w:r>
        <w:t>Se il problema riguarda un prerequisito, cercare una spiegazione; se si stanno ripetendo errori per stanchezza, considerare una pausa o una riduzione del carico. Un tentativo impegnativo ma produttivo può invece proseguire, senza trattare ogni esitazione come emergenza oppure ogni fatica come segnale positivo.</w:t>
      </w:r>
    </w:p>
    <w:p>
      <w:pPr>
        <w:pStyle w:val="Heading2"/>
      </w:pPr>
      <w:r>
        <w:t>Usare le pause con flessibilità</w:t>
      </w:r>
    </w:p>
    <w:p>
      <w:r>
        <w:t>La ricerca sulle micropause suggerisce benefici medi su vigore e fatica, mentre gli effetti complessivi sulla prestazione sono più incerti. I risultati dipendono dalle attività e dalle durate studiate: non convalidano un reset universale di pochi secondi o una soglia obbligatoria per tutti. [15]</w:t>
      </w:r>
    </w:p>
    <w:p>
      <w:r>
        <w:t>Una pausa breve può consistere nel distogliere lo sguardo e interrompere il compito; una pausa più lunga può consentire movimento o un cambiamento di attività. Scegliere in base alla situazione, osservando se il lavoro successivo migliora, senza assumere che una pausa piacevole perda la sua funzione.</w:t>
      </w:r>
    </w:p>
    <w:p>
      <w:r>
        <w:t>I timer possono aiutare a ricordare di fermarsi e a contenere le interruzioni, ma non indicano il momento biologicamente ottimale. Se interrompono ripetutamente un ragionamento produttivo, adattarli; se aiutano a evitare sessioni troppo lunghe, conservarli come strumenti organizzativi.</w:t>
      </w:r>
    </w:p>
    <w:p>
      <w:r>
        <w:t>Limitare lo smartphone quando tende a prolungare la pausa o rende difficile rientrare nel compito. Non occorre un divieto universale di socialità o musica: è più utile verificare quali attività sostengano il recupero e quali assorbano il tempo destinato alla ripresa.</w:t>
      </w:r>
    </w:p>
    <w:p>
      <w:pPr>
        <w:pStyle w:val="Heading2"/>
      </w:pPr>
      <w:r>
        <w:t>Considerare il riposo tranquillo dopo lo studio</w:t>
      </w:r>
    </w:p>
    <w:p>
      <w:r>
        <w:t>Il riposo vigile post apprendimento è stato studiato anche come condizione favorevole alla memoria. Dewar e colleghi confrontarono, in adulti anziani, dieci minuti di riposo tranquillo dopo l'ascolto di racconti con dieci minuti di un gioco visivo; osservarono un vantaggio di ritenzione, anche dopo sette giorni. [34]</w:t>
      </w:r>
    </w:p>
    <w:p>
      <w:r>
        <w:t>Una minore interferenza e un migliore consolidamento sono interpretazioni da distinguere dal dato comportamentale. Lo studio non misurava direttamente il replay ippocampale e non confrontava il riposo con lo scorrimento dei social: non dimostra quindi quella specifica catena causale né un danno universale da smartphone. [34]</w:t>
      </w:r>
    </w:p>
    <w:p>
      <w:r>
        <w:t>Come opzione pratica, provare qualche minuto tranquillo dopo un blocco impegnativo, senza aggiungere immediatamente un nuovo compito, se questa pausa è sostenibile. I dieci minuti descrivono la condizione sperimentale citata; non rappresentano un obbligo dopo ogni argomento né sostituiscono sonno, richiami o verifica della comprensione.</w:t>
      </w:r>
    </w:p>
    <w:p>
      <w:pPr>
        <w:pStyle w:val="Heading2"/>
      </w:pPr>
      <w:r>
        <w:t>Respirare in modo confortevole</w:t>
      </w:r>
    </w:p>
    <w:p>
      <w:r>
        <w:t>Una respirazione lenta e non forzata può essere un'opzione per gestire la tensione. Un trial ha studiato pratiche strutturate di cinque minuti quotidiani per un mese, rilevando benefici su alcuni esiti di umore e respirazione; non ha verificato il ripristino dell'attenzione dopo dieci secondi di studio interrotto. [16]</w:t>
      </w:r>
    </w:p>
    <w:p>
      <w:r>
        <w:t>Chi trova utile contare il respiro può scegliere un ritmo confortevole, senza imporre inspirazioni massime o apnee. Se compaiono capogiro, fame d'aria o disagio, interrompere l'esercizio volontario e tornare alla respirazione abituale; non serve cercare un aumento massiccio dell'ossigenazione.</w:t>
      </w:r>
    </w:p>
    <w:p>
      <w:r>
        <w:t>La calma percepita e il battito cardiaco forniscono informazioni differenti dalla capacità di ragionare o ricordare. Non occorre misurare la frequenza cardiaca per applicare questa guida, né usare il passaggio presunto fra bande EEG come indicatore del recupero.</w:t>
      </w:r>
    </w:p>
    <w:p>
      <w:pPr>
        <w:pStyle w:val="Heading2"/>
      </w:pPr>
      <w:r>
        <w:t>Proteggere sonno e sostenibilità</w:t>
      </w:r>
    </w:p>
    <w:p>
      <w:r>
        <w:t>Il sonno sostiene processi di memoria e consolidamento, con relazioni differenti fra fasi del sonno e tipi di apprendimento. Ridurlo sistematicamente per aumentare le ore sui libri può compromettere gli obiettivi del piano; l'organizzazione dovrebbe quindi lasciare spazio al riposo, invece di trattarlo come tempo disponibile per recuperare ogni ritardo. [17]</w:t>
      </w:r>
    </w:p>
    <w:p>
      <w:r>
        <w:t>Quando il carico previsto supera stabilmente il tempo e le risorse disponibili, rivedere il piano: distinguere contenuti essenziali, attività ridondanti e scadenze modificabili. Aggiungere controlli, schemi e rituali a una giornata già satura può aumentare il lavoro senza risolverne la causa.</w:t>
      </w:r>
    </w:p>
    <w:p>
      <w:pPr>
        <w:pStyle w:val="Heading2"/>
      </w:pPr>
      <w:r>
        <w:t>Preparare la situazione di esame</w:t>
      </w:r>
    </w:p>
    <w:p>
      <w:r>
        <w:t>Conoscere luogo, orario, documenti e formato della prova permette di gestire alcuni imprevisti evitabili. Una routine semplice può includere materiali pronti e una soluzione alternativa per il tragitto; non richiede di rendere identici ogni pasto, abito o minuto della vigilia.</w:t>
      </w:r>
    </w:p>
    <w:p>
      <w:r>
        <w:t>Le simulazioni servono anche a conoscere le proprie reazioni e a esercitare il compito con una quota di attivazione emotiva. L'obiettivo pratico è riuscire a rispondere e recuperare il filo quando occorre, senza pretendere che la preparazione elimini ogni sensazione di ansia.</w:t>
      </w:r>
    </w:p>
    <w:p>
      <w:r>
        <w:t>Un corso strutturato di mindfulness ha ridotto il distress medio nel periodo d'esame in un trial universitario, ma questo non rende obbligatoria la meditazione e non equivale a una garanzia contro il panico. Mindfulness, immaginazione guidata, respirazione e allenamento propriocettivo sono interventi distinti. [18]</w:t>
      </w:r>
    </w:p>
    <w:p>
      <w:r>
        <w:t>Se ansia o difficoltà persistenti compromettono significativamente studio e vita quotidiana, un servizio universitario competente può aiutare a individuare un sostegno appropriato. La scelta non deriva dal fallimento di un rituale né richiede di attribuire il problema a una causa biologica non verificata.</w:t>
      </w:r>
    </w:p>
    <w:p>
      <w:pPr>
        <w:pStyle w:val="Heading1"/>
      </w:pPr>
      <w:r>
        <w:t>Applicazione integrata e controllo del percorso</w:t>
      </w:r>
    </w:p>
    <w:p>
      <w:pPr>
        <w:pStyle w:val="Heading2"/>
      </w:pPr>
      <w:r>
        <w:t>Un ciclo di lavoro su una unità significativa</w:t>
      </w:r>
    </w:p>
    <w:p>
      <w:r>
        <w:t>Scegliere un risultato, acquisire una prima spiegazione, produrre una risposta e controllarla; usare poi l'esito per decidere se approfondire, rappresentare diversamente o programmare un richiamo. Il ciclo consente ritorni alle fonti e può essere ripetuto su porzioni di estensione differente.</w:t>
      </w:r>
    </w:p>
    <w:p>
      <w:r>
        <w:t>La fase di schematizzazione può essere breve o non necessaria: aggiungerla quando chiarisce qualcosa che la sola spiegazione non rende visibile. Analogamente, una lacuna emersa durante il recupero può richiedere prima una nuova comprensione, senza attendere una fase separata di revisione generale.</w:t>
      </w:r>
    </w:p>
    <w:p>
      <w:pPr>
        <w:pStyle w:val="Heading2"/>
      </w:pPr>
      <w:r>
        <w:t>Esempio applicativo per Scienze Motorie</w:t>
      </w:r>
    </w:p>
    <w:p>
      <w:r>
        <w:t>Il seguente esempio è aggiunto per un percorso di Scienze Motorie e non descrive un esperimento sull'efficacia di questa guida. L'obiettivo è spiegare come la distanza perpendicolare della linea di azione di una forza dall'asse di rotazione contribuisca al momento della forza.</w:t>
      </w:r>
    </w:p>
    <w:p>
      <w:r>
        <w:t>Leggere una spiegazione con un disegno e controllare il significato di forza, asse e distanza perpendicolare. Se il prerequisito è incerto, chiarirlo attraverso un esempio; poi ricostruire il disegno e spiegare perché due situazioni con la stessa forza possano produrre momenti diversi.</w:t>
      </w:r>
    </w:p>
    <w:p>
      <w:r>
        <w:t>Confrontare la risposta con la fonte, quindi affrontare una configurazione nuova e dichiarare le ipotesi. Uno schema può aiutare a orientare le grandezze, mentre una domanda autonoma permette di verificare il ragionamento; un successivo richiamo controlla se la conoscenza resta accessibile.</w:t>
      </w:r>
    </w:p>
    <w:p>
      <w:pPr>
        <w:pStyle w:val="Heading2"/>
      </w:pPr>
      <w:r>
        <w:t>Una sessione concreta da cui partire</w:t>
      </w:r>
    </w:p>
    <w:p>
      <w:r>
        <w:t>Come impostazione iniziale, provare 35–45 minuti di lavoro e 5–10 minuti di pausa. Sono durate organizzative modificabili, senza un'ottimalità biologica dimostrata: ridurle se il lavoro perde qualità, oppure completare un passaggio breve se il timer interrompe un ragionamento ancora produttivo.</w:t>
      </w:r>
    </w:p>
    <w:p>
      <w:r>
        <w:t>Un blocco di 40 minuti può dedicare circa 5 minuti al controllo di un argomento precedente, 20 alla comprensione del materiale nuovo, 10 a un tentativo e alla correzione e 5 alla scelta del seguito. La ripartizione illustra una possibilità, senza costituire un protocollo sperimentale validato.</w:t>
      </w:r>
    </w:p>
    <w:p>
      <w:r>
        <w:t>Un problema articolato o un'esercitazione pratica può occupare l'intero blocco. Se venti minuti non consentono di comprendere un passaggio, spostare la distribuzione; se la schematizzazione non serve, usare quel tempo per un esercizio. Evitare di sacrificare la correzione soltanto per rispettare una sequenza temporale.</w:t>
      </w:r>
    </w:p>
    <w:p>
      <w:pPr>
        <w:pStyle w:val="Heading2"/>
      </w:pPr>
      <w:r>
        <w:t>Un calendario illustrativo con scadenza fra un mese</w:t>
      </w:r>
    </w:p>
    <w:p>
      <w:r>
        <w:t>Per un argomento affrontato al giorno 0, un punto di partenza è un controllo al giorno 1, poi ai giorni 4, 10 e 20, con una simulazione rappresentativa prima dell'esame. Questa sequenza è un esempio modificabile, non la traduzione delle percentuali di Cepeda in una formula per molti richiami.</w:t>
      </w:r>
    </w:p>
    <w:p>
      <w:r>
        <w:t>Nel giorno 0 acquisire una prima spiegazione, tentare e correggere. Nei richiami successivi iniziare senza fonte e poi correggere; introdurre anche applicazioni differenti. Il controllo immediato iniziale verifica soprattutto la comprensione disponibile, mentre quelli successivi informano sulla ritenzione e sull'uso della conoscenza.</w:t>
      </w:r>
    </w:p>
    <w:p>
      <w:r>
        <w:t>Se al giorno 4 emerge un errore sostanziale, correggerlo e programmare un nuovo controllo ravvicinato, per esempio il giorno seguente. Se due prove pertinenti risultano accurate, si può allungare l'intervallo: queste decisioni sono euristiche, non soglie di padronanza validate per tutti i contenuti.</w:t>
      </w:r>
    </w:p>
    <w:p>
      <w:r>
        <w:t>Per più argomenti, distribuire le nuove acquisizioni su giorni diversi e raggruppare richiami brevi, conservando tempo per il programma ancora da coprire. Non ogni unità richiede cinque appuntamenti separati; adattare frequenza e ampiezza delle prove agli errori, alla rilevanza e al tempo disponibile.</w:t>
      </w:r>
    </w:p>
    <w:p>
      <w:pPr>
        <w:pStyle w:val="Heading2"/>
      </w:pPr>
      <w:r>
        <w:t>Scheda essenziale di controllo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7"/>
        <w:gridCol w:w="3067"/>
        <w:gridCol w:w="3614"/>
      </w:tblGrid>
      <w:tr>
        <w:trPr>
          <w:cantSplit/>
          <w:tblHeader/>
        </w:trPr>
        <w:tc>
          <w:tcPr>
            <w:tcW w:type="dxa" w:w="3197"/>
            <w:vAlign w:val="center"/>
            <w:tcMar>
              <w:top w:w="85" w:type="dxa"/>
              <w:left w:w="85" w:type="dxa"/>
              <w:bottom w:w="85" w:type="dxa"/>
              <w:right w:w="85" w:type="dxa"/>
            </w:tcMar>
            <w:shd w:fill="E7E6E6"/>
          </w:tcPr>
          <w:p>
            <w:pPr>
              <w:keepNext w:val="0"/>
              <w:spacing w:after="60" w:before="60" w:line="254" w:lineRule="auto"/>
            </w:pPr>
            <w:r>
              <w:rPr>
                <w:b/>
                <w:sz w:val="21"/>
              </w:rPr>
              <w:t>Argomento</w:t>
            </w:r>
          </w:p>
        </w:tc>
        <w:tc>
          <w:tcPr>
            <w:tcW w:type="dxa" w:w="3067"/>
            <w:vAlign w:val="center"/>
            <w:tcMar>
              <w:top w:w="85" w:type="dxa"/>
              <w:left w:w="85" w:type="dxa"/>
              <w:bottom w:w="85" w:type="dxa"/>
              <w:right w:w="85" w:type="dxa"/>
            </w:tcMar>
            <w:shd w:fill="E7E6E6"/>
          </w:tcPr>
          <w:p>
            <w:pPr>
              <w:keepNext w:val="0"/>
              <w:spacing w:after="60" w:before="60" w:line="254" w:lineRule="auto"/>
            </w:pPr>
            <w:r>
              <w:rPr>
                <w:b/>
                <w:sz w:val="21"/>
              </w:rPr>
              <w:t>Esito ultima prova</w:t>
            </w:r>
          </w:p>
        </w:tc>
        <w:tc>
          <w:tcPr>
            <w:tcW w:type="dxa" w:w="3614"/>
            <w:vAlign w:val="center"/>
            <w:tcMar>
              <w:top w:w="85" w:type="dxa"/>
              <w:left w:w="85" w:type="dxa"/>
              <w:bottom w:w="85" w:type="dxa"/>
              <w:right w:w="85" w:type="dxa"/>
            </w:tcMar>
            <w:shd w:fill="E7E6E6"/>
          </w:tcPr>
          <w:p>
            <w:pPr>
              <w:keepNext w:val="0"/>
              <w:spacing w:after="60" w:before="60" w:line="254" w:lineRule="auto"/>
            </w:pPr>
            <w:r>
              <w:rPr>
                <w:b/>
                <w:sz w:val="21"/>
              </w:rPr>
              <w:t>Prossimo richiamo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Momento di una forza</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Errore nella distanza perpendicolare corretto con la fonte</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Domani con un disegno nuovo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Fasi del potenziale di azione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Spiegazione autonoma corretta nella prova scelta</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Fra quattro giorni con una domanda causale</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Rimessa laterale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Criteri tecnici rispettati ma precisione ancora variabile</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Prossima esercitazione con bersagli pertinenti</w:t>
            </w:r>
          </w:p>
        </w:tc>
      </w:tr>
    </w:tbl>
    <w:p>
      <w:pPr>
        <w:spacing w:after="60" w:before="0" w:line="240" w:lineRule="auto"/>
      </w:pPr>
      <w:r>
        <w:rPr>
          <w:sz w:val="4"/>
        </w:rPr>
      </w:r>
    </w:p>
    <w:p>
      <w:r>
        <w:t>Le righe mostrano esempi di registrazione, senza soglie sperimentali implicite. Indicare esito e azione con parole leggibili anche in bianco e nero; un solo record può coprire un nucleo coerente, senza trasformare ogni definizione in una scheda amministrativa.</w:t>
      </w:r>
    </w:p>
    <w:p>
      <w:pPr>
        <w:pStyle w:val="Heading2"/>
      </w:pPr>
      <w:r>
        <w:t>Aggiungere dettaglio soltanto quando serve</w:t>
      </w:r>
    </w:p>
    <w:p>
      <w:r>
        <w:t>Se l'errore è ricorrente o la verifica complessa, aggiungere alla scheda le informazioni necessarie a correggerlo. La traccia seguente offre campi disponibili, senza richiedere una compilazione completa per ogni argomento.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38"/>
      </w:tblGrid>
      <w:tr>
        <w:trPr>
          <w:cantSplit/>
          <w:tblHeader/>
        </w:trPr>
        <w:tc>
          <w:tcPr>
            <w:tcW w:type="dxa" w:w="3240"/>
            <w:vAlign w:val="center"/>
            <w:tcMar>
              <w:top w:w="85" w:type="dxa"/>
              <w:left w:w="85" w:type="dxa"/>
              <w:bottom w:w="85" w:type="dxa"/>
              <w:right w:w="85" w:type="dxa"/>
            </w:tcMar>
            <w:shd w:fill="E7E6E6"/>
          </w:tcPr>
          <w:p>
            <w:pPr>
              <w:keepNext w:val="0"/>
              <w:spacing w:after="60" w:before="60" w:line="254" w:lineRule="auto"/>
            </w:pPr>
            <w:r>
              <w:rPr>
                <w:b/>
                <w:sz w:val="21"/>
              </w:rPr>
              <w:t>Campo facoltativo</w:t>
            </w:r>
          </w:p>
        </w:tc>
        <w:tc>
          <w:tcPr>
            <w:tcW w:type="dxa" w:w="6638"/>
            <w:vAlign w:val="center"/>
            <w:tcMar>
              <w:top w:w="85" w:type="dxa"/>
              <w:left w:w="85" w:type="dxa"/>
              <w:bottom w:w="85" w:type="dxa"/>
              <w:right w:w="85" w:type="dxa"/>
            </w:tcMar>
            <w:shd w:fill="E7E6E6"/>
          </w:tcPr>
          <w:p>
            <w:pPr>
              <w:keepNext w:val="0"/>
              <w:spacing w:after="60" w:before="60" w:line="254" w:lineRule="auto"/>
            </w:pPr>
            <w:r>
              <w:rPr>
                <w:b/>
                <w:sz w:val="21"/>
              </w:rPr>
              <w:t>Informazione utile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Obiettivo</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Cosa occorre saper spiegare applicare o eseguire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Fonte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Materiale e posizione per verificare la risposta</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Tentativo</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Attività svolta e aiuti usati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Esito</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Errori omissioni e parti corrette secondo criteri espliciti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Correzione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Spiegazione o esercizio necessario</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Richiamo</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Quando e con quale prova controllare di nuovo</w:t>
            </w:r>
          </w:p>
        </w:tc>
      </w:tr>
    </w:tbl>
    <w:p>
      <w:pPr>
        <w:spacing w:after="60" w:before="0" w:line="240" w:lineRule="auto"/>
      </w:pPr>
      <w:r>
        <w:rPr>
          <w:sz w:val="4"/>
        </w:rPr>
      </w:r>
    </w:p>
    <w:p>
      <w:r>
        <w:t>Il valore della registrazione dipende dalla decisione che rende possibile. Se compilare la scheda occupa più tempo della verifica o non cambia il passo successivo, ridurre il dettaglio e conservare soltanto le informazioni utili.</w:t>
      </w:r>
    </w:p>
    <w:p>
      <w:pPr>
        <w:pStyle w:val="Heading2"/>
      </w:pPr>
      <w:r>
        <w:t>Revisione periodica del piano</w:t>
      </w:r>
    </w:p>
    <w:p>
      <w:r>
        <w:t>Controllare copertura del programma, risultati delle prove e carico di lavoro. Se si ricorda una definizione ma non la si applica, aggiungere problemi; se si comprende con il testo aperto ma non si risponde autonomamente, esercitare il recupero; se la spiegazione resta oscura, cercare guida prima di aumentare i richiami.</w:t>
      </w:r>
    </w:p>
    <w:p>
      <w:r>
        <w:t>Una verifica di più giorni permette di distinguere meglio una difficoltà occasionale da un problema ricorrente, senza attribuire automaticamente ogni cambiamento al metodo. Materiale, tempo disponibile e condizioni della prova possono variare: annotare questi fattori rende più prudente l'interpretazione dei risultati.</w:t>
      </w:r>
    </w:p>
    <w:p>
      <w:pPr>
        <w:pStyle w:val="Heading1"/>
        <w:pageBreakBefore/>
      </w:pPr>
      <w:r>
        <w:t>Appendice A Mappa delle evidenze e delle raccomandazioni</w:t>
      </w:r>
    </w:p>
    <w:p>
      <w:r>
        <w:t>Questa appendice serve a controllare la corrispondenza fra affermazioni e fonti. Le descrizioni qualitative non sono punteggi GRADE né percentuali di affidabilità; indicano il tipo di supporto usato e il limite principale della sua applicazione alla guida.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7"/>
        <w:gridCol w:w="3067"/>
        <w:gridCol w:w="3614"/>
      </w:tblGrid>
      <w:tr>
        <w:trPr>
          <w:cantSplit/>
          <w:tblHeader/>
        </w:trPr>
        <w:tc>
          <w:tcPr>
            <w:tcW w:type="dxa" w:w="3197"/>
            <w:vAlign w:val="center"/>
            <w:tcMar>
              <w:top w:w="85" w:type="dxa"/>
              <w:left w:w="85" w:type="dxa"/>
              <w:bottom w:w="85" w:type="dxa"/>
              <w:right w:w="85" w:type="dxa"/>
            </w:tcMar>
            <w:shd w:fill="E7E6E6"/>
          </w:tcPr>
          <w:p>
            <w:pPr>
              <w:keepNext w:val="0"/>
              <w:spacing w:after="60" w:before="60" w:line="254" w:lineRule="auto"/>
            </w:pPr>
            <w:r>
              <w:rPr>
                <w:b/>
                <w:sz w:val="21"/>
              </w:rPr>
              <w:t>Affermazione o scelta</w:t>
            </w:r>
          </w:p>
        </w:tc>
        <w:tc>
          <w:tcPr>
            <w:tcW w:type="dxa" w:w="3067"/>
            <w:vAlign w:val="center"/>
            <w:tcMar>
              <w:top w:w="85" w:type="dxa"/>
              <w:left w:w="85" w:type="dxa"/>
              <w:bottom w:w="85" w:type="dxa"/>
              <w:right w:w="85" w:type="dxa"/>
            </w:tcMar>
            <w:shd w:fill="E7E6E6"/>
          </w:tcPr>
          <w:p>
            <w:pPr>
              <w:keepNext w:val="0"/>
              <w:spacing w:after="60" w:before="60" w:line="254" w:lineRule="auto"/>
            </w:pPr>
            <w:r>
              <w:rPr>
                <w:b/>
                <w:sz w:val="21"/>
              </w:rPr>
              <w:t>Supporto pertinente</w:t>
            </w:r>
          </w:p>
        </w:tc>
        <w:tc>
          <w:tcPr>
            <w:tcW w:type="dxa" w:w="3614"/>
            <w:vAlign w:val="center"/>
            <w:tcMar>
              <w:top w:w="85" w:type="dxa"/>
              <w:left w:w="85" w:type="dxa"/>
              <w:bottom w:w="85" w:type="dxa"/>
              <w:right w:w="85" w:type="dxa"/>
            </w:tcMar>
            <w:shd w:fill="E7E6E6"/>
          </w:tcPr>
          <w:p>
            <w:pPr>
              <w:keepNext w:val="0"/>
              <w:spacing w:after="60" w:before="60" w:line="254" w:lineRule="auto"/>
            </w:pPr>
            <w:r>
              <w:rPr>
                <w:b/>
                <w:sz w:val="21"/>
              </w:rPr>
              <w:t>Limite da mantenere nella revisione</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Una preparazione concettuale può aiutare il nuovo apprendimento</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Esperimento di Ausubel [2]</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Non ogni indice o sintesi costituisce un organizzatore</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Capacità limitata e conoscenze precedenti incidono sulle richieste del compito</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Analisi di capacità e carico cognitivo [3, 5]</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Nessuna soglia universale in frasi o pagine</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Spiegare i passaggi può sostenere la comprensione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Studio delle spiegazioni da esempi [4]</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Una parafrasi personale può contenere errori</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Le mappe esplicitano concetti e relazioni</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Documentazione degli autori [6]</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Descrizione del metodo non prova superiorità universale</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Parole e rappresentazioni non verbali possono interagire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Teoria della doppia codifica [7]</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Nessuna divisione emisferica rigida</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Il recupero può migliorare risultati successivi</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Esperimenti e metanalisi [8–10]</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Beneficio medio dipendente dalle condizioni</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Correzione e successivo studio integrano il tentativo</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Esperimenti e revisione [12, 23]</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Nessun obbligo universale sul momento esatto del feedback</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La distribuzione nel tempo sostiene la ritenzione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Revisione ed esperimento temporale [1, 11]</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Nessun calendario ottimale unico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Ridurre gradualmente la guida può sostenere il passaggio ai problemi autonomi</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Analisi e studi sul fading [25, 26]</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Adattare al compito e alle conoscenze precedenti</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Gli aiuti possono cambiare utilità con la competenza</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Revisione sull’inversione dell’esperienza [27]</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Non tutti gli studenti avanzati sono esperti in ogni compito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Alternare strategie e categorie può sostenere scelta e discriminazione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Trial e metanalisi [13, 28]</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Eterogeneità per materiale e compito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Il recupero può sostenere il trasferimento</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Metanalisi [29]</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Moderatori non equivalgono a condizioni universali</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Focus e frequenza del feedback incidono sulla pratica motoria</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Revisione e studio su bambini [30, 31]</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Nessuna frequenza ottimale universale o equivalenza fra tutti gli esiti</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Le mnemotecniche possono aiutare su materiale selezionato</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Studio di allenamento mnemonico [14]</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Memoria di liste non equivale a competenza disciplinare</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Le micropause possono ridurre la fatica percepita</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Metanalisi [15]</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Risultati più incerti sulla prestazione complessiva</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La respirazione strutturata può modificare alcuni esiti di benessere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Trial di cinque minuti quotidiani [16]</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Non valida reset di dieci secondi durante lo studio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Il sonno contribuisce a processi di memoria</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Revisione fisiologica [17]</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Non autorizza promesse individuali di ricordo permanente</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Un corso di mindfulness può ridurre distress medio</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Trial universitario [18]</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Nessun obbligo né annullamento garantito del panico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La fatica non diagnostica esaurimento locale di glucosio</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Analisi critica e repliche [19–21]</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Le repliche comportamentali non misurano direttamente il metabolismo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Le memorie coinvolgono insiemi cellulari e circuiti</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Revisione sugli engrammi [22]</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La descrizione neurale non certifica la ritenzione individuale</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Costi dello sforzo e fatica prolungata hanno diversi modelli</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Revisione e studio neurometabolico [32, 33]</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Nessuna diagnosi soggettiva di metaboliti o durata obbligatoria delle pause</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Il riposo tranquillo dopo apprendimento può sostenere la ritenzione</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Esperimenti su racconti in anziani [34]</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Nessuna misura diretta di replay o confronto con social nello studio citato</w:t>
            </w:r>
          </w:p>
        </w:tc>
      </w:tr>
      <w:tr>
        <w:trPr>
          <w:cantSplit/>
        </w:trPr>
        <w:tc>
          <w:tcPr>
            <w:tcW w:type="dxa" w:w="3197"/>
            <w:vAlign w:val="center"/>
            <w:tcMar>
              <w:top w:w="85" w:type="dxa"/>
              <w:left w:w="85" w:type="dxa"/>
              <w:bottom w:w="85" w:type="dxa"/>
              <w:right w:w="85" w:type="dxa"/>
            </w:tcMar>
            <w:shd w:fill="FFFFFF"/>
          </w:tcPr>
          <w:p>
            <w:pPr>
              <w:keepNext w:val="0"/>
              <w:spacing w:after="60" w:before="60" w:line="254" w:lineRule="auto"/>
            </w:pPr>
            <w:r>
              <w:rPr>
                <w:b w:val="0"/>
                <w:sz w:val="21"/>
              </w:rPr>
              <w:t>Schede routine e criteri di uscita rendono applicabile la guida</w:t>
            </w:r>
          </w:p>
        </w:tc>
        <w:tc>
          <w:tcPr>
            <w:tcW w:type="dxa" w:w="3067"/>
            <w:vAlign w:val="center"/>
            <w:tcMar>
              <w:top w:w="85" w:type="dxa"/>
              <w:left w:w="85" w:type="dxa"/>
              <w:bottom w:w="85" w:type="dxa"/>
              <w:right w:w="85" w:type="dxa"/>
            </w:tcMar>
            <w:shd w:fill="FFFFFF"/>
          </w:tcPr>
          <w:p>
            <w:pPr>
              <w:keepNext w:val="0"/>
              <w:spacing w:after="60" w:before="60" w:line="254" w:lineRule="auto"/>
            </w:pPr>
            <w:r>
              <w:rPr>
                <w:b w:val="0"/>
                <w:sz w:val="21"/>
              </w:rPr>
              <w:t>Proposte organizzative del testo</w:t>
            </w:r>
          </w:p>
        </w:tc>
        <w:tc>
          <w:tcPr>
            <w:tcW w:type="dxa" w:w="3614"/>
            <w:vAlign w:val="center"/>
            <w:tcMar>
              <w:top w:w="85" w:type="dxa"/>
              <w:left w:w="85" w:type="dxa"/>
              <w:bottom w:w="85" w:type="dxa"/>
              <w:right w:w="85" w:type="dxa"/>
            </w:tcMar>
            <w:shd w:fill="FFFFFF"/>
          </w:tcPr>
          <w:p>
            <w:pPr>
              <w:keepNext w:val="0"/>
              <w:spacing w:after="60" w:before="60" w:line="254" w:lineRule="auto"/>
            </w:pPr>
            <w:r>
              <w:rPr>
                <w:b w:val="0"/>
                <w:sz w:val="21"/>
              </w:rPr>
              <w:t>La loro combinazione specifica non è stata validata sperimentalmente</w:t>
            </w:r>
          </w:p>
        </w:tc>
      </w:tr>
    </w:tbl>
    <w:p>
      <w:pPr>
        <w:spacing w:after="60" w:before="0" w:line="240" w:lineRule="auto"/>
      </w:pPr>
      <w:r>
        <w:rPr>
          <w:sz w:val="4"/>
        </w:rPr>
      </w:r>
    </w:p>
    <w:p>
      <w:r>
        <w:t>Le fonti riportate sono una selezione mirata, non il risultato di una revisione sistematica preregistrata. Sono incluse teorie, studi originali e sintesi: il loro ruolo è distinto per evitare che la descrizione di un metodo venga scambiata per prova della sua efficacia generale.</w:t>
      </w:r>
    </w:p>
    <w:p>
      <w:pPr>
        <w:pStyle w:val="Heading1"/>
        <w:pageBreakBefore/>
      </w:pPr>
      <w:r>
        <w:t>Appendice B Traccia delle rettifiche</w:t>
      </w:r>
    </w:p>
    <w:p>
      <w:r>
        <w:t>La tabella documenta le decisioni che sostituiscono i passaggi problematici della dispensa originale. Tiene conto anche delle rettifiche alle analisi critiche, evitando di attribuire all'originale divieti o formulazioni che non erano chiaramente presenti.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638"/>
      </w:tblGrid>
      <w:tr>
        <w:trPr>
          <w:cantSplit/>
          <w:tblHeader/>
        </w:trPr>
        <w:tc>
          <w:tcPr>
            <w:tcW w:type="dxa" w:w="3240"/>
            <w:vAlign w:val="center"/>
            <w:tcMar>
              <w:top w:w="85" w:type="dxa"/>
              <w:left w:w="85" w:type="dxa"/>
              <w:bottom w:w="85" w:type="dxa"/>
              <w:right w:w="85" w:type="dxa"/>
            </w:tcMar>
            <w:shd w:fill="E7E6E6"/>
          </w:tcPr>
          <w:p>
            <w:pPr>
              <w:keepNext w:val="0"/>
              <w:spacing w:after="60" w:before="60" w:line="254" w:lineRule="auto"/>
            </w:pPr>
            <w:r>
              <w:rPr>
                <w:b/>
                <w:sz w:val="21"/>
              </w:rPr>
              <w:t>Area della versione precedente</w:t>
            </w:r>
          </w:p>
        </w:tc>
        <w:tc>
          <w:tcPr>
            <w:tcW w:type="dxa" w:w="6638"/>
            <w:vAlign w:val="center"/>
            <w:tcMar>
              <w:top w:w="85" w:type="dxa"/>
              <w:left w:w="85" w:type="dxa"/>
              <w:bottom w:w="85" w:type="dxa"/>
              <w:right w:w="85" w:type="dxa"/>
            </w:tcMar>
            <w:shd w:fill="E7E6E6"/>
          </w:tcPr>
          <w:p>
            <w:pPr>
              <w:keepNext w:val="0"/>
              <w:spacing w:after="60" w:before="60" w:line="254" w:lineRule="auto"/>
            </w:pPr>
            <w:r>
              <w:rPr>
                <w:b/>
                <w:sz w:val="21"/>
              </w:rPr>
              <w:t>Decisione applicata nella nuova dispensa</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Studio altamente prevedibile e indipendente dalle emozioni</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Obiettivi osservabili risultati incerti e adattamento del piano</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Sistemi complessi crescita esponenziale e disadattamento evolutivo</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Rimossi come giustificazioni scientifiche non necessarie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Glucosio ossigeno e scelte quotidiane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Distinte fatica esperienza soggettiva effetti comportamentali e meccanismi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Pianificazione amigdala Zeigarnik TRIZ e Pareto</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Conservati strumenti pratici senza spegnimenti cerebrali o percentuali universali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Divieto di lettura lineare e sintesi obbligatoria</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Alternanza fra panoramica lettura continua e consultazione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Lettura equivalente a non apprendere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Ripristinata la funzione di acquisizione e chiarimento</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Connettivi inutili e esempi</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Eliminare ridondanze conservando nessi ed esempi necessari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Comprensione totale prima di procedere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Distinzione fra prerequisiti necessari dubbi contestuali e dettagli rinviabili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Schemi come unica fonte e mappe superiori per definizione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Rappresentazioni facoltative controllate sulle fonti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Nodi di una sola parola e lista chiusa di connettivi</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Rimossi come attribuzioni non sufficientemente sostenute dal testo originale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Doppia codifica e divisione rigida degli emisferi</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Descrizione funzionale delle rappresentazioni verbali e non verbali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Difficoltà del verbo come diagnosi certa</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Dubbio da esaminare ammettendo cause differenti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Recupero come unico apprendimento e fatica come biomarcatore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Acquisizione recupero correzione e risultati differiti distinti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Mielinizzazione memoria irreversibile e riflessi</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Eliminate catene causali e garanzie non dimostrate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Dunning Kruger e spiegazioni endocrine semplificate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Calibrazione del giudizio senza etichette diagnostiche improprie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Brain dump supremo e divieto assoluto di aiuti</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Tentativi autonomi con aiuti proporzionati e correzione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Calendario crescente universale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Richiami adattati a risultati materiali e scadenze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Anatomia diritto e chimica senza logica</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Distinzione fra componenti convenzionali e relazioni spiegabili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Mnemotecniche obbligatorie e immunità ai blackout</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Uso selettivo senza promessa di infallibilità</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Nideffer come misura del consumo e attenzione massima continua</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Regolazione funzionale del lavoro senza inferenze metaboliche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Microresting reset cortisolo neurotrasmettitori e bande EEG</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Pause flessibili con limiti delle evidenze esplicitati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Dieci contro sedici secondi</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Eliminato il dosaggio arbitrario senza usare il calcolo come confutazione generale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Respirazione vago e ossigenazione massiccia</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Respirazione confortevole facoltativa senza parametri diagnostici</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Divieti di svago socialità e cambiamenti di routine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Attività scelte secondo recupero e facilità di ripresa</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Mindfulness e routine che annullano il panico</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Pratiche opzionali distinte e organizzazione con alternative</w:t>
            </w:r>
          </w:p>
        </w:tc>
      </w:tr>
      <w:tr>
        <w:trPr>
          <w:cantSplit/>
        </w:trPr>
        <w:tc>
          <w:tcPr>
            <w:tcW w:type="dxa" w:w="3240"/>
            <w:vAlign w:val="center"/>
            <w:tcMar>
              <w:top w:w="85" w:type="dxa"/>
              <w:left w:w="85" w:type="dxa"/>
              <w:bottom w:w="85" w:type="dxa"/>
              <w:right w:w="85" w:type="dxa"/>
            </w:tcMar>
            <w:shd w:fill="FFFFFF"/>
          </w:tcPr>
          <w:p>
            <w:pPr>
              <w:keepNext w:val="0"/>
              <w:spacing w:after="60" w:before="60" w:line="254" w:lineRule="auto"/>
            </w:pPr>
            <w:r>
              <w:rPr>
                <w:b w:val="0"/>
                <w:sz w:val="21"/>
              </w:rPr>
              <w:t>Richiami biografici e esempi di Scienze Motorie</w:t>
            </w:r>
          </w:p>
        </w:tc>
        <w:tc>
          <w:tcPr>
            <w:tcW w:type="dxa" w:w="6638"/>
            <w:vAlign w:val="center"/>
            <w:tcMar>
              <w:top w:w="85" w:type="dxa"/>
              <w:left w:w="85" w:type="dxa"/>
              <w:bottom w:w="85" w:type="dxa"/>
              <w:right w:w="85" w:type="dxa"/>
            </w:tcMar>
            <w:shd w:fill="FFFFFF"/>
          </w:tcPr>
          <w:p>
            <w:pPr>
              <w:keepNext w:val="0"/>
              <w:spacing w:after="60" w:before="60" w:line="254" w:lineRule="auto"/>
            </w:pPr>
            <w:r>
              <w:rPr>
                <w:b w:val="0"/>
                <w:sz w:val="21"/>
              </w:rPr>
              <w:t>Rimossa la disputa sui titoli e dichiarata la natura degli esempi aggiunti</w:t>
            </w:r>
          </w:p>
        </w:tc>
      </w:tr>
    </w:tbl>
    <w:p>
      <w:pPr>
        <w:spacing w:after="60" w:before="0" w:line="240" w:lineRule="auto"/>
      </w:pPr>
      <w:r>
        <w:rPr>
          <w:sz w:val="4"/>
        </w:rPr>
      </w:r>
    </w:p>
    <w:p>
      <w:pPr>
        <w:pStyle w:val="Heading2"/>
      </w:pPr>
      <w:r>
        <w:t>Interventi dalla versione 1 alla versione 2</w:t>
      </w:r>
    </w:p>
    <w:p>
      <w:r>
        <w:t>La versione 2 distingue panoramica e organizzatore anticipato, aggiunge criteri orientativi per le priorità e rende esplicita la letteratura su fading ed expertise reversal. Amplia inoltre alternanza e trasferimento, separando gli effetti osservati dalle proposte per Scienze Motorie.</w:t>
      </w:r>
    </w:p>
    <w:p>
      <w:r>
        <w:t>Sono aggiunte una sezione sulle competenze motorie, le differenze fra feedback intrinseco ed estrinseco e i limiti delle prescrizioni sulla sua frequenza. La discussione sulla fatica comprende modelli dello sforzo e risultati neurometabolici; il riposo tranquillo è presentato con popolazione e confronto realmente studiati.</w:t>
      </w:r>
    </w:p>
    <w:p>
      <w:r>
        <w:t>Le durate delle sessioni e il calendario offrono ora valori iniziali modificabili; la scheda essenziale contiene tre voci e il dettaglio ulteriore è facoltativo. Il riferimento sugli engrammi è richiamato nel testo e nell'appendice per la sua pertinenza alla memoria, senza usarlo come prova sulla mielinizzazione.</w:t>
      </w:r>
    </w:p>
    <w:p>
      <w:r>
        <w:t>Non sono adottati divieti generali di alternanza per testi o vocaboli, percentuali fisse per organizzare i richiami o promesse di feedback ottimale. L'accordo fra revisioni ha guidato controlli mirati, mentre l'autorità delle affermazioni dipende dalle fonti e dalla corrispondenza con ciò che misurano.</w:t>
      </w:r>
    </w:p>
    <w:p>
      <w:pPr>
        <w:pStyle w:val="Heading2"/>
      </w:pPr>
      <w:r>
        <w:t>Indicazioni per la prossima verifica</w:t>
      </w:r>
    </w:p>
    <w:p>
      <w:r>
        <w:t>Controllare prima se ogni passaggio attribuisce correttamente il risultato alla fonte e se mantiene le condizioni dello studio. Distinguere un errore fattuale, un'inferenza troppo ampia e una raccomandazione organizzativa discutibile, indicando il testo preciso e la ragione della rettifica proposta.</w:t>
      </w:r>
    </w:p>
    <w:p>
      <w:r>
        <w:t>Esaminare poi le contraddizioni operative: quando viene suggerito di fermarsi, quando proseguire e come scegliere un aiuto. Un controllo utile dovrebbe anche verificare che le attività richieste siano sostenibili e che le prove proposte misurino la competenza indicata, senza dedurre efficacia dalla sola plausibilità del metodo.</w:t>
      </w:r>
    </w:p>
    <w:p>
      <w:r>
        <w:t>L'accordo fra più sistemi di IA può far emergere correzioni, ma non certifica l'assenza di errori e non equivale alla revisione editoriale di una rivista scientifica. La versione rimane correggibile sulla base di nuove verifiche testuali, metodologiche e bibliografiche.</w:t>
      </w:r>
    </w:p>
    <w:p>
      <w:pPr>
        <w:pStyle w:val="Heading1"/>
        <w:pageBreakBefore/>
      </w:pPr>
      <w:r>
        <w:t>Bibliografia</w:t>
      </w:r>
    </w:p>
    <w:p>
      <w:pPr>
        <w:spacing w:after="180"/>
        <w:ind w:left="461" w:hanging="461"/>
      </w:pPr>
      <w:r>
        <w:rPr>
          <w:sz w:val="21"/>
        </w:rPr>
        <w:t xml:space="preserve">[1] Dunlosky J, Rawson KA, Marsh EJ, Nathan MJ, Willingham DT. 2013. Improving Students' Learning With Effective Learning Techniques: Promising Directions From Cognitive and Educational Psychology. Psychological Science in the Public Interest. 14(1), 4–58. Revisione comparativa. </w:t>
      </w:r>
      <w:hyperlink r:id="rId9">
        <w:r>
          <w:rPr>
            <w:color w:val="000000"/>
            <w:u w:val="single"/>
          </w:rPr>
          <w:t>https://doi.org/10.1177/1529100612453266</w:t>
        </w:r>
      </w:hyperlink>
      <w:r>
        <w:rPr>
          <w:sz w:val="21"/>
        </w:rPr>
      </w:r>
    </w:p>
    <w:p>
      <w:pPr>
        <w:spacing w:after="180"/>
        <w:ind w:left="461" w:hanging="461"/>
      </w:pPr>
      <w:r>
        <w:rPr>
          <w:sz w:val="21"/>
        </w:rPr>
        <w:t xml:space="preserve">[2] Ausubel DP. 1960. The use of advance organizers in the learning and retention of meaningful verbal material. Journal of Educational Psychology. 51(5), 267–272. Studio originale. </w:t>
      </w:r>
      <w:hyperlink r:id="rId10">
        <w:r>
          <w:rPr>
            <w:color w:val="000000"/>
            <w:u w:val="single"/>
          </w:rPr>
          <w:t>https://doi.org/10.1037/h0046669</w:t>
        </w:r>
      </w:hyperlink>
      <w:r>
        <w:rPr>
          <w:sz w:val="21"/>
        </w:rPr>
      </w:r>
    </w:p>
    <w:p>
      <w:pPr>
        <w:spacing w:after="180"/>
        <w:ind w:left="461" w:hanging="461"/>
      </w:pPr>
      <w:r>
        <w:rPr>
          <w:sz w:val="21"/>
        </w:rPr>
        <w:t xml:space="preserve">[3] Sweller J. 1988. Cognitive Load During Problem Solving: Effects on Learning. Cognitive Science. 12(2), 257–285. Modello ed evidenze sperimentali. </w:t>
      </w:r>
      <w:hyperlink r:id="rId11">
        <w:r>
          <w:rPr>
            <w:color w:val="000000"/>
            <w:u w:val="single"/>
          </w:rPr>
          <w:t>https://doi.org/10.1207/s15516709cog1202_4</w:t>
        </w:r>
      </w:hyperlink>
      <w:r>
        <w:rPr>
          <w:sz w:val="21"/>
        </w:rPr>
      </w:r>
    </w:p>
    <w:p>
      <w:pPr>
        <w:spacing w:after="180"/>
        <w:ind w:left="461" w:hanging="461"/>
      </w:pPr>
      <w:r>
        <w:rPr>
          <w:sz w:val="21"/>
        </w:rPr>
        <w:t xml:space="preserve">[4] Chi MTH, Bassok M, Lewis MW, Reimann P, Glaser R. 1989. Self-Explanations: How Students Study and Use Examples in Learning to Solve Problems. Cognitive Science. 13(2), 145–182. Studio originale. </w:t>
      </w:r>
      <w:hyperlink r:id="rId12">
        <w:r>
          <w:rPr>
            <w:color w:val="000000"/>
            <w:u w:val="single"/>
          </w:rPr>
          <w:t>https://doi.org/10.1207/s15516709cog1302_1</w:t>
        </w:r>
      </w:hyperlink>
      <w:r>
        <w:rPr>
          <w:sz w:val="21"/>
        </w:rPr>
      </w:r>
    </w:p>
    <w:p>
      <w:pPr>
        <w:spacing w:after="180"/>
        <w:ind w:left="461" w:hanging="461"/>
      </w:pPr>
      <w:r>
        <w:rPr>
          <w:sz w:val="21"/>
        </w:rPr>
        <w:t xml:space="preserve">[5] Cowan N. 2001. The magical number 4 in short-term memory: A reconsideration of mental storage capacity. Behavioral and Brain Sciences. 24(1), 87–114. Articolo teorico con sintesi delle evidenze. </w:t>
      </w:r>
      <w:hyperlink r:id="rId13">
        <w:r>
          <w:rPr>
            <w:color w:val="000000"/>
            <w:u w:val="single"/>
          </w:rPr>
          <w:t>https://doi.org/10.1017/S0140525X01003922</w:t>
        </w:r>
      </w:hyperlink>
      <w:r>
        <w:rPr>
          <w:sz w:val="21"/>
        </w:rPr>
      </w:r>
    </w:p>
    <w:p>
      <w:pPr>
        <w:spacing w:after="180"/>
        <w:ind w:left="461" w:hanging="461"/>
      </w:pPr>
      <w:r>
        <w:rPr>
          <w:sz w:val="21"/>
        </w:rPr>
        <w:t xml:space="preserve">[6] Novak JD, Cañas AJ. 2008. The Theory Underlying Concept Maps and How to Construct and Use Them. Technical Report IHMC CmapTools 2006-01 Rev 01-2008. Documentazione del metodo. </w:t>
      </w:r>
      <w:hyperlink r:id="rId14">
        <w:r>
          <w:rPr>
            <w:color w:val="000000"/>
            <w:u w:val="single"/>
          </w:rPr>
          <w:t>https://cmap.ihmc.us/docs/theory-of-concept-maps.php</w:t>
        </w:r>
      </w:hyperlink>
      <w:r>
        <w:rPr>
          <w:sz w:val="21"/>
        </w:rPr>
        <w:t xml:space="preserve"> . Si veda anche Cañas AJ, Novak JD, What is a Concept Map?, aggiornamento 2009: </w:t>
      </w:r>
      <w:hyperlink r:id="rId15">
        <w:r>
          <w:rPr>
            <w:color w:val="000000"/>
            <w:u w:val="single"/>
          </w:rPr>
          <w:t>https://cmap.ihmc.us/docs/conceptmap.html</w:t>
        </w:r>
      </w:hyperlink>
      <w:r>
        <w:rPr>
          <w:sz w:val="21"/>
        </w:rPr>
      </w:r>
    </w:p>
    <w:p>
      <w:pPr>
        <w:spacing w:after="180"/>
        <w:ind w:left="461" w:hanging="461"/>
      </w:pPr>
      <w:r>
        <w:rPr>
          <w:sz w:val="21"/>
        </w:rPr>
        <w:t xml:space="preserve">[7] Clark JM, Paivio A. 1991. Dual coding theory and education. Educational Psychology Review. 3, 149–210. Esposizione teorica e revisione. </w:t>
      </w:r>
      <w:hyperlink r:id="rId16">
        <w:r>
          <w:rPr>
            <w:color w:val="000000"/>
            <w:u w:val="single"/>
          </w:rPr>
          <w:t>https://doi.org/10.1007/BF01320076</w:t>
        </w:r>
      </w:hyperlink>
      <w:r>
        <w:rPr>
          <w:sz w:val="21"/>
        </w:rPr>
      </w:r>
    </w:p>
    <w:p>
      <w:pPr>
        <w:spacing w:after="180"/>
        <w:ind w:left="461" w:hanging="461"/>
      </w:pPr>
      <w:r>
        <w:rPr>
          <w:sz w:val="21"/>
        </w:rPr>
        <w:t xml:space="preserve">[8] Karpicke JD, Blunt JR. 2011. Retrieval practice produces more learning than elaborative studying with concept mapping. Science. 331(6018), 772–775. Studio originale. </w:t>
      </w:r>
      <w:hyperlink r:id="rId17">
        <w:r>
          <w:rPr>
            <w:color w:val="000000"/>
            <w:u w:val="single"/>
          </w:rPr>
          <w:t>https://doi.org/10.1126/science.1199327</w:t>
        </w:r>
      </w:hyperlink>
      <w:r>
        <w:rPr>
          <w:sz w:val="21"/>
        </w:rPr>
      </w:r>
    </w:p>
    <w:p>
      <w:pPr>
        <w:spacing w:after="180"/>
        <w:ind w:left="461" w:hanging="461"/>
      </w:pPr>
      <w:r>
        <w:rPr>
          <w:sz w:val="21"/>
        </w:rPr>
        <w:t xml:space="preserve">[9] Roediger HL, Karpicke JD. 2006. Test-enhanced learning: taking memory tests improves long-term retention. Psychological Science. 17(3), 249–255. Esperimenti su testi e ritenzione. </w:t>
      </w:r>
      <w:hyperlink r:id="rId18">
        <w:r>
          <w:rPr>
            <w:color w:val="000000"/>
            <w:u w:val="single"/>
          </w:rPr>
          <w:t>https://doi.org/10.1111/j.1467-9280.2006.01693.x</w:t>
        </w:r>
      </w:hyperlink>
      <w:r>
        <w:rPr>
          <w:sz w:val="21"/>
        </w:rPr>
      </w:r>
    </w:p>
    <w:p>
      <w:pPr>
        <w:spacing w:after="180"/>
        <w:ind w:left="461" w:hanging="461"/>
      </w:pPr>
      <w:r>
        <w:rPr>
          <w:sz w:val="21"/>
        </w:rPr>
        <w:t xml:space="preserve">[10] Yang C, Luo L, Vadillo MA, Yu R, Shanks DR. 2021. Testing (quizzing) boosts classroom learning: A systematic and meta-analytic review. Psychological Bulletin. 147(4), 399–435. Revisione sistematica e metanalisi. </w:t>
      </w:r>
      <w:hyperlink r:id="rId19">
        <w:r>
          <w:rPr>
            <w:color w:val="000000"/>
            <w:u w:val="single"/>
          </w:rPr>
          <w:t>https://doi.org/10.1037/bul0000309</w:t>
        </w:r>
      </w:hyperlink>
      <w:r>
        <w:rPr>
          <w:sz w:val="21"/>
        </w:rPr>
      </w:r>
    </w:p>
    <w:p>
      <w:pPr>
        <w:spacing w:after="180"/>
        <w:ind w:left="461" w:hanging="461"/>
      </w:pPr>
      <w:r>
        <w:rPr>
          <w:sz w:val="21"/>
        </w:rPr>
        <w:t xml:space="preserve">[11] Cepeda NJ, Vul E, Rohrer D, Wixted JT, Pashler H. 2008. Spacing effects in learning: a temporal ridgeline of optimal retention. Psychological Science. 19(11), 1095–1102. Studio originale. </w:t>
      </w:r>
      <w:hyperlink r:id="rId20">
        <w:r>
          <w:rPr>
            <w:color w:val="000000"/>
            <w:u w:val="single"/>
          </w:rPr>
          <w:t>https://doi.org/10.1111/j.1467-9280.2008.02209.x</w:t>
        </w:r>
      </w:hyperlink>
      <w:r>
        <w:rPr>
          <w:sz w:val="21"/>
        </w:rPr>
      </w:r>
    </w:p>
    <w:p>
      <w:pPr>
        <w:spacing w:after="180"/>
        <w:ind w:left="461" w:hanging="461"/>
      </w:pPr>
      <w:r>
        <w:rPr>
          <w:sz w:val="21"/>
        </w:rPr>
        <w:t xml:space="preserve">[12] Kornell N, Hays MJ, Bjork RA. 2009. Unsuccessful retrieval attempts enhance subsequent learning. Journal of Experimental Psychology Learning Memory and Cognition. 35(4), 989–998. Esperimenti con successiva presentazione della risposta. </w:t>
      </w:r>
      <w:hyperlink r:id="rId21">
        <w:r>
          <w:rPr>
            <w:color w:val="000000"/>
            <w:u w:val="single"/>
          </w:rPr>
          <w:t>https://doi.org/10.1037/a0015729</w:t>
        </w:r>
      </w:hyperlink>
      <w:r>
        <w:rPr>
          <w:sz w:val="21"/>
        </w:rPr>
      </w:r>
    </w:p>
    <w:p>
      <w:pPr>
        <w:spacing w:after="180"/>
        <w:ind w:left="461" w:hanging="461"/>
      </w:pPr>
      <w:r>
        <w:rPr>
          <w:sz w:val="21"/>
        </w:rPr>
        <w:t xml:space="preserve">[13] Rohrer D, Dedrick RF, Hartwig MK, Cheung CN. 2020. A randomized controlled trial of interleaved mathematics practice. Journal of Educational Psychology. 112(1), 40–52. Trial randomizzato per classi. </w:t>
      </w:r>
      <w:hyperlink r:id="rId22">
        <w:r>
          <w:rPr>
            <w:color w:val="000000"/>
            <w:u w:val="single"/>
          </w:rPr>
          <w:t>https://doi.org/10.1037/edu0000367</w:t>
        </w:r>
      </w:hyperlink>
      <w:r>
        <w:rPr>
          <w:sz w:val="21"/>
        </w:rPr>
      </w:r>
    </w:p>
    <w:p>
      <w:pPr>
        <w:spacing w:after="180"/>
        <w:ind w:left="461" w:hanging="461"/>
      </w:pPr>
      <w:r>
        <w:rPr>
          <w:sz w:val="21"/>
        </w:rPr>
        <w:t xml:space="preserve">[14] Dresler M, Shirer WR, Konrad BN, Müller NCJ, Wagner IC, Fernández G, Czisch M, Greicius MD. 2017. Mnemonic Training Reshapes Brain Networks to Support Superior Memory. Neuron. 93(5), 1227–1235.e6. Studio di memoria e allenamento mnemonico. </w:t>
      </w:r>
      <w:hyperlink r:id="rId23">
        <w:r>
          <w:rPr>
            <w:color w:val="000000"/>
            <w:u w:val="single"/>
          </w:rPr>
          <w:t>https://doi.org/10.1016/j.neuron.2017.02.003</w:t>
        </w:r>
      </w:hyperlink>
      <w:r>
        <w:rPr>
          <w:sz w:val="21"/>
        </w:rPr>
      </w:r>
    </w:p>
    <w:p>
      <w:pPr>
        <w:spacing w:after="180"/>
        <w:ind w:left="461" w:hanging="461"/>
      </w:pPr>
      <w:r>
        <w:rPr>
          <w:sz w:val="21"/>
        </w:rPr>
        <w:t xml:space="preserve">[15] Albulescu P, Macsinga I, Rusu A, Sulea C, Bodnaru A, Tulbure BT. 2022. Give me a break! A systematic review and meta-analysis on the efficacy of micro-breaks for increasing well-being and performance. PLOS ONE. 17(8), e0272460. Revisione sistematica e metanalisi. </w:t>
      </w:r>
      <w:hyperlink r:id="rId24">
        <w:r>
          <w:rPr>
            <w:color w:val="000000"/>
            <w:u w:val="single"/>
          </w:rPr>
          <w:t>https://doi.org/10.1371/journal.pone.0272460</w:t>
        </w:r>
      </w:hyperlink>
      <w:r>
        <w:rPr>
          <w:sz w:val="21"/>
        </w:rPr>
      </w:r>
    </w:p>
    <w:p>
      <w:pPr>
        <w:spacing w:after="180"/>
        <w:ind w:left="461" w:hanging="461"/>
      </w:pPr>
      <w:r>
        <w:rPr>
          <w:sz w:val="21"/>
        </w:rPr>
        <w:t xml:space="preserve">[16] Yilmaz Balban M et al. 2023. Brief structured respiration practices enhance mood and reduce physiological arousal. Cell Reports Medicine. 4(1), 100895. Trial randomizzato remoto. </w:t>
      </w:r>
      <w:hyperlink r:id="rId25">
        <w:r>
          <w:rPr>
            <w:color w:val="000000"/>
            <w:u w:val="single"/>
          </w:rPr>
          <w:t>https://doi.org/10.1016/j.xcrm.2022.100895</w:t>
        </w:r>
      </w:hyperlink>
      <w:r>
        <w:rPr>
          <w:sz w:val="21"/>
        </w:rPr>
      </w:r>
    </w:p>
    <w:p>
      <w:pPr>
        <w:spacing w:after="180"/>
        <w:ind w:left="461" w:hanging="461"/>
      </w:pPr>
      <w:r>
        <w:rPr>
          <w:sz w:val="21"/>
        </w:rPr>
        <w:t xml:space="preserve">[17] Rasch B, Born J. 2013. About sleep's role in memory. Physiological Reviews. 93(2), 681–766. Revisione fisiologica. </w:t>
      </w:r>
      <w:hyperlink r:id="rId26">
        <w:r>
          <w:rPr>
            <w:color w:val="000000"/>
            <w:u w:val="single"/>
          </w:rPr>
          <w:t>https://doi.org/10.1152/physrev.00032.2012</w:t>
        </w:r>
      </w:hyperlink>
      <w:r>
        <w:rPr>
          <w:sz w:val="21"/>
        </w:rPr>
      </w:r>
    </w:p>
    <w:p>
      <w:pPr>
        <w:spacing w:after="180"/>
        <w:ind w:left="461" w:hanging="461"/>
      </w:pPr>
      <w:r>
        <w:rPr>
          <w:sz w:val="21"/>
        </w:rPr>
        <w:t xml:space="preserve">[18] Galante J et al. 2018. A mindfulness-based intervention to increase resilience to stress in university students (the Mindful Student Study): a pragmatic randomised controlled trial. The Lancet Public Health. 3(2), e72–e81. Trial universitario. </w:t>
      </w:r>
      <w:hyperlink r:id="rId27">
        <w:r>
          <w:rPr>
            <w:color w:val="000000"/>
            <w:u w:val="single"/>
          </w:rPr>
          <w:t>https://doi.org/10.1016/S2468-2667(17)30231-1</w:t>
        </w:r>
      </w:hyperlink>
      <w:r>
        <w:rPr>
          <w:sz w:val="21"/>
        </w:rPr>
      </w:r>
    </w:p>
    <w:p>
      <w:pPr>
        <w:spacing w:after="180"/>
        <w:ind w:left="461" w:hanging="461"/>
      </w:pPr>
      <w:r>
        <w:rPr>
          <w:sz w:val="21"/>
        </w:rPr>
        <w:t xml:space="preserve">[19] Kurzban R. 2010. Does the Brain Consume Additional Glucose during Self-Control Tasks? Evolutionary Psychology. 8(2), 244–259. Analisi critica del modello metabolico. </w:t>
      </w:r>
      <w:hyperlink r:id="rId28">
        <w:r>
          <w:rPr>
            <w:color w:val="000000"/>
            <w:u w:val="single"/>
          </w:rPr>
          <w:t>https://doi.org/10.1177/147470491000800208</w:t>
        </w:r>
      </w:hyperlink>
      <w:r>
        <w:rPr>
          <w:sz w:val="21"/>
        </w:rPr>
      </w:r>
    </w:p>
    <w:p>
      <w:pPr>
        <w:spacing w:after="180"/>
        <w:ind w:left="461" w:hanging="461"/>
      </w:pPr>
      <w:r>
        <w:rPr>
          <w:sz w:val="21"/>
        </w:rPr>
        <w:t xml:space="preserve">[20] Vohs KD et al. 2021. A Multisite Preregistered Paradigmatic Test of the Ego-Depletion Effect. Psychological Science. 32(10), 1566–1581. Studio multilaboratorio preregistrato. </w:t>
      </w:r>
      <w:hyperlink r:id="rId29">
        <w:r>
          <w:rPr>
            <w:color w:val="000000"/>
            <w:u w:val="single"/>
          </w:rPr>
          <w:t>https://doi.org/10.1177/0956797621989733</w:t>
        </w:r>
      </w:hyperlink>
      <w:r>
        <w:rPr>
          <w:sz w:val="21"/>
        </w:rPr>
      </w:r>
    </w:p>
    <w:p>
      <w:pPr>
        <w:spacing w:after="180"/>
        <w:ind w:left="461" w:hanging="461"/>
      </w:pPr>
      <w:r>
        <w:rPr>
          <w:sz w:val="21"/>
        </w:rPr>
        <w:t xml:space="preserve">[21] Dang J et al. 2021, pubblicato online nel 2020. A Multilab Replication of the Ego Depletion Effect. Social Psychological and Personality Science. 12(1), 14–24. Replica multilaboratorio. </w:t>
      </w:r>
      <w:hyperlink r:id="rId30">
        <w:r>
          <w:rPr>
            <w:color w:val="000000"/>
            <w:u w:val="single"/>
          </w:rPr>
          <w:t>https://doi.org/10.1177/1948550619887702</w:t>
        </w:r>
      </w:hyperlink>
      <w:r>
        <w:rPr>
          <w:sz w:val="21"/>
        </w:rPr>
      </w:r>
    </w:p>
    <w:p>
      <w:pPr>
        <w:spacing w:after="180"/>
        <w:ind w:left="461" w:hanging="461"/>
      </w:pPr>
      <w:r>
        <w:rPr>
          <w:sz w:val="21"/>
        </w:rPr>
        <w:t xml:space="preserve">[22] Josselyn SA, Tonegawa S. 2020. Memory engrams: Recalling the past and imagining the future. Science. 367(6473), eaaw4325. Revisione prevalentemente basata su ricerca animale. </w:t>
      </w:r>
      <w:hyperlink r:id="rId31">
        <w:r>
          <w:rPr>
            <w:color w:val="000000"/>
            <w:u w:val="single"/>
          </w:rPr>
          <w:t>https://doi.org/10.1126/science.aaw4325</w:t>
        </w:r>
      </w:hyperlink>
      <w:r>
        <w:rPr>
          <w:sz w:val="21"/>
        </w:rPr>
      </w:r>
    </w:p>
    <w:p>
      <w:pPr>
        <w:spacing w:after="180"/>
        <w:ind w:left="461" w:hanging="461"/>
      </w:pPr>
      <w:r>
        <w:rPr>
          <w:sz w:val="21"/>
        </w:rPr>
        <w:t xml:space="preserve">[23] Roediger HL, Butler AC. 2011. The critical role of retrieval practice in long-term retention. Trends in Cognitive Sciences. 15(1), 20–27. Revisione sul recupero e sul feedback. </w:t>
      </w:r>
      <w:hyperlink r:id="rId32">
        <w:r>
          <w:rPr>
            <w:color w:val="000000"/>
            <w:u w:val="single"/>
          </w:rPr>
          <w:t>https://doi.org/10.1016/j.tics.2010.09.003</w:t>
        </w:r>
      </w:hyperlink>
      <w:r>
        <w:rPr>
          <w:sz w:val="21"/>
        </w:rPr>
      </w:r>
    </w:p>
    <w:p>
      <w:pPr>
        <w:spacing w:after="180"/>
        <w:ind w:left="461" w:hanging="461"/>
      </w:pPr>
      <w:r>
        <w:rPr>
          <w:sz w:val="21"/>
        </w:rPr>
        <w:t xml:space="preserve">[24] Soderstrom NC, Bjork RA. 2015. Learning Versus Performance: An Integrative Review. Perspectives on Psychological Science. 10(2), 176–199. Revisione su prestazione apprendimento e difficoltà durante la pratica. </w:t>
      </w:r>
      <w:hyperlink r:id="rId33">
        <w:r>
          <w:rPr>
            <w:color w:val="000000"/>
            <w:u w:val="single"/>
          </w:rPr>
          <w:t>https://doi.org/10.1177/1745691615569000</w:t>
        </w:r>
      </w:hyperlink>
      <w:r>
        <w:rPr>
          <w:sz w:val="21"/>
        </w:rPr>
      </w:r>
    </w:p>
    <w:p>
      <w:pPr>
        <w:spacing w:after="180"/>
        <w:ind w:left="461" w:hanging="461"/>
      </w:pPr>
      <w:r>
        <w:rPr>
          <w:sz w:val="21"/>
        </w:rPr>
        <w:t xml:space="preserve">[25] Renkl A, Atkinson RK. 2003. Structuring the Transition From Example Study to Problem Solving in Cognitive Skill Acquisition: A Cognitive Load Perspective. Educational Psychologist. 38(1), 15–22. Analisi teorica con evidenze sul fading. </w:t>
      </w:r>
      <w:hyperlink r:id="rId34">
        <w:r>
          <w:rPr>
            <w:color w:val="000000"/>
            <w:u w:val="single"/>
          </w:rPr>
          <w:t>https://doi.org/10.1207/S15326985EP3801_3</w:t>
        </w:r>
      </w:hyperlink>
      <w:r>
        <w:rPr>
          <w:sz w:val="21"/>
        </w:rPr>
      </w:r>
    </w:p>
    <w:p>
      <w:pPr>
        <w:spacing w:after="180"/>
        <w:ind w:left="461" w:hanging="461"/>
      </w:pPr>
      <w:r>
        <w:rPr>
          <w:sz w:val="21"/>
        </w:rPr>
        <w:t xml:space="preserve">[26] Atkinson RK, Renkl A, Merrill MM. 2003. Transitioning From Studying Examples to Solving Problems: Effects of Self-Explanation Prompts and Fading Worked-Out Steps. Journal of Educational Psychology. 95(4), 774–783. Due esperimenti su fading e spiegazione dei principi. </w:t>
      </w:r>
      <w:hyperlink r:id="rId35">
        <w:r>
          <w:rPr>
            <w:color w:val="000000"/>
            <w:u w:val="single"/>
          </w:rPr>
          <w:t>https://doi.org/10.1037/0022-0663.95.4.774</w:t>
        </w:r>
      </w:hyperlink>
      <w:r>
        <w:rPr>
          <w:sz w:val="21"/>
        </w:rPr>
      </w:r>
    </w:p>
    <w:p>
      <w:pPr>
        <w:spacing w:after="180"/>
        <w:ind w:left="461" w:hanging="461"/>
      </w:pPr>
      <w:r>
        <w:rPr>
          <w:sz w:val="21"/>
        </w:rPr>
        <w:t xml:space="preserve">[27] Kalyuga S, Ayres P, Chandler P, Sweller J. 2003. The Expertise Reversal Effect. Educational Psychologist. 38(1), 23–31. Revisione sulle interazioni fra istruzione ed esperienza. </w:t>
      </w:r>
      <w:hyperlink r:id="rId36">
        <w:r>
          <w:rPr>
            <w:color w:val="000000"/>
            <w:u w:val="single"/>
          </w:rPr>
          <w:t>https://doi.org/10.1207/S15326985EP3801_4</w:t>
        </w:r>
      </w:hyperlink>
      <w:r>
        <w:rPr>
          <w:sz w:val="21"/>
        </w:rPr>
      </w:r>
    </w:p>
    <w:p>
      <w:pPr>
        <w:spacing w:after="180"/>
        <w:ind w:left="461" w:hanging="461"/>
      </w:pPr>
      <w:r>
        <w:rPr>
          <w:sz w:val="21"/>
        </w:rPr>
        <w:t xml:space="preserve">[28] Brunmair M, Richter T. 2019. Similarity matters: A meta-analysis of interleaved learning and its moderators. Psychological Bulletin. 145(11), 1029–1052. Metanalisi su alternanza e moderatori. </w:t>
      </w:r>
      <w:hyperlink r:id="rId37">
        <w:r>
          <w:rPr>
            <w:color w:val="000000"/>
            <w:u w:val="single"/>
          </w:rPr>
          <w:t>https://doi.org/10.1037/bul0000209</w:t>
        </w:r>
      </w:hyperlink>
      <w:r>
        <w:rPr>
          <w:sz w:val="21"/>
        </w:rPr>
      </w:r>
    </w:p>
    <w:p>
      <w:pPr>
        <w:spacing w:after="180"/>
        <w:ind w:left="461" w:hanging="461"/>
      </w:pPr>
      <w:r>
        <w:rPr>
          <w:sz w:val="21"/>
        </w:rPr>
        <w:t xml:space="preserve">[29] Pan SC, Rickard TC. 2018. Transfer of test-enhanced learning: Meta-analytic review and synthesis. Psychological Bulletin. 144(7), 710–756. Metanalisi sul trasferimento. </w:t>
      </w:r>
      <w:hyperlink r:id="rId38">
        <w:r>
          <w:rPr>
            <w:color w:val="000000"/>
            <w:u w:val="single"/>
          </w:rPr>
          <w:t>https://doi.org/10.1037/bul0000151</w:t>
        </w:r>
      </w:hyperlink>
      <w:r>
        <w:rPr>
          <w:sz w:val="21"/>
        </w:rPr>
      </w:r>
    </w:p>
    <w:p>
      <w:pPr>
        <w:spacing w:after="180"/>
        <w:ind w:left="461" w:hanging="461"/>
      </w:pPr>
      <w:r>
        <w:rPr>
          <w:sz w:val="21"/>
        </w:rPr>
        <w:t xml:space="preserve">[30] Wulf G. 2013. Attentional focus and motor learning: a review of 15 years. International Review of Sport and Exercise Psychology. 6(1), 77–104. Revisione sul focus attentivo. </w:t>
      </w:r>
      <w:hyperlink r:id="rId39">
        <w:r>
          <w:rPr>
            <w:color w:val="000000"/>
            <w:u w:val="single"/>
          </w:rPr>
          <w:t>https://doi.org/10.1080/1750984X.2012.723728</w:t>
        </w:r>
      </w:hyperlink>
      <w:r>
        <w:rPr>
          <w:sz w:val="21"/>
        </w:rPr>
      </w:r>
    </w:p>
    <w:p>
      <w:pPr>
        <w:spacing w:after="180"/>
        <w:ind w:left="461" w:hanging="461"/>
      </w:pPr>
      <w:r>
        <w:rPr>
          <w:sz w:val="21"/>
        </w:rPr>
        <w:t xml:space="preserve">[31] Wulf G, Chiviacowsky S, Schiller E, Ávila LTG. 2010. Frequent external-focus feedback enhances motor learning. Frontiers in Psychology. 1, 190. Studio su bambini e rimessa laterale. </w:t>
      </w:r>
      <w:hyperlink r:id="rId40">
        <w:r>
          <w:rPr>
            <w:color w:val="000000"/>
            <w:u w:val="single"/>
          </w:rPr>
          <w:t>https://doi.org/10.3389/fpsyg.2010.00190</w:t>
        </w:r>
      </w:hyperlink>
      <w:r>
        <w:rPr>
          <w:sz w:val="21"/>
        </w:rPr>
      </w:r>
    </w:p>
    <w:p>
      <w:pPr>
        <w:spacing w:after="180"/>
        <w:ind w:left="461" w:hanging="461"/>
      </w:pPr>
      <w:r>
        <w:rPr>
          <w:sz w:val="21"/>
        </w:rPr>
        <w:t xml:space="preserve">[32] Shenhav A, Musslick S, Lieder F, Kool W, Griffiths TL, Cohen JD, Botvinick MM. 2017. Toward a Rational and Mechanistic Account of Mental Effort. Annual Review of Neuroscience. 40, 99–124. Revisione teorica e computazionale. </w:t>
      </w:r>
      <w:hyperlink r:id="rId41">
        <w:r>
          <w:rPr>
            <w:color w:val="000000"/>
            <w:u w:val="single"/>
          </w:rPr>
          <w:t>https://doi.org/10.1146/annurev-neuro-072116-031526</w:t>
        </w:r>
      </w:hyperlink>
      <w:r>
        <w:rPr>
          <w:sz w:val="21"/>
        </w:rPr>
      </w:r>
    </w:p>
    <w:p>
      <w:pPr>
        <w:spacing w:after="180"/>
        <w:ind w:left="461" w:hanging="461"/>
      </w:pPr>
      <w:r>
        <w:rPr>
          <w:sz w:val="21"/>
        </w:rPr>
        <w:t xml:space="preserve">[33] Wiehler A, Branzoli F, Adanyeguh I, Mochel F, Pessiglione M. 2022. A neuro-metabolic account of why daylong cognitive work alters the control of economic decisions. Current Biology. 32(16), 3564–3575.e5. Studio con spettroscopia e scelte economiche. </w:t>
      </w:r>
      <w:hyperlink r:id="rId42">
        <w:r>
          <w:rPr>
            <w:color w:val="000000"/>
            <w:u w:val="single"/>
          </w:rPr>
          <w:t>https://doi.org/10.1016/j.cub.2022.07.010</w:t>
        </w:r>
      </w:hyperlink>
      <w:r>
        <w:rPr>
          <w:sz w:val="21"/>
        </w:rPr>
      </w:r>
    </w:p>
    <w:p>
      <w:pPr>
        <w:spacing w:after="180"/>
        <w:ind w:left="461" w:hanging="461"/>
      </w:pPr>
      <w:r>
        <w:rPr>
          <w:sz w:val="21"/>
        </w:rPr>
        <w:t xml:space="preserve">[34] Dewar M, Alber J, Butler C, Cowan N, Della Sala S. 2012. Brief wakeful resting boosts new memories over the long term. Psychological Science. 23(9), 955–960. Esperimenti di memoria verbale in adulti anziani. </w:t>
      </w:r>
      <w:hyperlink r:id="rId43">
        <w:r>
          <w:rPr>
            <w:color w:val="000000"/>
            <w:u w:val="single"/>
          </w:rPr>
          <w:t>https://doi.org/10.1177/0956797612441220</w:t>
        </w:r>
      </w:hyperlink>
      <w:r>
        <w:rPr>
          <w:sz w:val="21"/>
        </w:rPr>
      </w:r>
    </w:p>
    <w:sectPr w:rsidR="00FC693F" w:rsidRPr="0006063C" w:rsidSect="00034616">
      <w:footerReference w:type="default" r:id="rId44"/>
      <w:pgSz w:w="12240" w:h="15840"/>
      <w:pgMar w:top="1123" w:right="1181" w:bottom="1080" w:left="1181"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eastAsia="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80"/>
      <w:outlineLvl w:val="0"/>
    </w:pPr>
    <w:rPr>
      <w:rFonts w:asciiTheme="majorHAnsi" w:eastAsiaTheme="majorEastAsia" w:hAnsiTheme="majorHAnsi" w:cstheme="majorBidi" w:ascii="Calibri" w:hAnsi="Calibri" w:eastAsia="Calibri"/>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Calibri"/>
      <w:b/>
      <w:bCs/>
      <w:color w:val="000000"/>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20" w:line="240" w:lineRule="auto"/>
      <w:contextualSpacing/>
    </w:pPr>
    <w:rPr>
      <w:rFonts w:asciiTheme="majorHAnsi" w:eastAsiaTheme="majorEastAsia" w:hAnsiTheme="majorHAnsi" w:cstheme="majorBidi" w:ascii="Calibri" w:hAnsi="Calibri" w:eastAsia="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60"/>
    </w:pPr>
    <w:rPr>
      <w:rFonts w:asciiTheme="majorHAnsi" w:eastAsiaTheme="majorEastAsia" w:hAnsiTheme="majorHAnsi" w:cstheme="majorBidi" w:ascii="Calibri" w:hAnsi="Calibri" w:eastAsia="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77/1529100612453266" TargetMode="External"/><Relationship Id="rId10" Type="http://schemas.openxmlformats.org/officeDocument/2006/relationships/hyperlink" Target="https://doi.org/10.1037/h0046669" TargetMode="External"/><Relationship Id="rId11" Type="http://schemas.openxmlformats.org/officeDocument/2006/relationships/hyperlink" Target="https://doi.org/10.1207/s15516709cog1202_4" TargetMode="External"/><Relationship Id="rId12" Type="http://schemas.openxmlformats.org/officeDocument/2006/relationships/hyperlink" Target="https://doi.org/10.1207/s15516709cog1302_1" TargetMode="External"/><Relationship Id="rId13" Type="http://schemas.openxmlformats.org/officeDocument/2006/relationships/hyperlink" Target="https://doi.org/10.1017/S0140525X01003922" TargetMode="External"/><Relationship Id="rId14" Type="http://schemas.openxmlformats.org/officeDocument/2006/relationships/hyperlink" Target="https://cmap.ihmc.us/docs/theory-of-concept-maps.php" TargetMode="External"/><Relationship Id="rId15" Type="http://schemas.openxmlformats.org/officeDocument/2006/relationships/hyperlink" Target="https://cmap.ihmc.us/docs/conceptmap.html" TargetMode="External"/><Relationship Id="rId16" Type="http://schemas.openxmlformats.org/officeDocument/2006/relationships/hyperlink" Target="https://doi.org/10.1007/BF01320076" TargetMode="External"/><Relationship Id="rId17" Type="http://schemas.openxmlformats.org/officeDocument/2006/relationships/hyperlink" Target="https://doi.org/10.1126/science.1199327" TargetMode="External"/><Relationship Id="rId18" Type="http://schemas.openxmlformats.org/officeDocument/2006/relationships/hyperlink" Target="https://doi.org/10.1111/j.1467-9280.2006.01693.x" TargetMode="External"/><Relationship Id="rId19" Type="http://schemas.openxmlformats.org/officeDocument/2006/relationships/hyperlink" Target="https://doi.org/10.1037/bul0000309" TargetMode="External"/><Relationship Id="rId20" Type="http://schemas.openxmlformats.org/officeDocument/2006/relationships/hyperlink" Target="https://doi.org/10.1111/j.1467-9280.2008.02209.x" TargetMode="External"/><Relationship Id="rId21" Type="http://schemas.openxmlformats.org/officeDocument/2006/relationships/hyperlink" Target="https://doi.org/10.1037/a0015729" TargetMode="External"/><Relationship Id="rId22" Type="http://schemas.openxmlformats.org/officeDocument/2006/relationships/hyperlink" Target="https://doi.org/10.1037/edu0000367" TargetMode="External"/><Relationship Id="rId23" Type="http://schemas.openxmlformats.org/officeDocument/2006/relationships/hyperlink" Target="https://doi.org/10.1016/j.neuron.2017.02.003" TargetMode="External"/><Relationship Id="rId24" Type="http://schemas.openxmlformats.org/officeDocument/2006/relationships/hyperlink" Target="https://doi.org/10.1371/journal.pone.0272460" TargetMode="External"/><Relationship Id="rId25" Type="http://schemas.openxmlformats.org/officeDocument/2006/relationships/hyperlink" Target="https://doi.org/10.1016/j.xcrm.2022.100895" TargetMode="External"/><Relationship Id="rId26" Type="http://schemas.openxmlformats.org/officeDocument/2006/relationships/hyperlink" Target="https://doi.org/10.1152/physrev.00032.2012" TargetMode="External"/><Relationship Id="rId27" Type="http://schemas.openxmlformats.org/officeDocument/2006/relationships/hyperlink" Target="https://doi.org/10.1016/S2468-2667(17)30231-1" TargetMode="External"/><Relationship Id="rId28" Type="http://schemas.openxmlformats.org/officeDocument/2006/relationships/hyperlink" Target="https://doi.org/10.1177/147470491000800208" TargetMode="External"/><Relationship Id="rId29" Type="http://schemas.openxmlformats.org/officeDocument/2006/relationships/hyperlink" Target="https://doi.org/10.1177/0956797621989733" TargetMode="External"/><Relationship Id="rId30" Type="http://schemas.openxmlformats.org/officeDocument/2006/relationships/hyperlink" Target="https://doi.org/10.1177/1948550619887702" TargetMode="External"/><Relationship Id="rId31" Type="http://schemas.openxmlformats.org/officeDocument/2006/relationships/hyperlink" Target="https://doi.org/10.1126/science.aaw4325" TargetMode="External"/><Relationship Id="rId32" Type="http://schemas.openxmlformats.org/officeDocument/2006/relationships/hyperlink" Target="https://doi.org/10.1016/j.tics.2010.09.003" TargetMode="External"/><Relationship Id="rId33" Type="http://schemas.openxmlformats.org/officeDocument/2006/relationships/hyperlink" Target="https://doi.org/10.1177/1745691615569000" TargetMode="External"/><Relationship Id="rId34" Type="http://schemas.openxmlformats.org/officeDocument/2006/relationships/hyperlink" Target="https://doi.org/10.1207/S15326985EP3801_3" TargetMode="External"/><Relationship Id="rId35" Type="http://schemas.openxmlformats.org/officeDocument/2006/relationships/hyperlink" Target="https://doi.org/10.1037/0022-0663.95.4.774" TargetMode="External"/><Relationship Id="rId36" Type="http://schemas.openxmlformats.org/officeDocument/2006/relationships/hyperlink" Target="https://doi.org/10.1207/S15326985EP3801_4" TargetMode="External"/><Relationship Id="rId37" Type="http://schemas.openxmlformats.org/officeDocument/2006/relationships/hyperlink" Target="https://doi.org/10.1037/bul0000209" TargetMode="External"/><Relationship Id="rId38" Type="http://schemas.openxmlformats.org/officeDocument/2006/relationships/hyperlink" Target="https://doi.org/10.1037/bul0000151" TargetMode="External"/><Relationship Id="rId39" Type="http://schemas.openxmlformats.org/officeDocument/2006/relationships/hyperlink" Target="https://doi.org/10.1080/1750984X.2012.723728" TargetMode="External"/><Relationship Id="rId40" Type="http://schemas.openxmlformats.org/officeDocument/2006/relationships/hyperlink" Target="https://doi.org/10.3389/fpsyg.2010.00190" TargetMode="External"/><Relationship Id="rId41" Type="http://schemas.openxmlformats.org/officeDocument/2006/relationships/hyperlink" Target="https://doi.org/10.1146/annurev-neuro-072116-031526" TargetMode="External"/><Relationship Id="rId42" Type="http://schemas.openxmlformats.org/officeDocument/2006/relationships/hyperlink" Target="https://doi.org/10.1016/j.cub.2022.07.010" TargetMode="External"/><Relationship Id="rId43" Type="http://schemas.openxmlformats.org/officeDocument/2006/relationships/hyperlink" Target="https://doi.org/10.1177/0956797612441220" TargetMode="External"/><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azione universitario generale</dc:title>
  <dc:subject>Guida rielaborata allo studio universitario con fonti e traccia delle rettifiche</dc:subject>
  <dc:creator/>
  <cp:keywords>studio universitario, recupero attivo, comprensione, ripasso distribuito</cp:keywords>
  <dc:description>generated by python-docx</dc:description>
  <cp:lastModifiedBy/>
  <cp:revision>1</cp:revision>
  <dcterms:created xsi:type="dcterms:W3CDTF">2013-12-23T23:15:00Z</dcterms:created>
  <dcterms:modified xsi:type="dcterms:W3CDTF">2013-12-23T23:15:00Z</dcterms:modified>
  <cp:category/>
</cp:coreProperties>
</file>