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17365D"/>
          <w:sz w:val="60"/>
        </w:rPr>
        <w:t>TECHNICAL ARCHITECTURE</w:t>
      </w:r>
    </w:p>
    <w:p>
      <w:pPr>
        <w:jc w:val="center"/>
      </w:pPr>
      <w:r>
        <w:rPr>
          <w:b/>
          <w:color w:val="2F5597"/>
          <w:sz w:val="36"/>
        </w:rPr>
        <w:t>UAE Accounting, Billing &amp; Inventory Management Platform</w:t>
      </w:r>
    </w:p>
    <w:p>
      <w:pPr>
        <w:jc w:val="center"/>
      </w:pPr>
      <w:r>
        <w:rPr>
          <w:color w:val="666666"/>
          <w:sz w:val="26"/>
        </w:rPr>
        <w:t>Developer Handover Document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Product Type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Vyapar-class SaaS for UAE SMEs</w:t>
            </w:r>
          </w:p>
        </w:tc>
      </w:tr>
      <w:tr>
        <w:tc>
          <w:tcPr>
            <w:tcW w:type="dxa" w:w="5112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Primary Platforms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Mobile, Web Dashboard, Desktop POS</w:t>
            </w:r>
          </w:p>
        </w:tc>
      </w:tr>
      <w:tr>
        <w:tc>
          <w:tcPr>
            <w:tcW w:type="dxa" w:w="5112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Architecture Style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Offline-first modular monolith</w:t>
            </w:r>
          </w:p>
        </w:tc>
      </w:tr>
      <w:tr>
        <w:tc>
          <w:tcPr>
            <w:tcW w:type="dxa" w:w="5112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Primary Currency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AED</w:t>
            </w:r>
          </w:p>
        </w:tc>
      </w:tr>
      <w:tr>
        <w:tc>
          <w:tcPr>
            <w:tcW w:type="dxa" w:w="5112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Document 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Architecture baseline for estimation and implementation</w:t>
            </w:r>
          </w:p>
        </w:tc>
      </w:tr>
    </w:tbl>
    <w:p>
      <w:r>
        <w:br/>
      </w:r>
    </w:p>
    <w:p>
      <w:pPr>
        <w:jc w:val="center"/>
      </w:pPr>
      <w:r>
        <w:rPr>
          <w:b/>
        </w:rPr>
        <w:t xml:space="preserve">Purpose: </w:t>
      </w:r>
      <w:r>
        <w:t>Define the technical foundation, domain boundaries, data model, integrations, security controls, and phased delivery plan required for development.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platform will provide invoicing, purchases, customer and supplier ledgers, inventory, VAT reporting, financial statements, POS operations, offline working, and future UAE e-invoicing integration. The recommended launch architecture is a modular monolith with strict domain boundaries, PostgreSQL as the system of record, and an offline-first client architecture for mobile and desktop.</w:t>
      </w:r>
    </w:p>
    <w:p>
      <w:pPr>
        <w:pStyle w:val="ListBullet"/>
        <w:spacing w:after="60"/>
      </w:pPr>
      <w:r>
        <w:t>Build financial correctness before convenience features. Every posted financial transaction must create balanced journal entries.</w:t>
      </w:r>
    </w:p>
    <w:p>
      <w:pPr>
        <w:pStyle w:val="ListBullet"/>
        <w:spacing w:after="60"/>
      </w:pPr>
      <w:r>
        <w:t>Treat the invoice as structured data. PDF, thermal receipt, and e-invoice XML are separate renderers of the same canonical invoice object.</w:t>
      </w:r>
    </w:p>
    <w:p>
      <w:pPr>
        <w:pStyle w:val="ListBullet"/>
        <w:spacing w:after="60"/>
      </w:pPr>
      <w:r>
        <w:t>Start with a modular monolith, not microservices. Extract services only when scale or operational boundaries justify it.</w:t>
      </w:r>
    </w:p>
    <w:p>
      <w:pPr>
        <w:pStyle w:val="ListBullet"/>
        <w:spacing w:after="60"/>
      </w:pPr>
      <w:r>
        <w:t>Use Flutter for mobile and desktop POS; use React/Next.js for the accountant and administration dashboard.</w:t>
      </w:r>
    </w:p>
    <w:p>
      <w:pPr>
        <w:pStyle w:val="ListBullet"/>
        <w:spacing w:after="60"/>
      </w:pPr>
      <w:r>
        <w:t>Use PostgreSQL with tenant isolation, NUMERIC money fields, immutable posted entries, audit logs, and database-level integrity constraints.</w:t>
      </w:r>
    </w:p>
    <w:p>
      <w:pPr>
        <w:pStyle w:val="ListBullet"/>
        <w:spacing w:after="60"/>
      </w:pPr>
      <w:r>
        <w:t>Keep UAE compliance rules configurable. Final legal and tax validation must be completed with a UAE tax adviser before production launch.</w:t>
      </w:r>
    </w:p>
    <w:p>
      <w:pPr>
        <w:pStyle w:val="Heading2"/>
      </w:pPr>
      <w:r>
        <w:t>1.1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608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Included in Architecture</w:t>
            </w:r>
          </w:p>
        </w:tc>
        <w:tc>
          <w:tcPr>
            <w:tcW w:type="dxa" w:w="4608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Not Finalized by this Document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Sales, purchases, ledgers, inventory, VAT, reporting, POS, offline sync, notifications, e-invoicing readiness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Final UI design and branding</w:t>
            </w:r>
          </w:p>
        </w:tc>
      </w:tr>
      <w:tr>
        <w:tc>
          <w:tcPr>
            <w:tcW w:type="dxa" w:w="4608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Multi-tenant SaaS foundation and role-based access</w:t>
            </w:r>
          </w:p>
        </w:tc>
        <w:tc>
          <w:tcPr>
            <w:tcW w:type="dxa" w:w="4608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Exact subscription pricing and commercial packages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Core database entities and posting workflow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Final accounting chart for every industry</w:t>
            </w:r>
          </w:p>
        </w:tc>
      </w:tr>
      <w:tr>
        <w:tc>
          <w:tcPr>
            <w:tcW w:type="dxa" w:w="4608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API, security, infrastructure, testing, deployment and roadmap</w:t>
            </w:r>
          </w:p>
        </w:tc>
        <w:tc>
          <w:tcPr>
            <w:tcW w:type="dxa" w:w="4608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Legal opinion or tax filing certification</w:t>
            </w:r>
          </w:p>
        </w:tc>
      </w:tr>
    </w:tbl>
    <w:p/>
    <w:p>
      <w:pPr>
        <w:pStyle w:val="Heading1"/>
      </w:pPr>
      <w:r>
        <w:t>2. Users, Platforms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04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Surface</w:t>
            </w:r>
          </w:p>
        </w:tc>
        <w:tc>
          <w:tcPr>
            <w:tcW w:type="dxa" w:w="2592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Primary Users</w:t>
            </w:r>
          </w:p>
        </w:tc>
        <w:tc>
          <w:tcPr>
            <w:tcW w:type="dxa" w:w="4896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Main Usage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Mobile app (Android/iOS)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Owner, biller, field salesperson</w:t>
            </w:r>
          </w:p>
        </w:tc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Create invoices, receive payments, view parties/stock, work offline</w:t>
            </w:r>
          </w:p>
        </w:tc>
      </w:tr>
      <w:tr>
        <w:tc>
          <w:tcPr>
            <w:tcW w:type="dxa" w:w="2304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Web dashboard</w:t>
            </w:r>
          </w:p>
        </w:tc>
        <w:tc>
          <w:tcPr>
            <w:tcW w:type="dxa" w:w="2592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Owner, accountant, admin</w:t>
            </w:r>
          </w:p>
        </w:tc>
        <w:tc>
          <w:tcPr>
            <w:tcW w:type="dxa" w:w="4896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Configuration, reporting, reconciliation, audit, imports, user management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Desktop POS (Windows/macOS)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Cashier, retail counter</w:t>
            </w:r>
          </w:p>
        </w:tc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Fast billing, barcode scanning, thermal printing, shift operations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7344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Core Permissions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Owner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Full company access, configuration, users, reports, posting, subscription and branch control</w:t>
            </w:r>
          </w:p>
        </w:tc>
      </w:tr>
      <w:tr>
        <w:tc>
          <w:tcPr>
            <w:tcW w:type="dxa" w:w="2448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Secondary Admin</w:t>
            </w:r>
          </w:p>
        </w:tc>
        <w:tc>
          <w:tcPr>
            <w:tcW w:type="dxa" w:w="7344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Operational access according to assigned policies; cannot override owner-only security settings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Biller / Cashier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Create drafts and sales, collect permitted payments, view assigned stock; no general ledger access</w:t>
            </w:r>
          </w:p>
        </w:tc>
      </w:tr>
      <w:tr>
        <w:tc>
          <w:tcPr>
            <w:tcW w:type="dxa" w:w="2448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Accountant</w:t>
            </w:r>
          </w:p>
        </w:tc>
        <w:tc>
          <w:tcPr>
            <w:tcW w:type="dxa" w:w="7344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Read financial records, post authorized adjustments, reconcile, close periods, export reports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Inventory Manager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Items, warehouses, stock counts, transfers and adjustments; no unrestricted ledger access</w:t>
            </w:r>
          </w:p>
        </w:tc>
      </w:tr>
      <w:tr>
        <w:tc>
          <w:tcPr>
            <w:tcW w:type="dxa" w:w="2448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Auditor (optional)</w:t>
            </w:r>
          </w:p>
        </w:tc>
        <w:tc>
          <w:tcPr>
            <w:tcW w:type="dxa" w:w="7344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Read-only access to reports, journal history and audit logs</w:t>
            </w:r>
          </w:p>
        </w:tc>
      </w:tr>
    </w:tbl>
    <w:p/>
    <w:p>
      <w:pPr>
        <w:pStyle w:val="Heading1"/>
      </w:pPr>
      <w:r>
        <w:t>3. Recommended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168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type="dxa" w:w="4752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Mobile + Desktop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Flutter / Dart</w:t>
            </w:r>
          </w:p>
        </w:tc>
        <w:tc>
          <w:tcPr>
            <w:tcW w:type="dxa" w:w="47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Shared code, strong offline support, native performance, POS and printer integrations</w:t>
            </w:r>
          </w:p>
        </w:tc>
      </w:tr>
      <w:tr>
        <w:tc>
          <w:tcPr>
            <w:tcW w:type="dxa" w:w="2016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Web Dashboard</w:t>
            </w:r>
          </w:p>
        </w:tc>
        <w:tc>
          <w:tcPr>
            <w:tcW w:type="dxa" w:w="3168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Next.js / React / TypeScript</w:t>
            </w:r>
          </w:p>
        </w:tc>
        <w:tc>
          <w:tcPr>
            <w:tcW w:type="dxa" w:w="4752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Better data grids, reporting UX, browser printing, admin workflows and ecosystem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Backend API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Node.js + NestJS + TypeScript</w:t>
            </w:r>
          </w:p>
        </w:tc>
        <w:tc>
          <w:tcPr>
            <w:tcW w:type="dxa" w:w="47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Strong modules, dependency injection, validation, queues and shared API types</w:t>
            </w:r>
          </w:p>
        </w:tc>
      </w:tr>
      <w:tr>
        <w:tc>
          <w:tcPr>
            <w:tcW w:type="dxa" w:w="2016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Primary Database</w:t>
            </w:r>
          </w:p>
        </w:tc>
        <w:tc>
          <w:tcPr>
            <w:tcW w:type="dxa" w:w="3168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PostgreSQL</w:t>
            </w:r>
          </w:p>
        </w:tc>
        <w:tc>
          <w:tcPr>
            <w:tcW w:type="dxa" w:w="4752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Transactions, NUMERIC, constraints, indexes, JSONB, RLS and mature backup tooling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Local Database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SQLite through Drift</w:t>
            </w:r>
          </w:p>
        </w:tc>
        <w:tc>
          <w:tcPr>
            <w:tcW w:type="dxa" w:w="47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Relational local model suitable for invoices, inventory and sync queues</w:t>
            </w:r>
          </w:p>
        </w:tc>
      </w:tr>
      <w:tr>
        <w:tc>
          <w:tcPr>
            <w:tcW w:type="dxa" w:w="2016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Cache / Jobs</w:t>
            </w:r>
          </w:p>
        </w:tc>
        <w:tc>
          <w:tcPr>
            <w:tcW w:type="dxa" w:w="3168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Redis + BullMQ</w:t>
            </w:r>
          </w:p>
        </w:tc>
        <w:tc>
          <w:tcPr>
            <w:tcW w:type="dxa" w:w="4752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Background jobs, rate limits, notification queues and short-lived cache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Object Storage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S3-compatible storage</w:t>
            </w:r>
          </w:p>
        </w:tc>
        <w:tc>
          <w:tcPr>
            <w:tcW w:type="dxa" w:w="47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Invoice PDFs, import files, exports, attachments and backups</w:t>
            </w:r>
          </w:p>
        </w:tc>
      </w:tr>
      <w:tr>
        <w:tc>
          <w:tcPr>
            <w:tcW w:type="dxa" w:w="2016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API Contract</w:t>
            </w:r>
          </w:p>
        </w:tc>
        <w:tc>
          <w:tcPr>
            <w:tcW w:type="dxa" w:w="3168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REST + OpenAPI</w:t>
            </w:r>
          </w:p>
        </w:tc>
        <w:tc>
          <w:tcPr>
            <w:tcW w:type="dxa" w:w="4752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Simple client integration, generated SDKs and clear developer documentation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Infrastructure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Docker + managed containers</w:t>
            </w:r>
          </w:p>
        </w:tc>
        <w:tc>
          <w:tcPr>
            <w:tcW w:type="dxa" w:w="47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Repeatable deployment without early Kubernetes complexity</w:t>
            </w:r>
          </w:p>
        </w:tc>
      </w:tr>
      <w:tr>
        <w:tc>
          <w:tcPr>
            <w:tcW w:type="dxa" w:w="2016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CI/CD</w:t>
            </w:r>
          </w:p>
        </w:tc>
        <w:tc>
          <w:tcPr>
            <w:tcW w:type="dxa" w:w="3168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GitHub Actions or GitLab CI</w:t>
            </w:r>
          </w:p>
        </w:tc>
        <w:tc>
          <w:tcPr>
            <w:tcW w:type="dxa" w:w="4752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Automated lint, tests, migrations, build and controlled deployments</w:t>
            </w:r>
          </w:p>
        </w:tc>
      </w:tr>
    </w:tbl>
    <w:p/>
    <w:p>
      <w:pPr>
        <w:pStyle w:val="Heading1"/>
      </w:pPr>
      <w:r>
        <w:t>4. High-Level System Architecture</w:t>
      </w:r>
    </w:p>
    <w:p>
      <w:pPr>
        <w:pStyle w:val="CodeBlock"/>
      </w:pPr>
      <w:r>
        <w:t>[ Flutter Mobile ]      [ Flutter Desktop POS ]      [ Next.js Web ]</w:t>
        <w:br/>
        <w:t xml:space="preserve">        |                         |                           |</w:t>
        <w:br/>
        <w:t xml:space="preserve">        +---------------- HTTPS / REST / OpenAPI ------------+</w:t>
        <w:br/>
        <w:t xml:space="preserve">                                  |</w:t>
        <w:br/>
        <w:t xml:space="preserve">                         [ API Gateway / NestJS ]</w:t>
        <w:br/>
        <w:t xml:space="preserve">                                  |</w:t>
        <w:br/>
        <w:t xml:space="preserve">        +-------------------------+--------------------------+</w:t>
        <w:br/>
        <w:t xml:space="preserve">        |          |          |          |          |       |</w:t>
        <w:br/>
        <w:t xml:space="preserve">      Auth      Sales      Purchases   Ledger    Inventory  Tax</w:t>
        <w:br/>
        <w:t xml:space="preserve">        |          |          |          |          |       |</w:t>
        <w:br/>
        <w:t xml:space="preserve">        +-------------------- Domain Services ----------------+</w:t>
        <w:br/>
        <w:t xml:space="preserve">                                  |</w:t>
        <w:br/>
        <w:t xml:space="preserve">                  [ PostgreSQL - Source of Truth ]</w:t>
        <w:br/>
        <w:t xml:space="preserve">                     |              |             |</w:t>
        <w:br/>
        <w:t xml:space="preserve">                  [Redis]      [Object Storage] [Audit Log]</w:t>
        <w:br/>
        <w:t xml:space="preserve">                     |</w:t>
        <w:br/>
        <w:t xml:space="preserve">                 [BullMQ Workers]</w:t>
        <w:br/>
        <w:t xml:space="preserve">                     |</w:t>
        <w:br/>
        <w:t xml:space="preserve">       WhatsApp / SMS / Email / ASP e-Invoicing / Webhooks</w:t>
      </w:r>
    </w:p>
    <w:p>
      <w:pPr>
        <w:pStyle w:val="Heading2"/>
      </w:pPr>
      <w:r>
        <w:t>4.1 Architecture Principle</w:t>
      </w:r>
    </w:p>
    <w:p>
      <w:r>
        <w:t>The backend is deployed as one application initially, but each business domain must be implemented as an isolated NestJS module. A module may access another module only through an application service interface or published domain event. Direct cross-module table writes are prohibited.</w:t>
      </w:r>
    </w:p>
    <w:p>
      <w:pPr>
        <w:pStyle w:val="Heading1"/>
      </w:pPr>
      <w:r>
        <w:t>5. Backend Modules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7200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Responsibilities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Identity &amp; Access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Login, refresh tokens, MFA option, device sessions, tenant membership, roles and policies</w:t>
            </w:r>
          </w:p>
        </w:tc>
      </w:tr>
      <w:tr>
        <w:tc>
          <w:tcPr>
            <w:tcW w:type="dxa" w:w="2592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Tenant &amp; Subscription</w:t>
            </w:r>
          </w:p>
        </w:tc>
        <w:tc>
          <w:tcPr>
            <w:tcW w:type="dxa" w:w="7200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Business profile, branches, fiscal settings, plan limits, feature flags and billing state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Party Management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Customers, suppliers, contacts, TRN, credit limits, opening balances and statements</w:t>
            </w:r>
          </w:p>
        </w:tc>
      </w:tr>
      <w:tr>
        <w:tc>
          <w:tcPr>
            <w:tcW w:type="dxa" w:w="2592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Item Catalogue</w:t>
            </w:r>
          </w:p>
        </w:tc>
        <w:tc>
          <w:tcPr>
            <w:tcW w:type="dxa" w:w="7200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Items/services, SKU, barcode, units, VAT category, sales/purchase price and reorder rules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Sales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Quotations, sales orders optional, invoices, credit notes, receipts and sales returns</w:t>
            </w:r>
          </w:p>
        </w:tc>
      </w:tr>
      <w:tr>
        <w:tc>
          <w:tcPr>
            <w:tcW w:type="dxa" w:w="2592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Purchases</w:t>
            </w:r>
          </w:p>
        </w:tc>
        <w:tc>
          <w:tcPr>
            <w:tcW w:type="dxa" w:w="7200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Purchase bills, debit notes, supplier payments and purchase returns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Ledger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Chart of accounts, journal entries, posting engine, reversals, period close and trial balance</w:t>
            </w:r>
          </w:p>
        </w:tc>
      </w:tr>
      <w:tr>
        <w:tc>
          <w:tcPr>
            <w:tcW w:type="dxa" w:w="2592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Inventory</w:t>
            </w:r>
          </w:p>
        </w:tc>
        <w:tc>
          <w:tcPr>
            <w:tcW w:type="dxa" w:w="7200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Warehouses, stock movements, transfers, counts, adjustments, batches/serials optional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Tax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VAT calculations, tax codes, VAT 201 mapping, compliant invoice fields and e-invoice serialization</w:t>
            </w:r>
          </w:p>
        </w:tc>
      </w:tr>
      <w:tr>
        <w:tc>
          <w:tcPr>
            <w:tcW w:type="dxa" w:w="2592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Payments &amp; Banking</w:t>
            </w:r>
          </w:p>
        </w:tc>
        <w:tc>
          <w:tcPr>
            <w:tcW w:type="dxa" w:w="7200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Cash/bank accounts, allocations, refunds, deposits and bank reconciliation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Reporting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P&amp;L, balance sheet, cash flow, aging, VAT, inventory valuation, sales and audit reports</w:t>
            </w:r>
          </w:p>
        </w:tc>
      </w:tr>
      <w:tr>
        <w:tc>
          <w:tcPr>
            <w:tcW w:type="dxa" w:w="2592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Sync</w:t>
            </w:r>
          </w:p>
        </w:tc>
        <w:tc>
          <w:tcPr>
            <w:tcW w:type="dxa" w:w="7200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Device registration, outbox ingestion, incremental pull, conflict detection and reconciliation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Documents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PDF invoices, thermal receipts, templates, file storage and signed download URLs</w:t>
            </w:r>
          </w:p>
        </w:tc>
      </w:tr>
      <w:tr>
        <w:tc>
          <w:tcPr>
            <w:tcW w:type="dxa" w:w="2592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Notifications</w:t>
            </w:r>
          </w:p>
        </w:tc>
        <w:tc>
          <w:tcPr>
            <w:tcW w:type="dxa" w:w="7200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WhatsApp, SMS, email templates, delivery status, retries and rate limiting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Import/Export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Excel templates, staging validation, previews, commit jobs and export generation</w:t>
            </w:r>
          </w:p>
        </w:tc>
      </w:tr>
      <w:tr>
        <w:tc>
          <w:tcPr>
            <w:tcW w:type="dxa" w:w="2592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Audit &amp; Compliance</w:t>
            </w:r>
          </w:p>
        </w:tc>
        <w:tc>
          <w:tcPr>
            <w:tcW w:type="dxa" w:w="7200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Immutable action logs, change history, data retention and compliance exports</w:t>
            </w:r>
          </w:p>
        </w:tc>
      </w:tr>
    </w:tbl>
    <w:p/>
    <w:p>
      <w:pPr>
        <w:pStyle w:val="Heading1"/>
      </w:pPr>
      <w:r>
        <w:t>6. Core Data Model</w:t>
      </w:r>
    </w:p>
    <w:p>
      <w:r>
        <w:t>Every tenant-owned table must include tenant_id. Branch-specific records also include branch_id. UUIDs are used as primary keys to support offline creation and distributed clients. Money uses NUMERIC/DECIMAL; floating-point types are prohibited.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7200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Key Entities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Identity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users, tenants, tenant_users, roles, permissions, sessions, devices</w:t>
            </w:r>
          </w:p>
        </w:tc>
      </w:tr>
      <w:tr>
        <w:tc>
          <w:tcPr>
            <w:tcW w:type="dxa" w:w="2592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Business Setup</w:t>
            </w:r>
          </w:p>
        </w:tc>
        <w:tc>
          <w:tcPr>
            <w:tcW w:type="dxa" w:w="7200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branches, fiscal_periods, currencies, exchange_rates, tax_codes, numbering_series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Parties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parties, party_contacts, party_addresses, party_accounts, payment_terms</w:t>
            </w:r>
          </w:p>
        </w:tc>
      </w:tr>
      <w:tr>
        <w:tc>
          <w:tcPr>
            <w:tcW w:type="dxa" w:w="2592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Catalogue</w:t>
            </w:r>
          </w:p>
        </w:tc>
        <w:tc>
          <w:tcPr>
            <w:tcW w:type="dxa" w:w="7200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items, item_units, barcodes, price_lists, item_tax_profiles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Sales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sales_invoices, sales_invoice_lines, credit_notes, receipts, payment_allocations</w:t>
            </w:r>
          </w:p>
        </w:tc>
      </w:tr>
      <w:tr>
        <w:tc>
          <w:tcPr>
            <w:tcW w:type="dxa" w:w="2592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Purchases</w:t>
            </w:r>
          </w:p>
        </w:tc>
        <w:tc>
          <w:tcPr>
            <w:tcW w:type="dxa" w:w="7200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purchase_bills, purchase_bill_lines, debit_notes, supplier_payments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Accounting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accounts, journal_entries, journal_lines, account_balances, period_locks</w:t>
            </w:r>
          </w:p>
        </w:tc>
      </w:tr>
      <w:tr>
        <w:tc>
          <w:tcPr>
            <w:tcW w:type="dxa" w:w="2592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Inventory</w:t>
            </w:r>
          </w:p>
        </w:tc>
        <w:tc>
          <w:tcPr>
            <w:tcW w:type="dxa" w:w="7200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warehouses, stock_movements, stock_lots, stock_counts, stock_transfers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Documents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document_files, templates, generated_documents</w:t>
            </w:r>
          </w:p>
        </w:tc>
      </w:tr>
      <w:tr>
        <w:tc>
          <w:tcPr>
            <w:tcW w:type="dxa" w:w="2592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Compliance</w:t>
            </w:r>
          </w:p>
        </w:tc>
        <w:tc>
          <w:tcPr>
            <w:tcW w:type="dxa" w:w="7200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einvoice_submissions, tax_reports, audit_logs, data_retention_jobs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Sync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sync_outbox, sync_cursors, sync_conflicts, idempotency_keys</w:t>
            </w:r>
          </w:p>
        </w:tc>
      </w:tr>
    </w:tbl>
    <w:p/>
    <w:p>
      <w:pPr>
        <w:pStyle w:val="Heading2"/>
      </w:pPr>
      <w:r>
        <w:t>6.1 Accounting Integrity Rules</w:t>
      </w:r>
    </w:p>
    <w:p>
      <w:pPr>
        <w:pStyle w:val="ListBullet"/>
        <w:spacing w:after="60"/>
      </w:pPr>
      <w:r>
        <w:t>Every posted source document creates exactly one balanced journal entry or a defined set of linked journal entries inside one database transaction.</w:t>
      </w:r>
    </w:p>
    <w:p>
      <w:pPr>
        <w:pStyle w:val="ListBullet"/>
        <w:spacing w:after="60"/>
      </w:pPr>
      <w:r>
        <w:t>SUM(debit) must equal SUM(credit) before commit. Enforce this through the posting service and a deferred database constraint trigger.</w:t>
      </w:r>
    </w:p>
    <w:p>
      <w:pPr>
        <w:pStyle w:val="ListBullet"/>
        <w:spacing w:after="60"/>
      </w:pPr>
      <w:r>
        <w:t>Posted journal entries cannot be edited or deleted. Corrections use reversal entries and corrected replacement documents.</w:t>
      </w:r>
    </w:p>
    <w:p>
      <w:pPr>
        <w:pStyle w:val="ListBullet"/>
        <w:spacing w:after="60"/>
      </w:pPr>
      <w:r>
        <w:t>Invoice lines store the tax calculation snapshot used at posting time; later tax configuration changes must not rewrite history.</w:t>
      </w:r>
    </w:p>
    <w:p>
      <w:pPr>
        <w:pStyle w:val="ListBullet"/>
        <w:spacing w:after="60"/>
      </w:pPr>
      <w:r>
        <w:t>Closing a fiscal period blocks posting into that period except through an explicitly authorized reopening process.</w:t>
      </w:r>
    </w:p>
    <w:p>
      <w:pPr>
        <w:pStyle w:val="ListBullet"/>
        <w:spacing w:after="60"/>
      </w:pPr>
      <w:r>
        <w:t>All money fields use NUMERIC with an agreed scale. Store transaction currency, exchange rate and base-currency values when multicurrency is introduced.</w:t>
      </w:r>
    </w:p>
    <w:p>
      <w:pPr>
        <w:pStyle w:val="Heading2"/>
      </w:pPr>
      <w:r>
        <w:t>6.2 Example Posting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Business Event</w:t>
            </w:r>
          </w:p>
        </w:tc>
        <w:tc>
          <w:tcPr>
            <w:tcW w:type="dxa" w:w="3168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Debit</w:t>
            </w:r>
          </w:p>
        </w:tc>
        <w:tc>
          <w:tcPr>
            <w:tcW w:type="dxa" w:w="3168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Credit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Cash sale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Cash / Bank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Sales Revenue + Output VAT</w:t>
            </w:r>
          </w:p>
        </w:tc>
      </w:tr>
      <w:tr>
        <w:tc>
          <w:tcPr>
            <w:tcW w:type="dxa" w:w="3168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Credit sale</w:t>
            </w:r>
          </w:p>
        </w:tc>
        <w:tc>
          <w:tcPr>
            <w:tcW w:type="dxa" w:w="3168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Accounts Receivable</w:t>
            </w:r>
          </w:p>
        </w:tc>
        <w:tc>
          <w:tcPr>
            <w:tcW w:type="dxa" w:w="3168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Sales Revenue + Output VAT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Customer payment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Cash / Bank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Accounts Receivable</w:t>
            </w:r>
          </w:p>
        </w:tc>
      </w:tr>
      <w:tr>
        <w:tc>
          <w:tcPr>
            <w:tcW w:type="dxa" w:w="3168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Purchase on credit</w:t>
            </w:r>
          </w:p>
        </w:tc>
        <w:tc>
          <w:tcPr>
            <w:tcW w:type="dxa" w:w="3168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Inventory/Expense + Input VAT</w:t>
            </w:r>
          </w:p>
        </w:tc>
        <w:tc>
          <w:tcPr>
            <w:tcW w:type="dxa" w:w="3168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Accounts Payable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Supplier payment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Accounts Payable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Cash / Bank</w:t>
            </w:r>
          </w:p>
        </w:tc>
      </w:tr>
      <w:tr>
        <w:tc>
          <w:tcPr>
            <w:tcW w:type="dxa" w:w="3168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Inventory sale cost posting</w:t>
            </w:r>
          </w:p>
        </w:tc>
        <w:tc>
          <w:tcPr>
            <w:tcW w:type="dxa" w:w="3168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Cost of Goods Sold</w:t>
            </w:r>
          </w:p>
        </w:tc>
        <w:tc>
          <w:tcPr>
            <w:tcW w:type="dxa" w:w="3168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Inventory Asset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Sales return / credit note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Sales Returns + Output VAT adjustment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Cash/Receivable</w:t>
            </w:r>
          </w:p>
        </w:tc>
      </w:tr>
      <w:tr>
        <w:tc>
          <w:tcPr>
            <w:tcW w:type="dxa" w:w="3168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Inventory adjustment loss</w:t>
            </w:r>
          </w:p>
        </w:tc>
        <w:tc>
          <w:tcPr>
            <w:tcW w:type="dxa" w:w="3168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Inventory Adjustment Expense</w:t>
            </w:r>
          </w:p>
        </w:tc>
        <w:tc>
          <w:tcPr>
            <w:tcW w:type="dxa" w:w="3168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Inventory Asset</w:t>
            </w:r>
          </w:p>
        </w:tc>
      </w:tr>
    </w:tbl>
    <w:p/>
    <w:p>
      <w:pPr>
        <w:pStyle w:val="Heading1"/>
      </w:pPr>
      <w:r>
        <w:t>7. Invoice Lifecycle and State Machine</w:t>
      </w:r>
    </w:p>
    <w:p>
      <w:pPr>
        <w:pStyle w:val="CodeBlock"/>
      </w:pPr>
      <w:r>
        <w:t>DRAFT</w:t>
        <w:br/>
        <w:t xml:space="preserve">  | validate + reserve posting request</w:t>
        <w:br/>
        <w:t xml:space="preserve">  v</w:t>
        <w:br/>
        <w:t>READY_TO_POST</w:t>
        <w:br/>
        <w:t xml:space="preserve">  | atomic posting transaction</w:t>
        <w:br/>
        <w:t xml:space="preserve">  v</w:t>
        <w:br/>
        <w:t>POSTED -------&gt; PARTIALLY_PAID -------&gt; PAID</w:t>
        <w:br/>
        <w:t xml:space="preserve">  |                    |</w:t>
        <w:br/>
        <w:t xml:space="preserve">  |                    +------ payment allocation / reversal</w:t>
        <w:br/>
        <w:t xml:space="preserve">  |</w:t>
        <w:br/>
        <w:t xml:space="preserve">  +------&gt; E_INVOICE_PENDING -&gt; ACCEPTED / REJECTED</w:t>
        <w:br/>
        <w:t xml:space="preserve">  |</w:t>
        <w:br/>
        <w:t xml:space="preserve">  +------&gt; CREDIT_NOTE_ISSUED / REVERSED</w:t>
        <w:br/>
        <w:br/>
        <w:t>Rules:</w:t>
        <w:br/>
        <w:t>- A posted invoice is immutable.</w:t>
        <w:br/>
        <w:t>- Cancellation after posting creates an accounting reversal or credit note.</w:t>
        <w:br/>
        <w:t>- PDF regeneration never changes financial data.</w:t>
        <w:br/>
        <w:t>- External e-invoice retries are idempotent.</w:t>
      </w:r>
    </w:p>
    <w:p>
      <w:pPr>
        <w:pStyle w:val="Heading2"/>
      </w:pPr>
      <w:r>
        <w:t>7.1 Invoice Numbering</w:t>
      </w:r>
    </w:p>
    <w:p>
      <w:r>
        <w:t>Offline clients should not permanently assign the final legal invoice number unless they have a preallocated branch/device numbering range. The safest default is to create a local draft reference and allocate the final sequential number during server posting. Number allocation must use an atomic database lock or sequence strategy and must never use MAX(number)+1.</w:t>
      </w:r>
    </w:p>
    <w:p>
      <w:pPr>
        <w:pStyle w:val="Heading1"/>
      </w:pPr>
      <w:r>
        <w:t>8. Offline-First Sync Architecture</w:t>
      </w:r>
    </w:p>
    <w:p>
      <w:pPr>
        <w:pStyle w:val="CodeBlock"/>
      </w:pPr>
      <w:r>
        <w:t>Client write -&gt; Local SQLite transaction -&gt; Local Outbox -&gt; Background Sync</w:t>
        <w:br/>
        <w:t xml:space="preserve">     -&gt; POST /sync/push with idempotency key</w:t>
        <w:br/>
        <w:t xml:space="preserve">     -&gt; Server validates tenant, permissions and business rules</w:t>
        <w:br/>
        <w:t xml:space="preserve">     -&gt; Server commits or returns structured conflict</w:t>
        <w:br/>
        <w:t xml:space="preserve">     -&gt; Client stores server version and advances sync cursor</w:t>
        <w:br/>
        <w:t xml:space="preserve">     -&gt; GET /sync/pull?cursor=... for incremental changes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456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Record Type</w:t>
            </w:r>
          </w:p>
        </w:tc>
        <w:tc>
          <w:tcPr>
            <w:tcW w:type="dxa" w:w="6336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Conflict Strategy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Draft notes and non-financial preferences</w:t>
            </w:r>
          </w:p>
        </w:tc>
        <w:tc>
          <w:tcPr>
            <w:tcW w:type="dxa" w:w="63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Last-write-wins may be acceptable</w:t>
            </w:r>
          </w:p>
        </w:tc>
      </w:tr>
      <w:tr>
        <w:tc>
          <w:tcPr>
            <w:tcW w:type="dxa" w:w="3456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Party and item master data</w:t>
            </w:r>
          </w:p>
        </w:tc>
        <w:tc>
          <w:tcPr>
            <w:tcW w:type="dxa" w:w="6336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Version check; merge safe fields or request user selection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Invoices, payments and journal-affecting data</w:t>
            </w:r>
          </w:p>
        </w:tc>
        <w:tc>
          <w:tcPr>
            <w:tcW w:type="dxa" w:w="63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Never silently overwrite; reject or send to reconciliation queue</w:t>
            </w:r>
          </w:p>
        </w:tc>
      </w:tr>
      <w:tr>
        <w:tc>
          <w:tcPr>
            <w:tcW w:type="dxa" w:w="3456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Stock movements</w:t>
            </w:r>
          </w:p>
        </w:tc>
        <w:tc>
          <w:tcPr>
            <w:tcW w:type="dxa" w:w="6336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Server validates available stock and movement sequence; conflict requires review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Numbering collision</w:t>
            </w:r>
          </w:p>
        </w:tc>
        <w:tc>
          <w:tcPr>
            <w:tcW w:type="dxa" w:w="63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Server assigns final number or rejects preallocated range violation</w:t>
            </w:r>
          </w:p>
        </w:tc>
      </w:tr>
    </w:tbl>
    <w:p/>
    <w:p>
      <w:pPr>
        <w:pStyle w:val="ListBullet"/>
        <w:spacing w:after="60"/>
      </w:pPr>
      <w:r>
        <w:t>Use client-generated UUIDs, device_id, client_created_at, server_updated_at and row_version.</w:t>
      </w:r>
    </w:p>
    <w:p>
      <w:pPr>
        <w:pStyle w:val="ListBullet"/>
        <w:spacing w:after="60"/>
      </w:pPr>
      <w:r>
        <w:t>Every mutation request carries an idempotency key so retries cannot duplicate invoices or payments.</w:t>
      </w:r>
    </w:p>
    <w:p>
      <w:pPr>
        <w:pStyle w:val="ListBullet"/>
        <w:spacing w:after="60"/>
      </w:pPr>
      <w:r>
        <w:t>Incremental pull uses a server-generated cursor, not only client timestamps.</w:t>
      </w:r>
    </w:p>
    <w:p>
      <w:pPr>
        <w:pStyle w:val="ListBullet"/>
        <w:spacing w:after="60"/>
      </w:pPr>
      <w:r>
        <w:t>Sync status must be visible to users: local, syncing, synced, attention required.</w:t>
      </w:r>
    </w:p>
    <w:p>
      <w:pPr>
        <w:pStyle w:val="ListBullet"/>
        <w:spacing w:after="60"/>
      </w:pPr>
      <w:r>
        <w:t>Provide manual Sync Now and a conflict resolution screen for authorized roles.</w:t>
      </w:r>
    </w:p>
    <w:p>
      <w:pPr>
        <w:pStyle w:val="Heading1"/>
      </w:pPr>
      <w:r>
        <w:t>9. API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7200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Example Endpoints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Authentication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POST /auth/login, POST /auth/refresh, POST /auth/logout</w:t>
            </w:r>
          </w:p>
        </w:tc>
      </w:tr>
      <w:tr>
        <w:tc>
          <w:tcPr>
            <w:tcW w:type="dxa" w:w="2592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Parties</w:t>
            </w:r>
          </w:p>
        </w:tc>
        <w:tc>
          <w:tcPr>
            <w:tcW w:type="dxa" w:w="7200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GET/POST /parties, GET/PATCH /parties/{id}, GET /parties/{id}/statement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Items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GET/POST /items, PATCH /items/{id}, GET /items/{id}/stock</w:t>
            </w:r>
          </w:p>
        </w:tc>
      </w:tr>
      <w:tr>
        <w:tc>
          <w:tcPr>
            <w:tcW w:type="dxa" w:w="2592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Sales</w:t>
            </w:r>
          </w:p>
        </w:tc>
        <w:tc>
          <w:tcPr>
            <w:tcW w:type="dxa" w:w="7200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POST /sales-invoices, POST /sales-invoices/{id}/post, POST /sales-invoices/{id}/credit-note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Payments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POST /receipts, POST /payments/{id}/allocate, POST /payments/{id}/reverse</w:t>
            </w:r>
          </w:p>
        </w:tc>
      </w:tr>
      <w:tr>
        <w:tc>
          <w:tcPr>
            <w:tcW w:type="dxa" w:w="2592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Purchases</w:t>
            </w:r>
          </w:p>
        </w:tc>
        <w:tc>
          <w:tcPr>
            <w:tcW w:type="dxa" w:w="7200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POST /purchase-bills, POST /purchase-bills/{id}/post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Inventory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POST /stock-transfers, POST /stock-counts, GET /stock-ledger</w:t>
            </w:r>
          </w:p>
        </w:tc>
      </w:tr>
      <w:tr>
        <w:tc>
          <w:tcPr>
            <w:tcW w:type="dxa" w:w="2592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Reports</w:t>
            </w:r>
          </w:p>
        </w:tc>
        <w:tc>
          <w:tcPr>
            <w:tcW w:type="dxa" w:w="7200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GET /reports/trial-balance, /profit-loss, /balance-sheet, /vat, /aging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Sync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POST /sync/push, GET /sync/pull, GET /sync/conflicts</w:t>
            </w:r>
          </w:p>
        </w:tc>
      </w:tr>
      <w:tr>
        <w:tc>
          <w:tcPr>
            <w:tcW w:type="dxa" w:w="2592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Documents</w:t>
            </w:r>
          </w:p>
        </w:tc>
        <w:tc>
          <w:tcPr>
            <w:tcW w:type="dxa" w:w="7200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POST /documents/{type}/{id}/generate, GET /documents/{id}/download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E-Invoicing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POST /einvoices/{invoiceId}/submit, GET /einvoices/{invoiceId}/status</w:t>
            </w:r>
          </w:p>
        </w:tc>
      </w:tr>
    </w:tbl>
    <w:p/>
    <w:p>
      <w:pPr>
        <w:pStyle w:val="ListBullet"/>
        <w:spacing w:after="60"/>
      </w:pPr>
      <w:r>
        <w:t>Publish an OpenAPI specification and generate client SDKs.</w:t>
      </w:r>
    </w:p>
    <w:p>
      <w:pPr>
        <w:pStyle w:val="ListBullet"/>
        <w:spacing w:after="60"/>
      </w:pPr>
      <w:r>
        <w:t>Use consistent error envelopes: code, message, fieldErrors, correlationId and retryable.</w:t>
      </w:r>
    </w:p>
    <w:p>
      <w:pPr>
        <w:pStyle w:val="ListBullet"/>
        <w:spacing w:after="60"/>
      </w:pPr>
      <w:r>
        <w:t>Use optimistic concurrency through row_version or ETag for editable master data.</w:t>
      </w:r>
    </w:p>
    <w:p>
      <w:pPr>
        <w:pStyle w:val="ListBullet"/>
        <w:spacing w:after="60"/>
      </w:pPr>
      <w:r>
        <w:t>Use cursor pagination for large lists and explicit filters for branch, date, status and party.</w:t>
      </w:r>
    </w:p>
    <w:p>
      <w:pPr>
        <w:pStyle w:val="ListBullet"/>
        <w:spacing w:after="60"/>
      </w:pPr>
      <w:r>
        <w:t>All write endpoints must be tenant-aware, policy-checked, auditable and idempotent where relevant.</w:t>
      </w:r>
    </w:p>
    <w:p>
      <w:pPr>
        <w:pStyle w:val="Heading1"/>
      </w:pPr>
      <w:r>
        <w:t>10. UAE VAT and E-Invoicing Readiness</w:t>
      </w:r>
    </w:p>
    <w:p>
      <w:r>
        <w:t>The application must separate tax calculation, invoice rendering and external e-invoice exchange. Compliance rules should be versioned and configurable because implementation details and accredited provider requirements may evolve. Before release, a UAE tax professional must validate invoice fields, VAT mappings, retention rules, credit-note handling and reporting outputs.</w:t>
      </w:r>
    </w:p>
    <w:p>
      <w:pPr>
        <w:pStyle w:val="ListBullet"/>
        <w:spacing w:after="60"/>
      </w:pPr>
      <w:r>
        <w:t>VAT categories: standard-rated, zero-rated, exempt and out-of-scope.</w:t>
      </w:r>
    </w:p>
    <w:p>
      <w:pPr>
        <w:pStyle w:val="ListBullet"/>
        <w:spacing w:after="60"/>
      </w:pPr>
      <w:r>
        <w:t>Store seller and buyer legal details, TRN where applicable, invoice type, supply date, currency, tax totals and line-level tax information.</w:t>
      </w:r>
    </w:p>
    <w:p>
      <w:pPr>
        <w:pStyle w:val="ListBullet"/>
        <w:spacing w:after="60"/>
      </w:pPr>
      <w:r>
        <w:t>Generate VAT reports from posted ledger and invoice snapshots, not from editable drafts.</w:t>
      </w:r>
    </w:p>
    <w:p>
      <w:pPr>
        <w:pStyle w:val="ListBullet"/>
        <w:spacing w:after="60"/>
      </w:pPr>
      <w:r>
        <w:t>Define a TaxInvoiceSerializer interface with PDF, thermal and structured XML implementations.</w:t>
      </w:r>
    </w:p>
    <w:p>
      <w:pPr>
        <w:pStyle w:val="ListBullet"/>
        <w:spacing w:after="60"/>
      </w:pPr>
      <w:r>
        <w:t>Create an ASP adapter interface so the platform is not locked to one UAE accredited service provider.</w:t>
      </w:r>
    </w:p>
    <w:p>
      <w:pPr>
        <w:pStyle w:val="ListBullet"/>
        <w:spacing w:after="60"/>
      </w:pPr>
      <w:r>
        <w:t>Store submission payload hash, external reference, status, rejection reason, timestamps and retries.</w:t>
      </w:r>
    </w:p>
    <w:p>
      <w:pPr>
        <w:pStyle w:val="ListBullet"/>
        <w:spacing w:after="60"/>
      </w:pPr>
      <w:r>
        <w:t>Do not treat a PDF or emailed invoice as the final e-invoice integration model.</w:t>
      </w:r>
    </w:p>
    <w:p>
      <w:pPr>
        <w:pStyle w:val="CodeBlock"/>
      </w:pPr>
      <w:r>
        <w:t>interface TaxInvoiceSerializer {</w:t>
        <w:br/>
        <w:t xml:space="preserve">  validate(invoiceId: UUID): ValidationResult;</w:t>
        <w:br/>
        <w:t xml:space="preserve">  toPdf(invoiceId: UUID, templateId: UUID): FileReference;</w:t>
        <w:br/>
        <w:t xml:space="preserve">  toThermal(invoiceId: UUID, width: 58 | 80): EscPosPayload;</w:t>
        <w:br/>
        <w:t xml:space="preserve">  toStructuredXml(invoiceId: UUID, profileVersion: string): XmlPayload;</w:t>
        <w:br/>
        <w:t>}</w:t>
        <w:br/>
        <w:br/>
        <w:t>interface EInvoiceProviderAdapter {</w:t>
        <w:br/>
        <w:t xml:space="preserve">  submit(payload: XmlPayload, idempotencyKey: string): SubmissionResult;</w:t>
        <w:br/>
        <w:t xml:space="preserve">  getStatus(externalReference: string): SubmissionStatus;</w:t>
        <w:br/>
        <w:t xml:space="preserve">  cancelOrCredit(reference: string, document: XmlPayload): SubmissionResult;</w:t>
        <w:br/>
        <w:t>}</w:t>
      </w:r>
    </w:p>
    <w:p>
      <w:pPr>
        <w:pStyle w:val="Heading1"/>
      </w:pPr>
      <w:r>
        <w:t>11. Security and Multi-Tenant Isolation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7200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Authentication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Short-lived access token, rotated refresh token, hashed token storage, MFA option</w:t>
            </w:r>
          </w:p>
        </w:tc>
      </w:tr>
      <w:tr>
        <w:tc>
          <w:tcPr>
            <w:tcW w:type="dxa" w:w="2592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Authorization</w:t>
            </w:r>
          </w:p>
        </w:tc>
        <w:tc>
          <w:tcPr>
            <w:tcW w:type="dxa" w:w="7200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Central policy service using role + resource + action + tenant + branch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Tenant isolation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tenant_id on all owned tables; query scoping plus PostgreSQL RLS defense-in-depth</w:t>
            </w:r>
          </w:p>
        </w:tc>
      </w:tr>
      <w:tr>
        <w:tc>
          <w:tcPr>
            <w:tcW w:type="dxa" w:w="2592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Encryption</w:t>
            </w:r>
          </w:p>
        </w:tc>
        <w:tc>
          <w:tcPr>
            <w:tcW w:type="dxa" w:w="7200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TLS in transit; managed encryption at rest; sensitive field encryption where justified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Audit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Immutable logs for posting, reversal, role changes, exports and compliance actions</w:t>
            </w:r>
          </w:p>
        </w:tc>
      </w:tr>
      <w:tr>
        <w:tc>
          <w:tcPr>
            <w:tcW w:type="dxa" w:w="2592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Secrets</w:t>
            </w:r>
          </w:p>
        </w:tc>
        <w:tc>
          <w:tcPr>
            <w:tcW w:type="dxa" w:w="7200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Cloud secrets manager; no secrets committed to source control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File access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Private object storage and short-lived signed URLs</w:t>
            </w:r>
          </w:p>
        </w:tc>
      </w:tr>
      <w:tr>
        <w:tc>
          <w:tcPr>
            <w:tcW w:type="dxa" w:w="2592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Abuse protection</w:t>
            </w:r>
          </w:p>
        </w:tc>
        <w:tc>
          <w:tcPr>
            <w:tcW w:type="dxa" w:w="7200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Rate limits, login throttling, device/session revocation and anomaly alerts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Backups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Automated encrypted backups and point-in-time recovery with restore drills</w:t>
            </w:r>
          </w:p>
        </w:tc>
      </w:tr>
      <w:tr>
        <w:tc>
          <w:tcPr>
            <w:tcW w:type="dxa" w:w="2592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Data lifecycle</w:t>
            </w:r>
          </w:p>
        </w:tc>
        <w:tc>
          <w:tcPr>
            <w:tcW w:type="dxa" w:w="7200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Retention, archive and deletion workflows aligned with legal requirements</w:t>
            </w:r>
          </w:p>
        </w:tc>
      </w:tr>
    </w:tbl>
    <w:p/>
    <w:p>
      <w:pPr>
        <w:pStyle w:val="Heading1"/>
      </w:pPr>
      <w:r>
        <w:t>12. Reports and Analytics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7200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Reports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Accounting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Trial Balance, General Ledger, Journal Register, Profit &amp; Loss, Balance Sheet, Cash Flow</w:t>
            </w:r>
          </w:p>
        </w:tc>
      </w:tr>
      <w:tr>
        <w:tc>
          <w:tcPr>
            <w:tcW w:type="dxa" w:w="2592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Receivables/Payables</w:t>
            </w:r>
          </w:p>
        </w:tc>
        <w:tc>
          <w:tcPr>
            <w:tcW w:type="dxa" w:w="7200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Customer aging, supplier aging, statements, outstanding invoices, allocations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Tax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VAT summary, VAT detail, output/input tax, exception report, VAT return mapping</w:t>
            </w:r>
          </w:p>
        </w:tc>
      </w:tr>
      <w:tr>
        <w:tc>
          <w:tcPr>
            <w:tcW w:type="dxa" w:w="2592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Inventory</w:t>
            </w:r>
          </w:p>
        </w:tc>
        <w:tc>
          <w:tcPr>
            <w:tcW w:type="dxa" w:w="7200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Stock ledger, valuation, movement, low stock, dead stock, warehouse balance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Sales/Purchases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Daily sales, item sales, customer sales, margin, purchase analysis, returns</w:t>
            </w:r>
          </w:p>
        </w:tc>
      </w:tr>
      <w:tr>
        <w:tc>
          <w:tcPr>
            <w:tcW w:type="dxa" w:w="2592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Audit</w:t>
            </w:r>
          </w:p>
        </w:tc>
        <w:tc>
          <w:tcPr>
            <w:tcW w:type="dxa" w:w="7200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User activity, posted/reversed documents, permission changes, import history</w:t>
            </w:r>
          </w:p>
        </w:tc>
      </w:tr>
    </w:tbl>
    <w:p/>
    <w:p>
      <w:pPr>
        <w:pStyle w:val="Heading1"/>
      </w:pPr>
      <w:r>
        <w:t>13. Integrations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Integration</w:t>
            </w:r>
          </w:p>
        </w:tc>
        <w:tc>
          <w:tcPr>
            <w:tcW w:type="dxa" w:w="7200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Approach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WhatsApp Business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Queue PDF generation and template messages; store delivery status and errors</w:t>
            </w:r>
          </w:p>
        </w:tc>
      </w:tr>
      <w:tr>
        <w:tc>
          <w:tcPr>
            <w:tcW w:type="dxa" w:w="2592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SMS</w:t>
            </w:r>
          </w:p>
        </w:tc>
        <w:tc>
          <w:tcPr>
            <w:tcW w:type="dxa" w:w="7200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Use UAE-compatible gateway for OTP and fallback notifications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Email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Transactional provider with domain authentication and delivery webhooks</w:t>
            </w:r>
          </w:p>
        </w:tc>
      </w:tr>
      <w:tr>
        <w:tc>
          <w:tcPr>
            <w:tcW w:type="dxa" w:w="2592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Thermal Printers</w:t>
            </w:r>
          </w:p>
        </w:tc>
        <w:tc>
          <w:tcPr>
            <w:tcW w:type="dxa" w:w="7200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ESC/POS 58mm and 80mm; USB, Bluetooth and network based on platform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Barcode Scanners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Keyboard wedge by default; platform-specific SDK only where required</w:t>
            </w:r>
          </w:p>
        </w:tc>
      </w:tr>
      <w:tr>
        <w:tc>
          <w:tcPr>
            <w:tcW w:type="dxa" w:w="2592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Excel</w:t>
            </w:r>
          </w:p>
        </w:tc>
        <w:tc>
          <w:tcPr>
            <w:tcW w:type="dxa" w:w="7200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Upload to staging, validate, preview, confirm, then commit asynchronously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Payment Gateways (future)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Adapter pattern; never couple accounting posting directly to one gateway</w:t>
            </w:r>
          </w:p>
        </w:tc>
      </w:tr>
      <w:tr>
        <w:tc>
          <w:tcPr>
            <w:tcW w:type="dxa" w:w="2592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E-Invoice ASP</w:t>
            </w:r>
          </w:p>
        </w:tc>
        <w:tc>
          <w:tcPr>
            <w:tcW w:type="dxa" w:w="7200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Provider adapter with idempotent submit, status polling/webhook and error mapping</w:t>
            </w:r>
          </w:p>
        </w:tc>
      </w:tr>
    </w:tbl>
    <w:p/>
    <w:p>
      <w:pPr>
        <w:pStyle w:val="Heading1"/>
      </w:pPr>
      <w:r>
        <w:t>14. Infrastructure and Deployment</w:t>
      </w:r>
    </w:p>
    <w:p>
      <w:pPr>
        <w:pStyle w:val="CodeBlock"/>
      </w:pPr>
      <w:r>
        <w:t>Production Environment</w:t>
        <w:br/>
        <w:t>- Managed container platform: AWS ECS/Fargate or Azure Container Apps</w:t>
        <w:br/>
        <w:t>- Managed PostgreSQL with Multi-AZ/HA and point-in-time recovery</w:t>
        <w:br/>
        <w:t>- Managed Redis</w:t>
        <w:br/>
        <w:t>- Private object storage</w:t>
        <w:br/>
        <w:t>- CDN/WAF for web assets and public API protection</w:t>
        <w:br/>
        <w:t>- Central logs, metrics, traces and alerting</w:t>
        <w:br/>
        <w:t>- Separate development, staging and production accounts/projects</w:t>
      </w:r>
    </w:p>
    <w:p>
      <w:pPr>
        <w:pStyle w:val="ListBullet"/>
        <w:spacing w:after="60"/>
      </w:pPr>
      <w:r>
        <w:t>Containerize backend and workers separately even while using the same repository.</w:t>
      </w:r>
    </w:p>
    <w:p>
      <w:pPr>
        <w:pStyle w:val="ListBullet"/>
        <w:spacing w:after="60"/>
      </w:pPr>
      <w:r>
        <w:t>Run database migrations as a controlled deployment step with rollback planning.</w:t>
      </w:r>
    </w:p>
    <w:p>
      <w:pPr>
        <w:pStyle w:val="ListBullet"/>
        <w:spacing w:after="60"/>
      </w:pPr>
      <w:r>
        <w:t>Require manual approval before production deployment.</w:t>
      </w:r>
    </w:p>
    <w:p>
      <w:pPr>
        <w:pStyle w:val="ListBullet"/>
        <w:spacing w:after="60"/>
      </w:pPr>
      <w:r>
        <w:t>Use feature flags for e-invoicing, multicurrency, branches and high-risk accounting changes.</w:t>
      </w:r>
    </w:p>
    <w:p>
      <w:pPr>
        <w:pStyle w:val="ListBullet"/>
        <w:spacing w:after="60"/>
      </w:pPr>
      <w:r>
        <w:t>Choose regional hosting based on customer contracts, sector requirements and data-residency review.</w:t>
      </w:r>
    </w:p>
    <w:p>
      <w:pPr>
        <w:pStyle w:val="Heading1"/>
      </w:pPr>
      <w:r>
        <w:t>15.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Test Layer</w:t>
            </w:r>
          </w:p>
        </w:tc>
        <w:tc>
          <w:tcPr>
            <w:tcW w:type="dxa" w:w="7200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Minimum Coverage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Unit tests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Tax calculations, posting rules, rounding, permissions and state transitions</w:t>
            </w:r>
          </w:p>
        </w:tc>
      </w:tr>
      <w:tr>
        <w:tc>
          <w:tcPr>
            <w:tcW w:type="dxa" w:w="2592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Integration tests</w:t>
            </w:r>
          </w:p>
        </w:tc>
        <w:tc>
          <w:tcPr>
            <w:tcW w:type="dxa" w:w="7200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Real PostgreSQL constraints, transactions, rollback, RLS and queues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Golden accounting tests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Expected journal lines for every business event and edge case</w:t>
            </w:r>
          </w:p>
        </w:tc>
      </w:tr>
      <w:tr>
        <w:tc>
          <w:tcPr>
            <w:tcW w:type="dxa" w:w="2592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API contract tests</w:t>
            </w:r>
          </w:p>
        </w:tc>
        <w:tc>
          <w:tcPr>
            <w:tcW w:type="dxa" w:w="7200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OpenAPI validation, status codes, idempotency and error schemas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Sync tests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Offline create/update, retry, duplicate request, conflict and cursor recovery</w:t>
            </w:r>
          </w:p>
        </w:tc>
      </w:tr>
      <w:tr>
        <w:tc>
          <w:tcPr>
            <w:tcW w:type="dxa" w:w="2592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End-to-end tests</w:t>
            </w:r>
          </w:p>
        </w:tc>
        <w:tc>
          <w:tcPr>
            <w:tcW w:type="dxa" w:w="7200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Invoice-to-payment, purchase-to-stock, returns, period close and reporting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Security tests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Tenant isolation, privilege escalation, session handling and file authorization</w:t>
            </w:r>
          </w:p>
        </w:tc>
      </w:tr>
      <w:tr>
        <w:tc>
          <w:tcPr>
            <w:tcW w:type="dxa" w:w="2592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Performance tests</w:t>
            </w:r>
          </w:p>
        </w:tc>
        <w:tc>
          <w:tcPr>
            <w:tcW w:type="dxa" w:w="7200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POS checkout, invoice posting, report queries, imports and sync bursts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Disaster recovery tests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Backup restore and point-in-time recovery drills</w:t>
            </w:r>
          </w:p>
        </w:tc>
      </w:tr>
    </w:tbl>
    <w:p/>
    <w:p>
      <w:pPr>
        <w:pStyle w:val="Heading1"/>
      </w:pPr>
      <w:r>
        <w:t>16. Recommended Delivery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7344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Deliverables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Phase 0 - Domain Design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Accounting workshops, chart of accounts, posting matrix, ERD, invoice state machine, VAT validation</w:t>
            </w:r>
          </w:p>
        </w:tc>
      </w:tr>
      <w:tr>
        <w:tc>
          <w:tcPr>
            <w:tcW w:type="dxa" w:w="2448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Phase 1 - Core MVP</w:t>
            </w:r>
          </w:p>
        </w:tc>
        <w:tc>
          <w:tcPr>
            <w:tcW w:type="dxa" w:w="7344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Tenant/auth/RBAC, parties, items, sales invoices, receipts, journal engine, PDF, basic reports, mobile offline drafts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Phase 2 - Full Operations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Purchases, inventory movements, warehouses, returns/credit notes, imports, accountant web dashboard</w:t>
            </w:r>
          </w:p>
        </w:tc>
      </w:tr>
      <w:tr>
        <w:tc>
          <w:tcPr>
            <w:tcW w:type="dxa" w:w="2448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Phase 3 - POS &amp; Communication</w:t>
            </w:r>
          </w:p>
        </w:tc>
        <w:tc>
          <w:tcPr>
            <w:tcW w:type="dxa" w:w="7344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Desktop POS, barcode, thermal printing, WhatsApp/SMS/email, branch controls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Phase 4 - Compliance Expansion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VAT return mapping, structured e-invoice serializer, ASP adapter, compliance testing</w:t>
            </w:r>
          </w:p>
        </w:tc>
      </w:tr>
      <w:tr>
        <w:tc>
          <w:tcPr>
            <w:tcW w:type="dxa" w:w="2448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Phase 5 - Scale Features</w:t>
            </w:r>
          </w:p>
        </w:tc>
        <w:tc>
          <w:tcPr>
            <w:tcW w:type="dxa" w:w="7344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Multi-currency, bank feeds/reconciliation, advanced analytics, integrations and service extraction if required</w:t>
            </w:r>
          </w:p>
        </w:tc>
      </w:tr>
    </w:tbl>
    <w:p/>
    <w:p>
      <w:pPr>
        <w:pStyle w:val="Heading1"/>
      </w:pPr>
      <w:r>
        <w:t>17. MVP Acceptance Criteria</w:t>
      </w:r>
    </w:p>
    <w:p>
      <w:pPr>
        <w:pStyle w:val="ListBullet"/>
        <w:spacing w:after="60"/>
      </w:pPr>
      <w:r>
        <w:t>A business can create a tenant, branch, users, parties and items.</w:t>
      </w:r>
    </w:p>
    <w:p>
      <w:pPr>
        <w:pStyle w:val="ListBullet"/>
        <w:spacing w:after="60"/>
      </w:pPr>
      <w:r>
        <w:t>An authorized user can create and post a sales invoice with correct VAT and balanced journal entries.</w:t>
      </w:r>
    </w:p>
    <w:p>
      <w:pPr>
        <w:pStyle w:val="ListBullet"/>
        <w:spacing w:after="60"/>
      </w:pPr>
      <w:r>
        <w:t>A payment can be received and allocated partially or fully to an invoice.</w:t>
      </w:r>
    </w:p>
    <w:p>
      <w:pPr>
        <w:pStyle w:val="ListBullet"/>
        <w:spacing w:after="60"/>
      </w:pPr>
      <w:r>
        <w:t>Posted records are immutable and can only be corrected through reversal or credit note.</w:t>
      </w:r>
    </w:p>
    <w:p>
      <w:pPr>
        <w:pStyle w:val="ListBullet"/>
        <w:spacing w:after="60"/>
      </w:pPr>
      <w:r>
        <w:t>The system produces party statements, trial balance, P&amp;L, balance sheet and VAT summary from posted data.</w:t>
      </w:r>
    </w:p>
    <w:p>
      <w:pPr>
        <w:pStyle w:val="ListBullet"/>
        <w:spacing w:after="60"/>
      </w:pPr>
      <w:r>
        <w:t>Mobile can create permitted records offline and sync without duplication.</w:t>
      </w:r>
    </w:p>
    <w:p>
      <w:pPr>
        <w:pStyle w:val="ListBullet"/>
        <w:spacing w:after="60"/>
      </w:pPr>
      <w:r>
        <w:t>No user can access another tenant’s data in automated tenant-isolation tests.</w:t>
      </w:r>
    </w:p>
    <w:p>
      <w:pPr>
        <w:pStyle w:val="ListBullet"/>
        <w:spacing w:after="60"/>
      </w:pPr>
      <w:r>
        <w:t>Invoice PDF and thermal receipt are generated from the same canonical invoice data.</w:t>
      </w:r>
    </w:p>
    <w:p>
      <w:pPr>
        <w:pStyle w:val="ListBullet"/>
        <w:spacing w:after="60"/>
      </w:pPr>
      <w:r>
        <w:t>Backups, audit logs, monitoring and a tested restore procedure exist before production launch.</w:t>
      </w:r>
    </w:p>
    <w:p>
      <w:pPr>
        <w:pStyle w:val="Heading1"/>
      </w:pPr>
      <w:r>
        <w:t>18. Development Rules</w:t>
      </w:r>
    </w:p>
    <w:p>
      <w:pPr>
        <w:pStyle w:val="ListBullet"/>
        <w:spacing w:after="60"/>
      </w:pPr>
      <w:r>
        <w:t>No controller may write directly to accounting tables.</w:t>
      </w:r>
    </w:p>
    <w:p>
      <w:pPr>
        <w:pStyle w:val="ListBullet"/>
        <w:spacing w:after="60"/>
      </w:pPr>
      <w:r>
        <w:t>Only the Ledger Posting Service can create posted journal entries.</w:t>
      </w:r>
    </w:p>
    <w:p>
      <w:pPr>
        <w:pStyle w:val="ListBullet"/>
        <w:spacing w:after="60"/>
      </w:pPr>
      <w:r>
        <w:t>No FLOAT or DOUBLE for currency or quantities requiring exact decimal handling.</w:t>
      </w:r>
    </w:p>
    <w:p>
      <w:pPr>
        <w:pStyle w:val="ListBullet"/>
        <w:spacing w:after="60"/>
      </w:pPr>
      <w:r>
        <w:t>No hard-coded VAT logic inside UI components or controllers.</w:t>
      </w:r>
    </w:p>
    <w:p>
      <w:pPr>
        <w:pStyle w:val="ListBullet"/>
        <w:spacing w:after="60"/>
      </w:pPr>
      <w:r>
        <w:t>No delete operation for posted financial documents.</w:t>
      </w:r>
    </w:p>
    <w:p>
      <w:pPr>
        <w:pStyle w:val="ListBullet"/>
        <w:spacing w:after="60"/>
      </w:pPr>
      <w:r>
        <w:t>No cross-tenant query without enforced tenant context.</w:t>
      </w:r>
    </w:p>
    <w:p>
      <w:pPr>
        <w:pStyle w:val="ListBullet"/>
        <w:spacing w:after="60"/>
      </w:pPr>
      <w:r>
        <w:t>No external notification or ASP request inside the invoice database transaction; use an outbox/job.</w:t>
      </w:r>
    </w:p>
    <w:p>
      <w:pPr>
        <w:pStyle w:val="ListBullet"/>
        <w:spacing w:after="60"/>
      </w:pPr>
      <w:r>
        <w:t>No production schema changes outside versioned migrations and reviewed deployment pipelines.</w:t>
      </w:r>
    </w:p>
    <w:p>
      <w:pPr>
        <w:pStyle w:val="ListBullet"/>
        <w:spacing w:after="60"/>
      </w:pPr>
      <w:r>
        <w:t>Every critical mutation must create an audit record and carry a correlation ID.</w:t>
      </w:r>
    </w:p>
    <w:p>
      <w:pPr>
        <w:pStyle w:val="Heading1"/>
      </w:pPr>
      <w:r>
        <w:t>19. Decisions Required Before Sprint Planning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6912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2880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Inventory valuation: weighted average or FIFO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Product + Accountant</w:t>
            </w:r>
          </w:p>
        </w:tc>
      </w:tr>
      <w:tr>
        <w:tc>
          <w:tcPr>
            <w:tcW w:type="dxa" w:w="6912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Final legal invoice numbering policy for offline branches/devices</w:t>
            </w:r>
          </w:p>
        </w:tc>
        <w:tc>
          <w:tcPr>
            <w:tcW w:type="dxa" w:w="2880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Product + Tax Adviser + Architect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Scope of purchase workflows in MVP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Product</w:t>
            </w:r>
          </w:p>
        </w:tc>
      </w:tr>
      <w:tr>
        <w:tc>
          <w:tcPr>
            <w:tcW w:type="dxa" w:w="6912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Single company vs multi-company per account</w:t>
            </w:r>
          </w:p>
        </w:tc>
        <w:tc>
          <w:tcPr>
            <w:tcW w:type="dxa" w:w="2880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Product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Branch-level stock and branch-level accounting requirements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Product + Accountant</w:t>
            </w:r>
          </w:p>
        </w:tc>
      </w:tr>
      <w:tr>
        <w:tc>
          <w:tcPr>
            <w:tcW w:type="dxa" w:w="6912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Cash basis vs accrual-only reporting expectations</w:t>
            </w:r>
          </w:p>
        </w:tc>
        <w:tc>
          <w:tcPr>
            <w:tcW w:type="dxa" w:w="2880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Accountant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Multicurrency launch timing and exchange-rate source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Product + Accountant</w:t>
            </w:r>
          </w:p>
        </w:tc>
      </w:tr>
      <w:tr>
        <w:tc>
          <w:tcPr>
            <w:tcW w:type="dxa" w:w="6912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Selected WhatsApp/SMS providers</w:t>
            </w:r>
          </w:p>
        </w:tc>
        <w:tc>
          <w:tcPr>
            <w:tcW w:type="dxa" w:w="2880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Operations + Engineering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Cloud provider and hosting region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Engineering + Compliance</w:t>
            </w:r>
          </w:p>
        </w:tc>
      </w:tr>
      <w:tr>
        <w:tc>
          <w:tcPr>
            <w:tcW w:type="dxa" w:w="6912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Selected UAE e-invoice ASP and certification/onboarding process</w:t>
            </w:r>
          </w:p>
        </w:tc>
        <w:tc>
          <w:tcPr>
            <w:tcW w:type="dxa" w:w="2880"/>
            <w:vAlign w:val="center"/>
            <w:shd w:fill="F3F6F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Product + Compliance</w:t>
            </w:r>
          </w:p>
        </w:tc>
      </w:tr>
    </w:tbl>
    <w:p/>
    <w:p>
      <w:pPr>
        <w:pStyle w:val="Heading1"/>
      </w:pPr>
      <w:r>
        <w:t>20. Developer Handover Checklist</w:t>
      </w:r>
    </w:p>
    <w:p>
      <w:pPr>
        <w:pStyle w:val="ListBullet"/>
        <w:spacing w:after="60"/>
      </w:pPr>
      <w:r>
        <w:t>Approved product requirements and role-permission matrix</w:t>
      </w:r>
    </w:p>
    <w:p>
      <w:pPr>
        <w:pStyle w:val="ListBullet"/>
        <w:spacing w:after="60"/>
      </w:pPr>
      <w:r>
        <w:t>Accounting posting matrix reviewed by an accountant</w:t>
      </w:r>
    </w:p>
    <w:p>
      <w:pPr>
        <w:pStyle w:val="ListBullet"/>
        <w:spacing w:after="60"/>
      </w:pPr>
      <w:r>
        <w:t>ERD and database migration strategy</w:t>
      </w:r>
    </w:p>
    <w:p>
      <w:pPr>
        <w:pStyle w:val="ListBullet"/>
        <w:spacing w:after="60"/>
      </w:pPr>
      <w:r>
        <w:t>OpenAPI contract and shared error format</w:t>
      </w:r>
    </w:p>
    <w:p>
      <w:pPr>
        <w:pStyle w:val="ListBullet"/>
        <w:spacing w:after="60"/>
      </w:pPr>
      <w:r>
        <w:t>Wireframes for mobile POS and web dashboard</w:t>
      </w:r>
    </w:p>
    <w:p>
      <w:pPr>
        <w:pStyle w:val="ListBullet"/>
        <w:spacing w:after="60"/>
      </w:pPr>
      <w:r>
        <w:t>Offline sync protocol and conflict UX</w:t>
      </w:r>
    </w:p>
    <w:p>
      <w:pPr>
        <w:pStyle w:val="ListBullet"/>
        <w:spacing w:after="60"/>
      </w:pPr>
      <w:r>
        <w:t>Invoice/PDF/thermal templates</w:t>
      </w:r>
    </w:p>
    <w:p>
      <w:pPr>
        <w:pStyle w:val="ListBullet"/>
        <w:spacing w:after="60"/>
      </w:pPr>
      <w:r>
        <w:t>Tax and e-invoicing compliance checklist</w:t>
      </w:r>
    </w:p>
    <w:p>
      <w:pPr>
        <w:pStyle w:val="ListBullet"/>
        <w:spacing w:after="60"/>
      </w:pPr>
      <w:r>
        <w:t>Test plan with accounting golden cases</w:t>
      </w:r>
    </w:p>
    <w:p>
      <w:pPr>
        <w:pStyle w:val="ListBullet"/>
        <w:spacing w:after="60"/>
      </w:pPr>
      <w:r>
        <w:t>Dev, staging and production deployment environments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Confidential - Developer Handover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77777"/>
        <w:sz w:val="16"/>
      </w:rPr>
      <w:t>UAE Accounting Platform | Technical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59" w:right="259"/>
      <w:shd w:fill="EEF2F6"/>
    </w:pPr>
    <w:rPr>
      <w:rFonts w:ascii="Consolas" w:hAnsi="Consolas"/>
      <w:color w:val="20202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UAE Accounting Platform Technical Architecture</dc:title>
  <dc:subject>Developer handover architecture</dc:subject>
  <dc:creator>Product Architecture Team</dc:creator>
  <cp:keywords>UAE, accounting, billing, inventory, VAT, e-invoicing, architecture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