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sz w:val="48"/>
        </w:rPr>
        <w:t>CRBCL Executive Platform Development Update</w:t>
      </w:r>
    </w:p>
    <w:p>
      <w:pPr>
        <w:spacing w:after="320"/>
        <w:jc w:val="center"/>
      </w:pPr>
      <w:r>
        <w:rPr>
          <w:b/>
          <w:color w:val="334155"/>
          <w:sz w:val="24"/>
        </w:rPr>
        <w:t>Chief Red Bear Children's Lodge (CRBCL)</w:t>
        <w:br/>
      </w:r>
      <w:r>
        <w:rPr>
          <w:color w:val="64748B"/>
          <w:sz w:val="20"/>
        </w:rPr>
        <w:t>Audience: Chief Executive Officer, Executive Director, and Leadership Team</w:t>
        <w:br/>
        <w:t>Date: September 28, 2026 | Document Status: Verified Repository-Grounded Report — For Leadership Review</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60" w:type="dxa"/>
            </w:tcMar>
            <w:tcBorders>
              <w:top w:val="none"/>
              <w:left w:val="single" w:sz="36" w:space="0" w:color="1E3A8A"/>
              <w:bottom w:val="none"/>
              <w:right w:val="none"/>
            </w:tcBorders>
          </w:tcPr>
          <w:p>
            <w:pPr>
              <w:spacing w:before="40" w:after="80"/>
            </w:pPr>
            <w:r>
              <w:rPr>
                <w:b/>
                <w:color w:val="1E3A8A"/>
                <w:sz w:val="22"/>
              </w:rPr>
              <w:t>🏛️ Core Platform Maturity Assessment</w:t>
              <w:br/>
            </w:r>
            <w:r>
              <w:rPr>
                <w:color w:val="1F2937"/>
                <w:sz w:val="20"/>
              </w:rPr>
              <w:t>CRBCL now has a substantial integrated technical foundation. Core identity, Client governance, Intake/Referral, Case, Resource Unit, Finance, HR, Navigator, executive/governance, document and authorization capabilities have been implemented. Front-office operational workflows, advanced fleet administration, physical GPS integration and external enterprise integrations remain in various stages of discovery, partial implementation or policy-dependent planning.</w:t>
            </w:r>
          </w:p>
        </w:tc>
      </w:tr>
    </w:tbl>
    <w:p>
      <w:pPr>
        <w:spacing w:after="80"/>
      </w:pPr>
    </w:p>
    <w:tbl>
      <w:tblPr>
        <w:tblW w:type="auto" w:w="0"/>
        <w:jc w:val="center"/>
        <w:tblLook w:firstColumn="1" w:firstRow="1" w:lastColumn="0" w:lastRow="0" w:noHBand="0" w:noVBand="1" w:val="04A0"/>
      </w:tblPr>
      <w:tblGrid>
        <w:gridCol w:w="9936"/>
      </w:tblGrid>
      <w:tr>
        <w:tc>
          <w:tcPr>
            <w:tcW w:type="dxa" w:w="9936"/>
            <w:shd w:fill="FFFBEB"/>
            <w:tcMar>
              <w:top w:w="140" w:type="dxa"/>
              <w:bottom w:w="140" w:type="dxa"/>
              <w:left w:w="200" w:type="dxa"/>
              <w:right w:w="160" w:type="dxa"/>
            </w:tcMar>
            <w:tcBorders>
              <w:top w:val="none"/>
              <w:left w:val="single" w:sz="36" w:space="0" w:color="D97706"/>
              <w:bottom w:val="none"/>
              <w:right w:val="none"/>
            </w:tcBorders>
          </w:tcPr>
          <w:p>
            <w:pPr>
              <w:spacing w:before="40" w:after="80"/>
            </w:pPr>
            <w:r>
              <w:rPr>
                <w:b/>
                <w:color w:val="1E3A8A"/>
                <w:sz w:val="22"/>
              </w:rPr>
              <w:t>⚠️ Live Website Verification Notice (Client-Reported Operational Status)</w:t>
              <w:br/>
            </w:r>
            <w:r>
              <w:rPr>
                <w:color w:val="1F2937"/>
                <w:sz w:val="20"/>
              </w:rPr>
              <w:t>CRBCL has reported that not all capabilities represented in the current source implementation are functioning as expected on the live website. Accordingly, this report distinguishes source-code implementation from confirmed live operation. No capability is represented as production-operational solely because corresponding source code or automated tests exist. Reported live issues require authenticated end-to-end UAT and remediation where necessary.</w:t>
            </w:r>
          </w:p>
        </w:tc>
      </w:tr>
    </w:tbl>
    <w:p>
      <w:pPr>
        <w:spacing w:after="80"/>
      </w:pPr>
    </w:p>
    <w:tbl>
      <w:tblPr>
        <w:tblW w:type="auto" w:w="0"/>
        <w:jc w:val="center"/>
        <w:tblLook w:firstColumn="1" w:firstRow="1" w:lastColumn="0" w:lastRow="0" w:noHBand="0" w:noVBand="1" w:val="04A0"/>
      </w:tblPr>
      <w:tblGrid>
        <w:gridCol w:w="9936"/>
      </w:tblGrid>
      <w:tr>
        <w:tc>
          <w:tcPr>
            <w:tcW w:type="dxa" w:w="9936"/>
            <w:shd w:fill="FEF2F2"/>
            <w:tcMar>
              <w:top w:w="140" w:type="dxa"/>
              <w:bottom w:w="140" w:type="dxa"/>
              <w:left w:w="200" w:type="dxa"/>
              <w:right w:w="160" w:type="dxa"/>
            </w:tcMar>
            <w:tcBorders>
              <w:top w:val="none"/>
              <w:left w:val="single" w:sz="36" w:space="0" w:color="DC2626"/>
              <w:bottom w:val="none"/>
              <w:right w:val="none"/>
            </w:tcBorders>
          </w:tcPr>
          <w:p>
            <w:pPr>
              <w:spacing w:before="40" w:after="80"/>
            </w:pPr>
            <w:r>
              <w:rPr>
                <w:b/>
                <w:color w:val="1E3A8A"/>
                <w:sz w:val="22"/>
              </w:rPr>
              <w:t>🔒 Mandatory Platform Readiness &amp; Compliance Declarations</w:t>
              <w:br/>
            </w:r>
            <w:r>
              <w:rPr>
                <w:color w:val="1F2937"/>
                <w:sz w:val="20"/>
              </w:rPr>
              <w:t>• “Technical readiness supports controlled UAT using synthetic and de-identified data.”</w:t>
              <w:br/>
              <w:t>• “This technical assessment does not authorize live community data testing or production operational use.”</w:t>
              <w:br/>
              <w:t>• “Technical controls have been assessed for alignment support; statutory applicability and legal compliance require CRBCL privacy/legal review.”</w:t>
              <w:br/>
              <w:br/>
              <w:t>No claim of FOIP, LA FOIP, HIPA, or OCAP compliance or certification is made.</w:t>
            </w:r>
          </w:p>
        </w:tc>
      </w:tr>
    </w:tbl>
    <w:p>
      <w:pPr>
        <w:spacing w:after="80"/>
      </w:pPr>
    </w:p>
    <w:p>
      <w:pPr>
        <w:pStyle w:val="Heading1"/>
      </w:pPr>
      <w:r>
        <w:rPr>
          <w:color w:val="0F172A"/>
        </w:rPr>
        <w:t>1. Executive Summary &amp; Strategic Context</w:t>
      </w:r>
    </w:p>
    <w:p>
      <w:pPr>
        <w:spacing w:after="160"/>
      </w:pPr>
      <w:r>
        <w:t>The CRBCL Family Wellness Case Management Platform is designed to reduce historical data silos across prevention, protection, family wellness, finance, human resources, and organizational leadership. Historically, child and family welfare agencies have struggled with fragmented paper files, isolated spreadsheets, and disconnected software systems. These silos risk lost communications, redundant data entry, incomplete family histories, and heightened confidentiality vulnerabilities.</w:t>
      </w:r>
    </w:p>
    <w:p>
      <w:pPr>
        <w:spacing w:after="120"/>
      </w:pPr>
      <w:r>
        <w:t>Over consecutive development phases, CRBCL has invested in building an integrated, auditable digital foundation. Today, a substantial portion of the foundational architecture has been implemented in source code:</w:t>
      </w:r>
    </w:p>
    <w:p>
      <w:pPr>
        <w:pStyle w:val="ListBullet"/>
        <w:spacing w:after="80"/>
      </w:pPr>
      <w:r>
        <w:rPr>
          <w:b/>
        </w:rPr>
        <w:t xml:space="preserve">Canonical Identity &amp; Duplicate Reduction: </w:t>
      </w:r>
      <w:r>
        <w:t>The canonical Person architecture reduces duplicate Person creation through search-before-create and identity reuse across programs.</w:t>
      </w:r>
    </w:p>
    <w:p>
      <w:pPr>
        <w:pStyle w:val="ListBullet"/>
        <w:spacing w:after="80"/>
      </w:pPr>
      <w:r>
        <w:rPr>
          <w:b/>
        </w:rPr>
        <w:t xml:space="preserve">Capability-Based Health Privacy: </w:t>
      </w:r>
      <w:r>
        <w:t>Highly sensitive child health, allergy, and medical information is shielded behind strict independent health capabilities rather than broad administrative or caseworker roles.</w:t>
      </w:r>
    </w:p>
    <w:p>
      <w:pPr>
        <w:pStyle w:val="ListBullet"/>
        <w:spacing w:after="80"/>
      </w:pPr>
      <w:r>
        <w:rPr>
          <w:b/>
        </w:rPr>
        <w:t xml:space="preserve">Structured Intake, Referral &amp; Case Lifecycle: </w:t>
      </w:r>
      <w:r>
        <w:t>Intake, referral, and case management workflows provide structured recording, screening, referral, case-linkage, and authorization controls. Front Desk inquiry ownership and follow-up remain partial.</w:t>
      </w:r>
    </w:p>
    <w:p>
      <w:pPr>
        <w:pStyle w:val="ListBullet"/>
        <w:spacing w:after="80"/>
      </w:pPr>
      <w:r>
        <w:rPr>
          <w:b/>
        </w:rPr>
        <w:t xml:space="preserve">Controlled Financial &amp; Invoicing Semantics: </w:t>
      </w:r>
      <w:r>
        <w:t>Financial service requests, per-diem rate structures, and invoicing workflows incorporate formal review hierarchies and void/reissue audit protections.</w:t>
      </w:r>
    </w:p>
    <w:p>
      <w:pPr>
        <w:pStyle w:val="ListBullet"/>
        <w:spacing w:after="80"/>
      </w:pPr>
      <w:r>
        <w:rPr>
          <w:b/>
        </w:rPr>
        <w:t xml:space="preserve">Executive &amp; Board Visibility: </w:t>
      </w:r>
      <w:r>
        <w:t>Executive and Board command centres provide aggregated operational and governance views based on available platform data and their respective authorization boundaries.</w:t>
      </w:r>
    </w:p>
    <w:p>
      <w:pPr>
        <w:spacing w:after="240"/>
      </w:pPr>
      <w:r>
        <w:t>Recent frontline discovery interviews with the First Impression Administrator and Office Coordinator have identified operational requirements and requested capabilities for leadership validation, specifically: enterprise inquiry and operational request routing, visitor logging, durable follow-up workflows, advance fleet scheduling, and driver accountability.</w:t>
      </w:r>
    </w:p>
    <w:p>
      <w:pPr>
        <w:pStyle w:val="Heading1"/>
      </w:pPr>
      <w:r>
        <w:rPr>
          <w:color w:val="0F172A"/>
        </w:rPr>
        <w:t>2. Platform Status Taxonomy &amp; Verification Legend</w:t>
      </w:r>
    </w:p>
    <w:p>
      <w:pPr>
        <w:spacing w:after="120"/>
      </w:pPr>
      <w:r>
        <w:t>To ensure complete transparency and prevent misunderstanding between software development progress and live operational readiness, this report strictly categorizes every capability using the following operational taxonomy:</w:t>
      </w:r>
    </w:p>
    <w:tbl>
      <w:tblPr>
        <w:tblW w:type="auto" w:w="0"/>
        <w:jc w:val="center"/>
        <w:tblLook w:firstColumn="1" w:firstRow="1" w:lastColumn="0" w:lastRow="0" w:noHBand="0" w:noVBand="1" w:val="04A0"/>
      </w:tblPr>
      <w:tblGrid>
        <w:gridCol w:w="4968"/>
        <w:gridCol w:w="4968"/>
      </w:tblGrid>
      <w:tr>
        <w:tc>
          <w:tcPr>
            <w:tcW w:type="dxa" w:w="4968"/>
            <w:shd w:fill="1E293B"/>
          </w:tcPr>
          <w:p>
            <w:r>
              <w:rPr>
                <w:b/>
                <w:color w:val="FFFFFF"/>
              </w:rPr>
              <w:t>Classification Status</w:t>
            </w:r>
          </w:p>
        </w:tc>
        <w:tc>
          <w:tcPr>
            <w:tcW w:type="dxa" w:w="4968"/>
            <w:shd w:fill="1E293B"/>
          </w:tcPr>
          <w:p>
            <w:r>
              <w:rPr>
                <w:b/>
                <w:color w:val="FFFFFF"/>
              </w:rPr>
              <w:t>Definitive Meaning &amp; Verification Threshold</w:t>
            </w:r>
          </w:p>
        </w:tc>
      </w:tr>
      <w:tr>
        <w:tc>
          <w:tcPr>
            <w:tcW w:type="dxa" w:w="4968"/>
            <w:tcMar>
              <w:top w:w="80" w:type="dxa"/>
              <w:bottom w:w="80" w:type="dxa"/>
              <w:left w:w="100" w:type="dxa"/>
              <w:right w:w="100" w:type="dxa"/>
            </w:tcMar>
          </w:tcPr>
          <w:p>
            <w:r>
              <w:rPr>
                <w:b/>
                <w:sz w:val="18"/>
              </w:rPr>
              <w:t>IMPLEMENTED IN SOURCE</w:t>
            </w:r>
          </w:p>
        </w:tc>
        <w:tc>
          <w:tcPr>
            <w:tcW w:type="dxa" w:w="4968"/>
            <w:tcMar>
              <w:top w:w="80" w:type="dxa"/>
              <w:bottom w:w="80" w:type="dxa"/>
              <w:left w:w="100" w:type="dxa"/>
              <w:right w:w="100" w:type="dxa"/>
            </w:tcMar>
          </w:tcPr>
          <w:p>
            <w:r>
              <w:rPr>
                <w:sz w:val="18"/>
              </w:rPr>
              <w:t>Code and supporting application architecture exist in the repository.</w:t>
            </w:r>
          </w:p>
        </w:tc>
      </w:tr>
      <w:tr>
        <w:tc>
          <w:tcPr>
            <w:tcW w:type="dxa" w:w="4968"/>
            <w:tcMar>
              <w:top w:w="80" w:type="dxa"/>
              <w:bottom w:w="80" w:type="dxa"/>
              <w:left w:w="100" w:type="dxa"/>
              <w:right w:w="100" w:type="dxa"/>
            </w:tcMar>
          </w:tcPr>
          <w:p>
            <w:r>
              <w:rPr>
                <w:b/>
                <w:sz w:val="18"/>
              </w:rPr>
              <w:t>IMPLEMENTED &amp; COMMITTED</w:t>
            </w:r>
          </w:p>
        </w:tc>
        <w:tc>
          <w:tcPr>
            <w:tcW w:type="dxa" w:w="4968"/>
            <w:tcMar>
              <w:top w:w="80" w:type="dxa"/>
              <w:bottom w:w="80" w:type="dxa"/>
              <w:left w:w="100" w:type="dxa"/>
              <w:right w:w="100" w:type="dxa"/>
            </w:tcMar>
          </w:tcPr>
          <w:p>
            <w:r>
              <w:rPr>
                <w:sz w:val="18"/>
              </w:rPr>
              <w:t>Implementation exists at the stated repository checkpoint and has been committed.</w:t>
            </w:r>
          </w:p>
        </w:tc>
      </w:tr>
      <w:tr>
        <w:tc>
          <w:tcPr>
            <w:tcW w:type="dxa" w:w="4968"/>
            <w:tcMar>
              <w:top w:w="80" w:type="dxa"/>
              <w:bottom w:w="80" w:type="dxa"/>
              <w:left w:w="100" w:type="dxa"/>
              <w:right w:w="100" w:type="dxa"/>
            </w:tcMar>
          </w:tcPr>
          <w:p>
            <w:r>
              <w:rPr>
                <w:b/>
                <w:sz w:val="18"/>
              </w:rPr>
              <w:t>DEPLOYMENT UNVERIFIED</w:t>
            </w:r>
          </w:p>
        </w:tc>
        <w:tc>
          <w:tcPr>
            <w:tcW w:type="dxa" w:w="4968"/>
            <w:tcMar>
              <w:top w:w="80" w:type="dxa"/>
              <w:bottom w:w="80" w:type="dxa"/>
              <w:left w:w="100" w:type="dxa"/>
              <w:right w:w="100" w:type="dxa"/>
            </w:tcMar>
          </w:tcPr>
          <w:p>
            <w:r>
              <w:rPr>
                <w:sz w:val="18"/>
              </w:rPr>
              <w:t>There is no current evidence proving that repository implementation is running in the live environment.</w:t>
            </w:r>
          </w:p>
        </w:tc>
      </w:tr>
      <w:tr>
        <w:tc>
          <w:tcPr>
            <w:tcW w:type="dxa" w:w="4968"/>
            <w:tcMar>
              <w:top w:w="80" w:type="dxa"/>
              <w:bottom w:w="80" w:type="dxa"/>
              <w:left w:w="100" w:type="dxa"/>
              <w:right w:w="100" w:type="dxa"/>
            </w:tcMar>
          </w:tcPr>
          <w:p>
            <w:r>
              <w:rPr>
                <w:b/>
                <w:sz w:val="18"/>
              </w:rPr>
              <w:t>LIVE VERIFICATION REQUIRED</w:t>
            </w:r>
          </w:p>
        </w:tc>
        <w:tc>
          <w:tcPr>
            <w:tcW w:type="dxa" w:w="4968"/>
            <w:tcMar>
              <w:top w:w="80" w:type="dxa"/>
              <w:bottom w:w="80" w:type="dxa"/>
              <w:left w:w="100" w:type="dxa"/>
              <w:right w:w="100" w:type="dxa"/>
            </w:tcMar>
          </w:tcPr>
          <w:p>
            <w:r>
              <w:rPr>
                <w:sz w:val="18"/>
              </w:rPr>
              <w:t>Source implementation exists, but authenticated end-to-end live functionality has not been demonstrated.</w:t>
            </w:r>
          </w:p>
        </w:tc>
      </w:tr>
      <w:tr>
        <w:tc>
          <w:tcPr>
            <w:tcW w:type="dxa" w:w="4968"/>
            <w:tcMar>
              <w:top w:w="80" w:type="dxa"/>
              <w:bottom w:w="80" w:type="dxa"/>
              <w:left w:w="100" w:type="dxa"/>
              <w:right w:w="100" w:type="dxa"/>
            </w:tcMar>
          </w:tcPr>
          <w:p>
            <w:r>
              <w:rPr>
                <w:b/>
                <w:sz w:val="18"/>
              </w:rPr>
              <w:t>REPORTED LIVE ISSUE — INVESTIGATION REQUIRED</w:t>
            </w:r>
          </w:p>
        </w:tc>
        <w:tc>
          <w:tcPr>
            <w:tcW w:type="dxa" w:w="4968"/>
            <w:tcMar>
              <w:top w:w="80" w:type="dxa"/>
              <w:bottom w:w="80" w:type="dxa"/>
              <w:left w:w="100" w:type="dxa"/>
              <w:right w:w="100" w:type="dxa"/>
            </w:tcMar>
          </w:tcPr>
          <w:p>
            <w:r>
              <w:rPr>
                <w:sz w:val="18"/>
              </w:rPr>
              <w:t>CRBCL has reported that the capability is not currently working as expected on the website.</w:t>
            </w:r>
          </w:p>
        </w:tc>
      </w:tr>
      <w:tr>
        <w:tc>
          <w:tcPr>
            <w:tcW w:type="dxa" w:w="4968"/>
            <w:tcMar>
              <w:top w:w="80" w:type="dxa"/>
              <w:bottom w:w="80" w:type="dxa"/>
              <w:left w:w="100" w:type="dxa"/>
              <w:right w:w="100" w:type="dxa"/>
            </w:tcMar>
          </w:tcPr>
          <w:p>
            <w:r>
              <w:rPr>
                <w:b/>
                <w:sz w:val="18"/>
              </w:rPr>
              <w:t>PARTIAL IN SOURCE</w:t>
            </w:r>
          </w:p>
        </w:tc>
        <w:tc>
          <w:tcPr>
            <w:tcW w:type="dxa" w:w="4968"/>
            <w:tcMar>
              <w:top w:w="80" w:type="dxa"/>
              <w:bottom w:w="80" w:type="dxa"/>
              <w:left w:w="100" w:type="dxa"/>
              <w:right w:w="100" w:type="dxa"/>
            </w:tcMar>
          </w:tcPr>
          <w:p>
            <w:r>
              <w:rPr>
                <w:sz w:val="18"/>
              </w:rPr>
              <w:t>Some required workflow exists, but important required functionality is absent.</w:t>
            </w:r>
          </w:p>
        </w:tc>
      </w:tr>
      <w:tr>
        <w:tc>
          <w:tcPr>
            <w:tcW w:type="dxa" w:w="4968"/>
            <w:tcMar>
              <w:top w:w="80" w:type="dxa"/>
              <w:bottom w:w="80" w:type="dxa"/>
              <w:left w:w="100" w:type="dxa"/>
              <w:right w:w="100" w:type="dxa"/>
            </w:tcMar>
          </w:tcPr>
          <w:p>
            <w:r>
              <w:rPr>
                <w:b/>
                <w:sz w:val="18"/>
              </w:rPr>
              <w:t>CONFIRMED REQUIREMENT — NOT YET IMPLEMENTED</w:t>
            </w:r>
          </w:p>
        </w:tc>
        <w:tc>
          <w:tcPr>
            <w:tcW w:type="dxa" w:w="4968"/>
            <w:tcMar>
              <w:top w:w="80" w:type="dxa"/>
              <w:bottom w:w="80" w:type="dxa"/>
              <w:left w:w="100" w:type="dxa"/>
              <w:right w:w="100" w:type="dxa"/>
            </w:tcMar>
          </w:tcPr>
          <w:p>
            <w:r>
              <w:rPr>
                <w:sz w:val="18"/>
              </w:rPr>
              <w:t>CRBCL has confirmed the requirement, but the capability is not implemented.</w:t>
            </w:r>
          </w:p>
        </w:tc>
      </w:tr>
      <w:tr>
        <w:tc>
          <w:tcPr>
            <w:tcW w:type="dxa" w:w="4968"/>
            <w:tcMar>
              <w:top w:w="80" w:type="dxa"/>
              <w:bottom w:w="80" w:type="dxa"/>
              <w:left w:w="100" w:type="dxa"/>
              <w:right w:w="100" w:type="dxa"/>
            </w:tcMar>
          </w:tcPr>
          <w:p>
            <w:r>
              <w:rPr>
                <w:b/>
                <w:sz w:val="18"/>
              </w:rPr>
              <w:t>DECISION REQUIRED</w:t>
            </w:r>
          </w:p>
        </w:tc>
        <w:tc>
          <w:tcPr>
            <w:tcW w:type="dxa" w:w="4968"/>
            <w:tcMar>
              <w:top w:w="80" w:type="dxa"/>
              <w:bottom w:w="80" w:type="dxa"/>
              <w:left w:w="100" w:type="dxa"/>
              <w:right w:w="100" w:type="dxa"/>
            </w:tcMar>
          </w:tcPr>
          <w:p>
            <w:r>
              <w:rPr>
                <w:sz w:val="18"/>
              </w:rPr>
              <w:t>CRBCL leadership/privacy/HR/legal/Finance policy is needed before implementation or operational enablement.</w:t>
            </w:r>
          </w:p>
        </w:tc>
      </w:tr>
      <w:tr>
        <w:tc>
          <w:tcPr>
            <w:tcW w:type="dxa" w:w="4968"/>
            <w:tcMar>
              <w:top w:w="80" w:type="dxa"/>
              <w:bottom w:w="80" w:type="dxa"/>
              <w:left w:w="100" w:type="dxa"/>
              <w:right w:w="100" w:type="dxa"/>
            </w:tcMar>
          </w:tcPr>
          <w:p>
            <w:r>
              <w:rPr>
                <w:b/>
                <w:sz w:val="18"/>
              </w:rPr>
              <w:t>LIVE VERIFIED</w:t>
            </w:r>
          </w:p>
        </w:tc>
        <w:tc>
          <w:tcPr>
            <w:tcW w:type="dxa" w:w="4968"/>
            <w:tcMar>
              <w:top w:w="80" w:type="dxa"/>
              <w:bottom w:w="80" w:type="dxa"/>
              <w:left w:w="100" w:type="dxa"/>
              <w:right w:w="100" w:type="dxa"/>
            </w:tcMar>
          </w:tcPr>
          <w:p>
            <w:r>
              <w:rPr>
                <w:sz w:val="18"/>
              </w:rPr>
              <w:t>Applies ONLY where authenticated end-to-end testing has verified functionality on the deployed live website.</w:t>
            </w:r>
          </w:p>
        </w:tc>
      </w:tr>
    </w:tbl>
    <w:p>
      <w:pPr>
        <w:spacing w:after="240"/>
      </w:pPr>
    </w:p>
    <w:p>
      <w:pPr>
        <w:pStyle w:val="Heading1"/>
      </w:pPr>
      <w:r>
        <w:rPr>
          <w:color w:val="0F172A"/>
        </w:rPr>
        <w:t>3. Delivered Platform Capabilities &amp; Operational Impact</w:t>
      </w:r>
    </w:p>
    <w:p>
      <w:pPr>
        <w:spacing w:after="160"/>
      </w:pPr>
      <w:r>
        <w:t>The following register presents the verified status of delivered capabilities, the practical operational problems addressed, and the required next steps:</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Pr>
          <w:p>
            <w:r>
              <w:rPr>
                <w:b/>
                <w:color w:val="FFFFFF"/>
                <w:sz w:val="18"/>
              </w:rPr>
              <w:t>Functional Domain</w:t>
            </w:r>
          </w:p>
        </w:tc>
        <w:tc>
          <w:tcPr>
            <w:tcW w:type="dxa" w:w="2484"/>
            <w:shd w:fill="1E293B"/>
          </w:tcPr>
          <w:p>
            <w:r>
              <w:rPr>
                <w:b/>
                <w:color w:val="FFFFFF"/>
                <w:sz w:val="18"/>
              </w:rPr>
              <w:t>Verification Status</w:t>
            </w:r>
          </w:p>
        </w:tc>
        <w:tc>
          <w:tcPr>
            <w:tcW w:type="dxa" w:w="2484"/>
            <w:shd w:fill="1E293B"/>
          </w:tcPr>
          <w:p>
            <w:r>
              <w:rPr>
                <w:b/>
                <w:color w:val="FFFFFF"/>
                <w:sz w:val="18"/>
              </w:rPr>
              <w:t>Operational Capability</w:t>
            </w:r>
          </w:p>
        </w:tc>
        <w:tc>
          <w:tcPr>
            <w:tcW w:type="dxa" w:w="2484"/>
            <w:shd w:fill="1E293B"/>
          </w:tcPr>
          <w:p>
            <w:r>
              <w:rPr>
                <w:b/>
                <w:color w:val="FFFFFF"/>
                <w:sz w:val="18"/>
              </w:rPr>
              <w:t>Operational Boundary &amp; Action Ahead</w:t>
            </w:r>
          </w:p>
        </w:tc>
      </w:tr>
      <w:tr>
        <w:tc>
          <w:tcPr>
            <w:tcW w:type="dxa" w:w="2484"/>
            <w:tcMar>
              <w:top w:w="80" w:type="dxa"/>
              <w:bottom w:w="80" w:type="dxa"/>
              <w:left w:w="90" w:type="dxa"/>
              <w:right w:w="90" w:type="dxa"/>
            </w:tcMar>
          </w:tcPr>
          <w:p>
            <w:r>
              <w:rPr>
                <w:b/>
                <w:sz w:val="17"/>
              </w:rPr>
              <w:t>Identity &amp; Canonical Person</w:t>
            </w:r>
          </w:p>
        </w:tc>
        <w:tc>
          <w:tcPr>
            <w:tcW w:type="dxa" w:w="2484"/>
            <w:tcMar>
              <w:top w:w="80" w:type="dxa"/>
              <w:bottom w:w="80" w:type="dxa"/>
              <w:left w:w="90" w:type="dxa"/>
              <w:right w:w="90" w:type="dxa"/>
            </w:tcMar>
          </w:tcPr>
          <w:p>
            <w:r>
              <w:rPr>
                <w:b/>
                <w:color w:val="0369A1"/>
                <w:sz w:val="16"/>
              </w:rPr>
              <w:t>IMPLEMENTED IN SOURCE — LIVE VERIFICATION REQUIRED</w:t>
            </w:r>
          </w:p>
        </w:tc>
        <w:tc>
          <w:tcPr>
            <w:tcW w:type="dxa" w:w="2484"/>
            <w:tcMar>
              <w:top w:w="80" w:type="dxa"/>
              <w:bottom w:w="80" w:type="dxa"/>
              <w:left w:w="90" w:type="dxa"/>
              <w:right w:w="90" w:type="dxa"/>
            </w:tcMar>
          </w:tcPr>
          <w:p>
            <w:r>
              <w:rPr>
                <w:sz w:val="17"/>
              </w:rPr>
              <w:t>Reduces duplicate Person creation through search-before-create and canonical identity reuse. Person serves as the canonical human identity across applicable service contexts. The architecture supports a single longitudinal Person profile.</w:t>
            </w:r>
          </w:p>
        </w:tc>
        <w:tc>
          <w:tcPr>
            <w:tcW w:type="dxa" w:w="2484"/>
            <w:tcMar>
              <w:top w:w="80" w:type="dxa"/>
              <w:bottom w:w="80" w:type="dxa"/>
              <w:left w:w="90" w:type="dxa"/>
              <w:right w:w="90" w:type="dxa"/>
            </w:tcMar>
          </w:tcPr>
          <w:p>
            <w:r>
              <w:rPr>
                <w:sz w:val="17"/>
              </w:rPr>
              <w:t>Ready for controlled staff verification with synthetic test identities. Live authenticated verification required.</w:t>
            </w:r>
          </w:p>
        </w:tc>
      </w:tr>
      <w:tr>
        <w:tc>
          <w:tcPr>
            <w:tcW w:type="dxa" w:w="2484"/>
            <w:tcMar>
              <w:top w:w="80" w:type="dxa"/>
              <w:bottom w:w="80" w:type="dxa"/>
              <w:left w:w="90" w:type="dxa"/>
              <w:right w:w="90" w:type="dxa"/>
            </w:tcMar>
          </w:tcPr>
          <w:p>
            <w:r>
              <w:rPr>
                <w:b/>
                <w:sz w:val="17"/>
              </w:rPr>
              <w:t>Client Governance (L4)</w:t>
            </w:r>
          </w:p>
        </w:tc>
        <w:tc>
          <w:tcPr>
            <w:tcW w:type="dxa" w:w="2484"/>
            <w:tcMar>
              <w:top w:w="80" w:type="dxa"/>
              <w:bottom w:w="80" w:type="dxa"/>
              <w:left w:w="90" w:type="dxa"/>
              <w:right w:w="90" w:type="dxa"/>
            </w:tcMar>
          </w:tcPr>
          <w:p>
            <w:r>
              <w:rPr>
                <w:b/>
                <w:color w:val="0369A1"/>
                <w:sz w:val="16"/>
              </w:rPr>
              <w:t>IMPLEMENTED IN SOURCE — LIVE VERIFICATION REQUIRED</w:t>
            </w:r>
          </w:p>
        </w:tc>
        <w:tc>
          <w:tcPr>
            <w:tcW w:type="dxa" w:w="2484"/>
            <w:tcMar>
              <w:top w:w="80" w:type="dxa"/>
              <w:bottom w:w="80" w:type="dxa"/>
              <w:left w:w="90" w:type="dxa"/>
              <w:right w:w="90" w:type="dxa"/>
            </w:tcMar>
          </w:tcPr>
          <w:p>
            <w:r>
              <w:rPr>
                <w:sz w:val="17"/>
              </w:rPr>
              <w:t>Protects highly confidential medical profiles, allergies, and medications behind independent health-information capabilities. Administrative users and general caseworkers cannot view health records without specific authorization.</w:t>
            </w:r>
          </w:p>
        </w:tc>
        <w:tc>
          <w:tcPr>
            <w:tcW w:type="dxa" w:w="2484"/>
            <w:tcMar>
              <w:top w:w="80" w:type="dxa"/>
              <w:bottom w:w="80" w:type="dxa"/>
              <w:left w:w="90" w:type="dxa"/>
              <w:right w:w="90" w:type="dxa"/>
            </w:tcMar>
          </w:tcPr>
          <w:p>
            <w:r>
              <w:rPr>
                <w:sz w:val="17"/>
              </w:rPr>
              <w:t>Ready for controlled staff verification; requires formal CRBCL privacy review.</w:t>
            </w:r>
          </w:p>
        </w:tc>
      </w:tr>
      <w:tr>
        <w:tc>
          <w:tcPr>
            <w:tcW w:type="dxa" w:w="2484"/>
            <w:tcMar>
              <w:top w:w="80" w:type="dxa"/>
              <w:bottom w:w="80" w:type="dxa"/>
              <w:left w:w="90" w:type="dxa"/>
              <w:right w:w="90" w:type="dxa"/>
            </w:tcMar>
          </w:tcPr>
          <w:p>
            <w:r>
              <w:rPr>
                <w:b/>
                <w:sz w:val="17"/>
              </w:rPr>
              <w:t>Intake &amp; Referrals</w:t>
            </w:r>
          </w:p>
        </w:tc>
        <w:tc>
          <w:tcPr>
            <w:tcW w:type="dxa" w:w="2484"/>
            <w:tcMar>
              <w:top w:w="80" w:type="dxa"/>
              <w:bottom w:w="80" w:type="dxa"/>
              <w:left w:w="90" w:type="dxa"/>
              <w:right w:w="90" w:type="dxa"/>
            </w:tcMar>
          </w:tcPr>
          <w:p>
            <w:r>
              <w:rPr>
                <w:b/>
                <w:color w:val="0369A1"/>
                <w:sz w:val="16"/>
              </w:rPr>
              <w:t>IMPLEMENTED IN SOURCE — LIVE VERIFICATION REQUIRED</w:t>
            </w:r>
          </w:p>
        </w:tc>
        <w:tc>
          <w:tcPr>
            <w:tcW w:type="dxa" w:w="2484"/>
            <w:tcMar>
              <w:top w:w="80" w:type="dxa"/>
              <w:bottom w:w="80" w:type="dxa"/>
              <w:left w:w="90" w:type="dxa"/>
              <w:right w:w="90" w:type="dxa"/>
            </w:tcMar>
          </w:tcPr>
          <w:p>
            <w:r>
              <w:rPr>
                <w:sz w:val="17"/>
              </w:rPr>
              <w:t>Provides structured community concern/referral recording, disposition workflows, and supported transitions into Client/Case processes. Front Desk follow-up ownership remains a separate partial capability.</w:t>
            </w:r>
          </w:p>
        </w:tc>
        <w:tc>
          <w:tcPr>
            <w:tcW w:type="dxa" w:w="2484"/>
            <w:tcMar>
              <w:top w:w="80" w:type="dxa"/>
              <w:bottom w:w="80" w:type="dxa"/>
              <w:left w:w="90" w:type="dxa"/>
              <w:right w:w="90" w:type="dxa"/>
            </w:tcMar>
          </w:tcPr>
          <w:p>
            <w:r>
              <w:rPr>
                <w:sz w:val="17"/>
              </w:rPr>
              <w:t>Ready for controlled staff verification. End-to-end intake routing requires live validation.</w:t>
            </w:r>
          </w:p>
        </w:tc>
      </w:tr>
      <w:tr>
        <w:tc>
          <w:tcPr>
            <w:tcW w:type="dxa" w:w="2484"/>
            <w:tcMar>
              <w:top w:w="80" w:type="dxa"/>
              <w:bottom w:w="80" w:type="dxa"/>
              <w:left w:w="90" w:type="dxa"/>
              <w:right w:w="90" w:type="dxa"/>
            </w:tcMar>
          </w:tcPr>
          <w:p>
            <w:r>
              <w:rPr>
                <w:b/>
                <w:sz w:val="17"/>
              </w:rPr>
              <w:t>Navigator Coordination</w:t>
            </w:r>
          </w:p>
        </w:tc>
        <w:tc>
          <w:tcPr>
            <w:tcW w:type="dxa" w:w="2484"/>
            <w:tcMar>
              <w:top w:w="80" w:type="dxa"/>
              <w:bottom w:w="80" w:type="dxa"/>
              <w:left w:w="90" w:type="dxa"/>
              <w:right w:w="90" w:type="dxa"/>
            </w:tcMar>
          </w:tcPr>
          <w:p>
            <w:r>
              <w:rPr>
                <w:b/>
                <w:color w:val="0369A1"/>
                <w:sz w:val="16"/>
              </w:rPr>
              <w:t>IMPLEMENTED IN SOURCE — LIVE VERIFICATION REQUIRED</w:t>
            </w:r>
          </w:p>
        </w:tc>
        <w:tc>
          <w:tcPr>
            <w:tcW w:type="dxa" w:w="2484"/>
            <w:tcMar>
              <w:top w:w="80" w:type="dxa"/>
              <w:bottom w:w="80" w:type="dxa"/>
              <w:left w:w="90" w:type="dxa"/>
              <w:right w:w="90" w:type="dxa"/>
            </w:tcMar>
          </w:tcPr>
          <w:p>
            <w:r>
              <w:rPr>
                <w:sz w:val="17"/>
              </w:rPr>
              <w:t>Delivers dedicated intake queues and referral coordination views under explicit permissions, strictly isolated from open case management authority.</w:t>
            </w:r>
          </w:p>
        </w:tc>
        <w:tc>
          <w:tcPr>
            <w:tcW w:type="dxa" w:w="2484"/>
            <w:tcMar>
              <w:top w:w="80" w:type="dxa"/>
              <w:bottom w:w="80" w:type="dxa"/>
              <w:left w:w="90" w:type="dxa"/>
              <w:right w:w="90" w:type="dxa"/>
            </w:tcMar>
          </w:tcPr>
          <w:p>
            <w:r>
              <w:rPr>
                <w:sz w:val="17"/>
              </w:rPr>
              <w:t>Ready for controlled staff verification.</w:t>
            </w:r>
          </w:p>
        </w:tc>
      </w:tr>
      <w:tr>
        <w:tc>
          <w:tcPr>
            <w:tcW w:type="dxa" w:w="2484"/>
            <w:tcMar>
              <w:top w:w="80" w:type="dxa"/>
              <w:bottom w:w="80" w:type="dxa"/>
              <w:left w:w="90" w:type="dxa"/>
              <w:right w:w="90" w:type="dxa"/>
            </w:tcMar>
          </w:tcPr>
          <w:p>
            <w:r>
              <w:rPr>
                <w:b/>
                <w:sz w:val="17"/>
              </w:rPr>
              <w:t>Resource Unit / Resource Homes</w:t>
            </w:r>
          </w:p>
        </w:tc>
        <w:tc>
          <w:tcPr>
            <w:tcW w:type="dxa" w:w="2484"/>
            <w:tcMar>
              <w:top w:w="80" w:type="dxa"/>
              <w:bottom w:w="80" w:type="dxa"/>
              <w:left w:w="90" w:type="dxa"/>
              <w:right w:w="90" w:type="dxa"/>
            </w:tcMar>
          </w:tcPr>
          <w:p>
            <w:r>
              <w:rPr>
                <w:b/>
                <w:color w:val="0369A1"/>
                <w:sz w:val="16"/>
              </w:rPr>
              <w:t>IMPLEMENTED IN SOURCE — LIVE VERIFICATION REQUIRED</w:t>
            </w:r>
          </w:p>
        </w:tc>
        <w:tc>
          <w:tcPr>
            <w:tcW w:type="dxa" w:w="2484"/>
            <w:tcMar>
              <w:top w:w="80" w:type="dxa"/>
              <w:bottom w:w="80" w:type="dxa"/>
              <w:left w:w="90" w:type="dxa"/>
              <w:right w:w="90" w:type="dxa"/>
            </w:tcMar>
          </w:tcPr>
          <w:p>
            <w:r>
              <w:rPr>
                <w:sz w:val="17"/>
              </w:rPr>
              <w:t>Manages alternate care homes, caregiver background checks, licensing tracking, and home visits. Features an assistive matching algorithm to suggest potential home options based on capacity and care requirements.</w:t>
            </w:r>
          </w:p>
        </w:tc>
        <w:tc>
          <w:tcPr>
            <w:tcW w:type="dxa" w:w="2484"/>
            <w:tcMar>
              <w:top w:w="80" w:type="dxa"/>
              <w:bottom w:w="80" w:type="dxa"/>
              <w:left w:w="90" w:type="dxa"/>
              <w:right w:w="90" w:type="dxa"/>
            </w:tcMar>
          </w:tcPr>
          <w:p>
            <w:r>
              <w:rPr>
                <w:sz w:val="17"/>
              </w:rPr>
              <w:t>Assistive decision support only; human staff retain placement authority. The system cannot autonomously place children.</w:t>
            </w:r>
          </w:p>
        </w:tc>
      </w:tr>
      <w:tr>
        <w:tc>
          <w:tcPr>
            <w:tcW w:type="dxa" w:w="2484"/>
            <w:tcMar>
              <w:top w:w="80" w:type="dxa"/>
              <w:bottom w:w="80" w:type="dxa"/>
              <w:left w:w="90" w:type="dxa"/>
              <w:right w:w="90" w:type="dxa"/>
            </w:tcMar>
          </w:tcPr>
          <w:p>
            <w:r>
              <w:rPr>
                <w:b/>
                <w:sz w:val="17"/>
              </w:rPr>
              <w:t>Finance &amp; Invoicing</w:t>
            </w:r>
          </w:p>
        </w:tc>
        <w:tc>
          <w:tcPr>
            <w:tcW w:type="dxa" w:w="2484"/>
            <w:tcMar>
              <w:top w:w="80" w:type="dxa"/>
              <w:bottom w:w="80" w:type="dxa"/>
              <w:left w:w="90" w:type="dxa"/>
              <w:right w:w="90" w:type="dxa"/>
            </w:tcMar>
          </w:tcPr>
          <w:p>
            <w:r>
              <w:rPr>
                <w:b/>
                <w:color w:val="0369A1"/>
                <w:sz w:val="16"/>
              </w:rPr>
              <w:t>IMPLEMENTED IN SOURCE — LIVE VERIFICATION REQUIRED</w:t>
            </w:r>
          </w:p>
        </w:tc>
        <w:tc>
          <w:tcPr>
            <w:tcW w:type="dxa" w:w="2484"/>
            <w:tcMar>
              <w:top w:w="80" w:type="dxa"/>
              <w:bottom w:w="80" w:type="dxa"/>
              <w:left w:w="90" w:type="dxa"/>
              <w:right w:w="90" w:type="dxa"/>
            </w:tcMar>
          </w:tcPr>
          <w:p>
            <w:r>
              <w:rPr>
                <w:sz w:val="17"/>
              </w:rPr>
              <w:t>Supports controlled purchase order approval workflows, client support funding requests, and per-diem rate versioning. Issued invoices use controlled void/reissue semantics rather than normal in-place editing to preserve audit integrity.</w:t>
            </w:r>
          </w:p>
        </w:tc>
        <w:tc>
          <w:tcPr>
            <w:tcW w:type="dxa" w:w="2484"/>
            <w:tcMar>
              <w:top w:w="80" w:type="dxa"/>
              <w:bottom w:w="80" w:type="dxa"/>
              <w:left w:w="90" w:type="dxa"/>
              <w:right w:w="90" w:type="dxa"/>
            </w:tcMar>
          </w:tcPr>
          <w:p>
            <w:r>
              <w:rPr>
                <w:sz w:val="17"/>
              </w:rPr>
              <w:t>DECISION REQUIRED on spending limits and official fiscal calendar.</w:t>
            </w:r>
          </w:p>
        </w:tc>
      </w:tr>
      <w:tr>
        <w:tc>
          <w:tcPr>
            <w:tcW w:type="dxa" w:w="2484"/>
            <w:tcMar>
              <w:top w:w="80" w:type="dxa"/>
              <w:bottom w:w="80" w:type="dxa"/>
              <w:left w:w="90" w:type="dxa"/>
              <w:right w:w="90" w:type="dxa"/>
            </w:tcMar>
          </w:tcPr>
          <w:p>
            <w:r>
              <w:rPr>
                <w:b/>
                <w:sz w:val="17"/>
              </w:rPr>
              <w:t>Human Resources Hub</w:t>
            </w:r>
          </w:p>
        </w:tc>
        <w:tc>
          <w:tcPr>
            <w:tcW w:type="dxa" w:w="2484"/>
            <w:tcMar>
              <w:top w:w="80" w:type="dxa"/>
              <w:bottom w:w="80" w:type="dxa"/>
              <w:left w:w="90" w:type="dxa"/>
              <w:right w:w="90" w:type="dxa"/>
            </w:tcMar>
          </w:tcPr>
          <w:p>
            <w:r>
              <w:rPr>
                <w:b/>
                <w:color w:val="0369A1"/>
                <w:sz w:val="16"/>
              </w:rPr>
              <w:t>IMPLEMENTED IN SOURCE — LIVE VERIFICATION REQUIRED</w:t>
            </w:r>
          </w:p>
        </w:tc>
        <w:tc>
          <w:tcPr>
            <w:tcW w:type="dxa" w:w="2484"/>
            <w:tcMar>
              <w:top w:w="80" w:type="dxa"/>
              <w:bottom w:w="80" w:type="dxa"/>
              <w:left w:w="90" w:type="dxa"/>
              <w:right w:w="90" w:type="dxa"/>
            </w:tcMar>
          </w:tcPr>
          <w:p>
            <w:r>
              <w:rPr>
                <w:sz w:val="17"/>
              </w:rPr>
              <w:t>Consolidates employee rosters, emergency contacts, job roles, and generic professional certification expirations into a single operational hub.</w:t>
            </w:r>
          </w:p>
        </w:tc>
        <w:tc>
          <w:tcPr>
            <w:tcW w:type="dxa" w:w="2484"/>
            <w:tcMar>
              <w:top w:w="80" w:type="dxa"/>
              <w:bottom w:w="80" w:type="dxa"/>
              <w:left w:w="90" w:type="dxa"/>
              <w:right w:w="90" w:type="dxa"/>
            </w:tcMar>
          </w:tcPr>
          <w:p>
            <w:r>
              <w:rPr>
                <w:sz w:val="17"/>
              </w:rPr>
              <w:t>Specialized driver authorization/licence/abstract workflows remain to be designed or integrated.</w:t>
            </w:r>
          </w:p>
        </w:tc>
      </w:tr>
      <w:tr>
        <w:tc>
          <w:tcPr>
            <w:tcW w:type="dxa" w:w="2484"/>
            <w:tcMar>
              <w:top w:w="80" w:type="dxa"/>
              <w:bottom w:w="80" w:type="dxa"/>
              <w:left w:w="90" w:type="dxa"/>
              <w:right w:w="90" w:type="dxa"/>
            </w:tcMar>
          </w:tcPr>
          <w:p>
            <w:r>
              <w:rPr>
                <w:b/>
                <w:sz w:val="17"/>
              </w:rPr>
              <w:t>Executive &amp; Board Dashboards</w:t>
            </w:r>
          </w:p>
        </w:tc>
        <w:tc>
          <w:tcPr>
            <w:tcW w:type="dxa" w:w="2484"/>
            <w:tcMar>
              <w:top w:w="80" w:type="dxa"/>
              <w:bottom w:w="80" w:type="dxa"/>
              <w:left w:w="90" w:type="dxa"/>
              <w:right w:w="90" w:type="dxa"/>
            </w:tcMar>
          </w:tcPr>
          <w:p>
            <w:r>
              <w:rPr>
                <w:b/>
                <w:color w:val="0369A1"/>
                <w:sz w:val="16"/>
              </w:rPr>
              <w:t>IMPLEMENTED IN SOURCE — LIVE VERIFICATION REQUIRED</w:t>
            </w:r>
          </w:p>
        </w:tc>
        <w:tc>
          <w:tcPr>
            <w:tcW w:type="dxa" w:w="2484"/>
            <w:tcMar>
              <w:top w:w="80" w:type="dxa"/>
              <w:bottom w:w="80" w:type="dxa"/>
              <w:left w:w="90" w:type="dxa"/>
              <w:right w:w="90" w:type="dxa"/>
            </w:tcMar>
          </w:tcPr>
          <w:p>
            <w:r>
              <w:rPr>
                <w:sz w:val="17"/>
              </w:rPr>
              <w:t>Provides leadership with aggregated operational and governance views, strategic initiative tracking, and Board publication controls, subject to capability boundaries and available platform data.</w:t>
            </w:r>
          </w:p>
        </w:tc>
        <w:tc>
          <w:tcPr>
            <w:tcW w:type="dxa" w:w="2484"/>
            <w:tcMar>
              <w:top w:w="80" w:type="dxa"/>
              <w:bottom w:w="80" w:type="dxa"/>
              <w:left w:w="90" w:type="dxa"/>
              <w:right w:w="90" w:type="dxa"/>
            </w:tcMar>
          </w:tcPr>
          <w:p>
            <w:r>
              <w:rPr>
                <w:sz w:val="17"/>
              </w:rPr>
              <w:t>Ready for leadership review during controlled UAT.</w:t>
            </w:r>
          </w:p>
        </w:tc>
      </w:tr>
      <w:tr>
        <w:tc>
          <w:tcPr>
            <w:tcW w:type="dxa" w:w="2484"/>
            <w:tcMar>
              <w:top w:w="80" w:type="dxa"/>
              <w:bottom w:w="80" w:type="dxa"/>
              <w:left w:w="90" w:type="dxa"/>
              <w:right w:w="90" w:type="dxa"/>
            </w:tcMar>
          </w:tcPr>
          <w:p>
            <w:r>
              <w:rPr>
                <w:b/>
                <w:sz w:val="17"/>
              </w:rPr>
              <w:t>Front Desk / First Impression</w:t>
            </w:r>
          </w:p>
        </w:tc>
        <w:tc>
          <w:tcPr>
            <w:tcW w:type="dxa" w:w="2484"/>
            <w:tcMar>
              <w:top w:w="80" w:type="dxa"/>
              <w:bottom w:w="80" w:type="dxa"/>
              <w:left w:w="90" w:type="dxa"/>
              <w:right w:w="90" w:type="dxa"/>
            </w:tcMar>
          </w:tcPr>
          <w:p>
            <w:r>
              <w:rPr>
                <w:b/>
                <w:color w:val="B91C1C"/>
                <w:sz w:val="16"/>
              </w:rPr>
              <w:t>PARTIAL IN SOURCE — REPORTED LIVE ISSUE (INVESTIGATION REQUIRED)</w:t>
            </w:r>
          </w:p>
        </w:tc>
        <w:tc>
          <w:tcPr>
            <w:tcW w:type="dxa" w:w="2484"/>
            <w:tcMar>
              <w:top w:w="80" w:type="dxa"/>
              <w:bottom w:w="80" w:type="dxa"/>
              <w:left w:w="90" w:type="dxa"/>
              <w:right w:w="90" w:type="dxa"/>
            </w:tcMar>
          </w:tcPr>
          <w:p>
            <w:r>
              <w:rPr>
                <w:sz w:val="17"/>
              </w:rPr>
              <w:t>The current Front Desk workflow records submissions/inquiries with append-only application-level department routing history, providing a clear log of handoffs.</w:t>
            </w:r>
          </w:p>
        </w:tc>
        <w:tc>
          <w:tcPr>
            <w:tcW w:type="dxa" w:w="2484"/>
            <w:tcMar>
              <w:top w:w="80" w:type="dxa"/>
              <w:bottom w:w="80" w:type="dxa"/>
              <w:left w:w="90" w:type="dxa"/>
              <w:right w:w="90" w:type="dxa"/>
            </w:tcMar>
          </w:tcPr>
          <w:p>
            <w:r>
              <w:rPr>
                <w:sz w:val="17"/>
              </w:rPr>
              <w:t>Add durable follow-up ownership, call/message logs, response tracking, and meeting room booking. CRBCL reported live issues require investigation.</w:t>
            </w:r>
          </w:p>
        </w:tc>
      </w:tr>
      <w:tr>
        <w:tc>
          <w:tcPr>
            <w:tcW w:type="dxa" w:w="2484"/>
            <w:tcMar>
              <w:top w:w="80" w:type="dxa"/>
              <w:bottom w:w="80" w:type="dxa"/>
              <w:left w:w="90" w:type="dxa"/>
              <w:right w:w="90" w:type="dxa"/>
            </w:tcMar>
          </w:tcPr>
          <w:p>
            <w:r>
              <w:rPr>
                <w:b/>
                <w:sz w:val="17"/>
              </w:rPr>
              <w:t>Fleet &amp; Asset Operations</w:t>
            </w:r>
          </w:p>
        </w:tc>
        <w:tc>
          <w:tcPr>
            <w:tcW w:type="dxa" w:w="2484"/>
            <w:tcMar>
              <w:top w:w="80" w:type="dxa"/>
              <w:bottom w:w="80" w:type="dxa"/>
              <w:left w:w="90" w:type="dxa"/>
              <w:right w:w="90" w:type="dxa"/>
            </w:tcMar>
          </w:tcPr>
          <w:p>
            <w:r>
              <w:rPr>
                <w:b/>
                <w:color w:val="B91C1C"/>
                <w:sz w:val="16"/>
              </w:rPr>
              <w:t>PARTIAL IN SOURCE — REPORTED LIVE ISSUE (INVESTIGATION REQUIRED)</w:t>
            </w:r>
          </w:p>
        </w:tc>
        <w:tc>
          <w:tcPr>
            <w:tcW w:type="dxa" w:w="2484"/>
            <w:tcMar>
              <w:top w:w="80" w:type="dxa"/>
              <w:bottom w:w="80" w:type="dxa"/>
              <w:left w:w="90" w:type="dxa"/>
              <w:right w:w="90" w:type="dxa"/>
            </w:tcMar>
          </w:tcPr>
          <w:p>
            <w:r>
              <w:rPr>
                <w:sz w:val="17"/>
              </w:rPr>
              <w:t>Manages agency vehicles, real-time checkout with conflict locking (preventing double checkout of the same van), odometer tracking, and maintenance reminders.</w:t>
            </w:r>
          </w:p>
        </w:tc>
        <w:tc>
          <w:tcPr>
            <w:tcW w:type="dxa" w:w="2484"/>
            <w:tcMar>
              <w:top w:w="80" w:type="dxa"/>
              <w:bottom w:w="80" w:type="dxa"/>
              <w:left w:w="90" w:type="dxa"/>
              <w:right w:w="90" w:type="dxa"/>
            </w:tcMar>
          </w:tcPr>
          <w:p>
            <w:r>
              <w:rPr>
                <w:sz w:val="17"/>
              </w:rPr>
              <w:t>Add advance reservation calendar, key tracking, fuel logs, and inspection checklists. Live workflow defects require authenticated UAT.</w:t>
            </w:r>
          </w:p>
        </w:tc>
      </w:tr>
      <w:tr>
        <w:tc>
          <w:tcPr>
            <w:tcW w:type="dxa" w:w="2484"/>
            <w:tcMar>
              <w:top w:w="80" w:type="dxa"/>
              <w:bottom w:w="80" w:type="dxa"/>
              <w:left w:w="90" w:type="dxa"/>
              <w:right w:w="90" w:type="dxa"/>
            </w:tcMar>
          </w:tcPr>
          <w:p>
            <w:r>
              <w:rPr>
                <w:b/>
                <w:sz w:val="17"/>
              </w:rPr>
              <w:t>User Directory Excel Export</w:t>
            </w:r>
          </w:p>
        </w:tc>
        <w:tc>
          <w:tcPr>
            <w:tcW w:type="dxa" w:w="2484"/>
            <w:tcMar>
              <w:top w:w="80" w:type="dxa"/>
              <w:bottom w:w="80" w:type="dxa"/>
              <w:left w:w="90" w:type="dxa"/>
              <w:right w:w="90" w:type="dxa"/>
            </w:tcMar>
          </w:tcPr>
          <w:p>
            <w:r>
              <w:rPr>
                <w:b/>
                <w:color w:val="0369A1"/>
                <w:sz w:val="16"/>
              </w:rPr>
              <w:t>IMPLEMENTED &amp; COMMITTED — DEPLOYMENT UNVERIFIED</w:t>
            </w:r>
          </w:p>
        </w:tc>
        <w:tc>
          <w:tcPr>
            <w:tcW w:type="dxa" w:w="2484"/>
            <w:tcMar>
              <w:top w:w="80" w:type="dxa"/>
              <w:bottom w:w="80" w:type="dxa"/>
              <w:left w:w="90" w:type="dxa"/>
              <w:right w:w="90" w:type="dxa"/>
            </w:tcMar>
          </w:tcPr>
          <w:p>
            <w:r>
              <w:rPr>
                <w:sz w:val="17"/>
              </w:rPr>
              <w:t>Enables system administrators to perform secure, audited Excel exports of staff user directories with unified login timestamp bookkeeping. Committed on main at checkpoint 6d28568.</w:t>
            </w:r>
          </w:p>
        </w:tc>
        <w:tc>
          <w:tcPr>
            <w:tcW w:type="dxa" w:w="2484"/>
            <w:tcMar>
              <w:top w:w="80" w:type="dxa"/>
              <w:bottom w:w="80" w:type="dxa"/>
              <w:left w:w="90" w:type="dxa"/>
              <w:right w:w="90" w:type="dxa"/>
            </w:tcMar>
          </w:tcPr>
          <w:p>
            <w:r>
              <w:rPr>
                <w:sz w:val="17"/>
              </w:rPr>
              <w:t>Current repository implementation is ready for controlled verification. Live deployment of commit 6d28568 is PRODUCTION UNVERIFIED.</w:t>
            </w:r>
          </w:p>
        </w:tc>
      </w:tr>
      <w:tr>
        <w:tc>
          <w:tcPr>
            <w:tcW w:type="dxa" w:w="2484"/>
            <w:tcMar>
              <w:top w:w="80" w:type="dxa"/>
              <w:bottom w:w="80" w:type="dxa"/>
              <w:left w:w="90" w:type="dxa"/>
              <w:right w:w="90" w:type="dxa"/>
            </w:tcMar>
          </w:tcPr>
          <w:p>
            <w:r>
              <w:rPr>
                <w:b/>
                <w:sz w:val="17"/>
              </w:rPr>
              <w:t>Physical Vehicle GPS Trackers</w:t>
            </w:r>
          </w:p>
        </w:tc>
        <w:tc>
          <w:tcPr>
            <w:tcW w:type="dxa" w:w="2484"/>
            <w:tcMar>
              <w:top w:w="80" w:type="dxa"/>
              <w:bottom w:w="80" w:type="dxa"/>
              <w:left w:w="90" w:type="dxa"/>
              <w:right w:w="90" w:type="dxa"/>
            </w:tcMar>
          </w:tcPr>
          <w:p>
            <w:r>
              <w:rPr>
                <w:b/>
                <w:color w:val="C2410C"/>
                <w:sz w:val="16"/>
              </w:rPr>
              <w:t>CONFIRMED REQUIREMENT — NOT YET IMPLEMENTED</w:t>
            </w:r>
          </w:p>
        </w:tc>
        <w:tc>
          <w:tcPr>
            <w:tcW w:type="dxa" w:w="2484"/>
            <w:tcMar>
              <w:top w:w="80" w:type="dxa"/>
              <w:bottom w:w="80" w:type="dxa"/>
              <w:left w:w="90" w:type="dxa"/>
              <w:right w:w="90" w:type="dxa"/>
            </w:tcMar>
          </w:tcPr>
          <w:p>
            <w:r>
              <w:rPr>
                <w:sz w:val="17"/>
              </w:rPr>
              <w:t>CRBCL leadership has confirmed physical tracking is a required organizational capability. Hardware tracking devices are not installed and telematics integrations remain disabled in software.</w:t>
            </w:r>
          </w:p>
        </w:tc>
        <w:tc>
          <w:tcPr>
            <w:tcW w:type="dxa" w:w="2484"/>
            <w:tcMar>
              <w:top w:w="80" w:type="dxa"/>
              <w:bottom w:w="80" w:type="dxa"/>
              <w:left w:w="90" w:type="dxa"/>
              <w:right w:w="90" w:type="dxa"/>
            </w:tcMar>
          </w:tcPr>
          <w:p>
            <w:r>
              <w:rPr>
                <w:sz w:val="17"/>
              </w:rPr>
              <w:t>DECISION REQUIRED covering authorized purposes, staff notice/consultation, after-hours tracking, historical-location access, retention/disposition, incident use/disclosure, and vendor/hardware selection before operational enablement.</w:t>
            </w:r>
          </w:p>
        </w:tc>
      </w:tr>
    </w:tbl>
    <w:p>
      <w:pPr>
        <w:spacing w:after="240"/>
      </w:pPr>
    </w:p>
    <w:p>
      <w:pPr>
        <w:pStyle w:val="Heading1"/>
      </w:pPr>
      <w:r>
        <w:rPr>
          <w:color w:val="0F172A"/>
        </w:rPr>
        <w:t>4. Frontline Operational Discoveries: The Next Operational Layer</w:t>
      </w:r>
    </w:p>
    <w:tbl>
      <w:tblPr>
        <w:tblW w:type="auto" w:w="0"/>
        <w:jc w:val="center"/>
        <w:tblLook w:firstColumn="1" w:firstRow="1" w:lastColumn="0" w:lastRow="0" w:noHBand="0" w:noVBand="1" w:val="04A0"/>
      </w:tblPr>
      <w:tblGrid>
        <w:gridCol w:w="9936"/>
      </w:tblGrid>
      <w:tr>
        <w:tc>
          <w:tcPr>
            <w:tcW w:type="dxa" w:w="9936"/>
            <w:shd w:fill="EEF2FF"/>
            <w:tcMar>
              <w:top w:w="140" w:type="dxa"/>
              <w:bottom w:w="140" w:type="dxa"/>
              <w:left w:w="200" w:type="dxa"/>
              <w:right w:w="160" w:type="dxa"/>
            </w:tcMar>
            <w:tcBorders>
              <w:top w:val="none"/>
              <w:left w:val="single" w:sz="36" w:space="0" w:color="6366F1"/>
              <w:bottom w:val="none"/>
              <w:right w:val="none"/>
            </w:tcBorders>
          </w:tcPr>
          <w:p>
            <w:pPr>
              <w:spacing w:before="40" w:after="80"/>
            </w:pPr>
            <w:r>
              <w:rPr>
                <w:b/>
                <w:color w:val="1E3A8A"/>
                <w:sz w:val="22"/>
              </w:rPr>
              <w:t>DESIGN &amp; DECISION STAGE — SUBJECT TO LEADERSHIP APPROVAL</w:t>
              <w:br/>
            </w:r>
            <w:r>
              <w:rPr>
                <w:color w:val="1F2937"/>
                <w:sz w:val="20"/>
              </w:rPr>
              <w:t>Recent discovery sessions with the First Impression Administrator and Office Coordinator have identified operational requirements and requested capabilities for leadership validation. These reflect frontline administrative workflows and are proposed as an integrated operational request engine, pending leadership review and approval.</w:t>
            </w:r>
          </w:p>
        </w:tc>
      </w:tr>
    </w:tbl>
    <w:p>
      <w:pPr>
        <w:spacing w:after="80"/>
      </w:pPr>
    </w:p>
    <w:p>
      <w:pPr>
        <w:spacing w:after="120"/>
      </w:pPr>
      <w:r>
        <w:t>A. First Impression Administrator Discoveries (Community Front Door):</w:t>
        <w:br/>
        <w:t>• Returning-Caller Identification: Rapid lookup of existing community contacts during inquiries without creating duplicate Person records or exposing confidential child welfare history.</w:t>
        <w:br/>
        <w:t>• Inquiry Ownership &amp; Follow-Up: Moving beyond basic routing to establish persistent inquiry owners, timestamped call notes, and configurable follow-up/escalation tracking subject to approved response policy.</w:t>
        <w:br/>
        <w:t>• Meeting Room Booking: Dedicated visibility and scheduling for family visitation rooms and client conference spaces.</w:t>
        <w:br/>
        <w:t>• Reception Visitor Log: A structured digital sign-in system to track facility visitors while strictly preserving client confidentiality.</w:t>
      </w:r>
    </w:p>
    <w:p>
      <w:pPr>
        <w:spacing w:after="120"/>
      </w:pPr>
      <w:r>
        <w:t>B. Office Coordinator Discoveries (Internal Operational Hub):</w:t>
        <w:br/>
        <w:t>• Centralized Operational Requests: A unified internal ticketing system for office supplies, facility repairs, IT support, and administrative tasks.</w:t>
        <w:br/>
        <w:t>• Advance Fleet Reservations: Extending vehicle management from immediate checkout into an advance reservation calendar with authorized driver validation and key custody tracking.</w:t>
        <w:br/>
        <w:t>• Fuel &amp; Fleet Accountability: Fuel transaction logging, odometer reconciliation, and structured pre/post-trip vehicle inspection checklists.</w:t>
        <w:br/>
        <w:t>• Incident &amp; Damage Reporting: Standardized incident workflows to capture repair estimates and route repair costs to appropriate budget lines.</w:t>
      </w:r>
    </w:p>
    <w:p>
      <w:pPr>
        <w:spacing w:after="240"/>
      </w:pPr>
      <w:r>
        <w:t>C. Shared Enterprise Request Architecture Recommendation:</w:t>
        <w:br/>
        <w:t>A shared request/routing architecture is recommended for evaluation so that external inquiries and internal operational requests can reuse assignment, status, history, notification, and audit patterns without creating disconnected systems. This is an architectural recommendation, not a statement that CRBCL has approved or implemented a single enterprise request engine. Access would remain capability-based, with Front Desk, operational, IT, clinical, and other protected information separated according to authorized purpose.</w:t>
      </w:r>
    </w:p>
    <w:p>
      <w:pPr>
        <w:pStyle w:val="Heading1"/>
      </w:pPr>
      <w:r>
        <w:rPr>
          <w:color w:val="0F172A"/>
        </w:rPr>
        <w:t>5. Leadership Decisions Required</w:t>
      </w:r>
    </w:p>
    <w:p>
      <w:pPr>
        <w:spacing w:after="120"/>
      </w:pPr>
      <w:r>
        <w:rPr>
          <w:b/>
          <w:sz w:val="20"/>
        </w:rPr>
        <w:t>1. Vehicle GPS Telematics &amp; Governance (CONFIRMED REQUIREMENT — NOT YET IMPLEMENTED):</w:t>
        <w:br/>
      </w:r>
      <w:r>
        <w:t>Leadership, together with appropriate HR/privacy/legal review, must determine authorized tracking purposes, staff notice/consultation requirements, after-hours tracking rules, current and historical location access, retention/disposition, incident investigation/disclosure, and vendor/hardware requirements before operational enablement.</w:t>
      </w:r>
    </w:p>
    <w:p>
      <w:pPr>
        <w:spacing w:after="120"/>
      </w:pPr>
      <w:r>
        <w:rPr>
          <w:b/>
          <w:sz w:val="20"/>
        </w:rPr>
        <w:t>2. Inquiry Response Standards:</w:t>
        <w:br/>
      </w:r>
      <w:r>
        <w:t>Confirm whether the frontline-reported 24–48 hour response expectation is an internal performance goal or an external service commitment, and approve escalation rules for overdue inquiries.</w:t>
      </w:r>
    </w:p>
    <w:p>
      <w:pPr>
        <w:spacing w:after="120"/>
      </w:pPr>
      <w:r>
        <w:rPr>
          <w:b/>
          <w:sz w:val="20"/>
        </w:rPr>
        <w:t>3. Visitor Log Privacy &amp; Linkage:</w:t>
        <w:br/>
      </w:r>
      <w:r>
        <w:t>Confirm whether visitor logs remain strictly standalone (visitor name, organization, arrival time only) or permit optional linking to canonical Person profiles under restricted permissions.</w:t>
      </w:r>
    </w:p>
    <w:p>
      <w:pPr>
        <w:spacing w:after="120"/>
      </w:pPr>
      <w:r>
        <w:rPr>
          <w:b/>
          <w:sz w:val="20"/>
        </w:rPr>
        <w:t>4. Driver Credentials &amp; Document Management:</w:t>
        <w:br/>
      </w:r>
      <w:r>
        <w:t>Confirm whether document scans (licence copies, abstracts) should be stored within the platform's restricted document vault or managed externally by HR/Fleet administration.</w:t>
      </w:r>
    </w:p>
    <w:p>
      <w:pPr>
        <w:spacing w:after="120"/>
      </w:pPr>
      <w:r>
        <w:rPr>
          <w:b/>
          <w:sz w:val="20"/>
        </w:rPr>
        <w:t>5. Financial Approval Hierarchies &amp; Fiscal Calendar:</w:t>
        <w:br/>
      </w:r>
      <w:r>
        <w:t>Define CRBCL's authorized financial approval structure and any applicable expenditure thresholds, and confirm the official fiscal-year/accounting calendar.</w:t>
      </w:r>
    </w:p>
    <w:p>
      <w:pPr>
        <w:spacing w:after="120"/>
      </w:pPr>
    </w:p>
    <w:p>
      <w:pPr>
        <w:pStyle w:val="Heading1"/>
      </w:pPr>
      <w:r>
        <w:rPr>
          <w:color w:val="0F172A"/>
        </w:rPr>
        <w:t>6. Recommended Implementation &amp; Remediation Roadmap</w:t>
      </w:r>
    </w:p>
    <w:p>
      <w:pPr>
        <w:spacing w:after="160"/>
      </w:pPr>
      <w:r>
        <w:rPr>
          <w:b/>
          <w:color w:val="1E3A8A"/>
          <w:sz w:val="21"/>
        </w:rPr>
        <w:t>Phase 1: Controlled Staff UAT, Defect Remediation &amp; Governance Hardening</w:t>
        <w:br/>
      </w:r>
      <w:r>
        <w:t>• Conduct controlled staff UAT using synthetic and de-identified data.</w:t>
        <w:br/>
        <w:t>• Investigate and remediate client-reported live website defects.</w:t>
        <w:br/>
        <w:t>• Support CRBCL privacy/legal review of statutory applicability and organizational policy requirements.</w:t>
        <w:br/>
        <w:t>• Finalize leadership policy decisions regarding financial limits and fleet tracking.</w:t>
      </w:r>
    </w:p>
    <w:p>
      <w:pPr>
        <w:spacing w:after="160"/>
      </w:pPr>
      <w:r>
        <w:rPr>
          <w:b/>
          <w:color w:val="1E3A8A"/>
          <w:sz w:val="21"/>
        </w:rPr>
        <w:t>Phase 2: Shared Request/Routing Architecture (Subject to Approval) &amp; Front Desk Expansion</w:t>
        <w:br/>
      </w:r>
      <w:r>
        <w:t>• If approved, implement a shared request/routing architecture to support internal administrative requests (supplies, repairs, IT).</w:t>
        <w:br/>
        <w:t>• Enhance front desk intake with assigned ownership, call notes, and room scheduling.</w:t>
        <w:br/>
        <w:t>• Implement the approved visitor-management model after leadership/privacy decisions establish required fields, access, linkage, and retention/disposition requirements.</w:t>
      </w:r>
    </w:p>
    <w:p>
      <w:pPr>
        <w:spacing w:after="160"/>
      </w:pPr>
      <w:r>
        <w:rPr>
          <w:b/>
          <w:color w:val="1E3A8A"/>
          <w:sz w:val="21"/>
        </w:rPr>
        <w:t>Phase 3: Advanced Fleet Administration &amp; Telematics Integration</w:t>
        <w:br/>
      </w:r>
      <w:r>
        <w:t>• Roll out advance vehicle reservations with conflict detection and key accountability.</w:t>
        <w:br/>
        <w:t>• Implement structured vehicle inspection checklists, fuel logs, and incident reports.</w:t>
        <w:br/>
        <w:t>• Following the applicable governance, privacy, HR/legal, staff-notice, vendor-selection, and technical-integration decisions, proceed with physical vehicle GPS implementation if authorized for operational enablement.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