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40"/>
      </w:pPr>
      <w:r>
        <w:rPr>
          <w:rFonts w:ascii="Calibri" w:hAnsi="Calibri"/>
          <w:b/>
          <w:color w:val="881337"/>
          <w:sz w:val="26"/>
        </w:rPr>
        <w:t>CHIEF RED BEAR CHILDREN'S LODGE (CRBCL)</w:t>
      </w:r>
    </w:p>
    <w:p>
      <w:pPr>
        <w:spacing w:after="720"/>
      </w:pPr>
      <w:r>
        <w:rPr>
          <w:rFonts w:ascii="Calibri" w:hAnsi="Calibri"/>
          <w:color w:val="64748B"/>
          <w:sz w:val="20"/>
        </w:rPr>
        <w:t>Cowessess First Nation • Treaty 4 Territory • Saskatchewan, Canada</w:t>
      </w:r>
    </w:p>
    <w:p>
      <w:pPr>
        <w:spacing w:after="160"/>
      </w:pPr>
      <w:r>
        <w:rPr>
          <w:rFonts w:ascii="Calibri" w:hAnsi="Calibri"/>
          <w:b/>
          <w:color w:val="1E3A8A"/>
          <w:sz w:val="48"/>
        </w:rPr>
        <w:t>Family Wellness Case Management Platform</w:t>
      </w:r>
    </w:p>
    <w:p>
      <w:pPr>
        <w:spacing w:after="480"/>
      </w:pPr>
      <w:r>
        <w:rPr>
          <w:rFonts w:ascii="Calibri" w:hAnsi="Calibri"/>
          <w:color w:val="881337"/>
          <w:sz w:val="30"/>
        </w:rPr>
        <w:t>Updated Platform Completion, Team Dashboard &amp; Staff Role Report</w:t>
      </w:r>
    </w:p>
    <w:tbl>
      <w:tblPr>
        <w:tblW w:type="auto" w:w="0"/>
        <w:jc w:val="center"/>
        <w:tblLook w:firstColumn="1" w:firstRow="1" w:lastColumn="0" w:lastRow="0" w:noHBand="0" w:noVBand="1" w:val="04A0"/>
      </w:tblPr>
      <w:tblGrid>
        <w:gridCol w:w="9936"/>
      </w:tblGrid>
      <w:tr>
        <w:tc>
          <w:tcPr>
            <w:tcW w:type="dxa" w:w="9936"/>
            <w:shd w:fill="1E3A8A"/>
            <w:tcMar>
              <w:top w:w="15" w:type="dxa"/>
              <w:bottom w:w="15" w:type="dxa"/>
              <w:left w:w="0" w:type="dxa"/>
              <w:right w:w="0" w:type="dxa"/>
            </w:tcMar>
          </w:tcPr>
          <w:p/>
        </w:tc>
      </w:tr>
    </w:tbl>
    <w:p>
      <w:pPr>
        <w:spacing w:after="600"/>
      </w:pP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168"/>
        <w:gridCol w:w="6768"/>
      </w:tblGrid>
      <w:tr>
        <w:tc>
          <w:tcPr>
            <w:tcW w:type="dxa" w:w="4968"/>
            <w:shd w:fill="F1F5F9"/>
            <w:tcMar>
              <w:top w:w="60" w:type="dxa"/>
              <w:bottom w:w="60" w:type="dxa"/>
              <w:left w:w="100" w:type="dxa"/>
              <w:right w:w="100" w:type="dxa"/>
            </w:tcMar>
          </w:tcPr>
          <w:p>
            <w:pPr>
              <w:spacing w:after="0"/>
            </w:pPr>
            <w:r>
              <w:rPr>
                <w:rFonts w:ascii="Calibri" w:hAnsi="Calibri"/>
                <w:b/>
                <w:color w:val="0F172A"/>
                <w:sz w:val="19"/>
              </w:rPr>
              <w:t>Report Date:</w:t>
            </w:r>
          </w:p>
        </w:tc>
        <w:tc>
          <w:tcPr>
            <w:tcW w:type="dxa" w:w="4968"/>
            <w:shd w:fill="FFFFFF"/>
            <w:tcMar>
              <w:top w:w="60" w:type="dxa"/>
              <w:bottom w:w="60" w:type="dxa"/>
              <w:left w:w="100" w:type="dxa"/>
              <w:right w:w="100" w:type="dxa"/>
            </w:tcMar>
          </w:tcPr>
          <w:p>
            <w:pPr>
              <w:spacing w:after="0" w:line="276" w:lineRule="auto"/>
            </w:pPr>
            <w:r>
              <w:rPr>
                <w:rFonts w:ascii="Calibri" w:hAnsi="Calibri"/>
                <w:color w:val="334155"/>
                <w:sz w:val="19"/>
              </w:rPr>
              <w:t>October 2026</w:t>
            </w:r>
          </w:p>
        </w:tc>
      </w:tr>
      <w:tr>
        <w:tc>
          <w:tcPr>
            <w:tcW w:type="dxa" w:w="4968"/>
            <w:shd w:fill="F1F5F9"/>
            <w:tcMar>
              <w:top w:w="60" w:type="dxa"/>
              <w:bottom w:w="60" w:type="dxa"/>
              <w:left w:w="100" w:type="dxa"/>
              <w:right w:w="100" w:type="dxa"/>
            </w:tcMar>
          </w:tcPr>
          <w:p>
            <w:pPr>
              <w:spacing w:after="0"/>
            </w:pPr>
            <w:r>
              <w:rPr>
                <w:rFonts w:ascii="Calibri" w:hAnsi="Calibri"/>
                <w:b/>
                <w:color w:val="0F172A"/>
                <w:sz w:val="19"/>
              </w:rPr>
              <w:t>Audited Repository Revision:</w:t>
            </w:r>
          </w:p>
        </w:tc>
        <w:tc>
          <w:tcPr>
            <w:tcW w:type="dxa" w:w="4968"/>
            <w:shd w:fill="FFFFFF"/>
            <w:tcMar>
              <w:top w:w="60" w:type="dxa"/>
              <w:bottom w:w="60" w:type="dxa"/>
              <w:left w:w="100" w:type="dxa"/>
              <w:right w:w="100" w:type="dxa"/>
            </w:tcMar>
          </w:tcPr>
          <w:p>
            <w:pPr>
              <w:spacing w:after="0" w:line="276" w:lineRule="auto"/>
            </w:pPr>
            <w:r>
              <w:rPr>
                <w:rFonts w:ascii="Calibri" w:hAnsi="Calibri"/>
                <w:color w:val="334155"/>
                <w:sz w:val="19"/>
              </w:rPr>
              <w:t>e9b01f7 (feat(ask-red-bear): add local speech transcription input)</w:t>
            </w:r>
          </w:p>
        </w:tc>
      </w:tr>
      <w:tr>
        <w:tc>
          <w:tcPr>
            <w:tcW w:type="dxa" w:w="4968"/>
            <w:shd w:fill="F1F5F9"/>
            <w:tcMar>
              <w:top w:w="60" w:type="dxa"/>
              <w:bottom w:w="60" w:type="dxa"/>
              <w:left w:w="100" w:type="dxa"/>
              <w:right w:w="100" w:type="dxa"/>
            </w:tcMar>
          </w:tcPr>
          <w:p>
            <w:pPr>
              <w:spacing w:after="0"/>
            </w:pPr>
            <w:r>
              <w:rPr>
                <w:rFonts w:ascii="Calibri" w:hAnsi="Calibri"/>
                <w:b/>
                <w:color w:val="0F172A"/>
                <w:sz w:val="19"/>
              </w:rPr>
              <w:t>Database Migration HEAD:</w:t>
            </w:r>
          </w:p>
        </w:tc>
        <w:tc>
          <w:tcPr>
            <w:tcW w:type="dxa" w:w="4968"/>
            <w:shd w:fill="FFFFFF"/>
            <w:tcMar>
              <w:top w:w="60" w:type="dxa"/>
              <w:bottom w:w="60" w:type="dxa"/>
              <w:left w:w="100" w:type="dxa"/>
              <w:right w:w="100" w:type="dxa"/>
            </w:tcMar>
          </w:tcPr>
          <w:p>
            <w:pPr>
              <w:spacing w:after="0" w:line="276" w:lineRule="auto"/>
            </w:pPr>
            <w:r>
              <w:rPr>
                <w:rFonts w:ascii="Calibri" w:hAnsi="Calibri"/>
                <w:color w:val="334155"/>
                <w:sz w:val="19"/>
              </w:rPr>
              <w:t>029_office_coordinator_and_control_centre</w:t>
            </w:r>
          </w:p>
        </w:tc>
      </w:tr>
      <w:tr>
        <w:tc>
          <w:tcPr>
            <w:tcW w:type="dxa" w:w="4968"/>
            <w:shd w:fill="F1F5F9"/>
            <w:tcMar>
              <w:top w:w="60" w:type="dxa"/>
              <w:bottom w:w="60" w:type="dxa"/>
              <w:left w:w="100" w:type="dxa"/>
              <w:right w:w="100" w:type="dxa"/>
            </w:tcMar>
          </w:tcPr>
          <w:p>
            <w:pPr>
              <w:spacing w:after="0"/>
            </w:pPr>
            <w:r>
              <w:rPr>
                <w:rFonts w:ascii="Calibri" w:hAnsi="Calibri"/>
                <w:b/>
                <w:color w:val="0F172A"/>
                <w:sz w:val="19"/>
              </w:rPr>
              <w:t>Active Deployments:</w:t>
            </w:r>
          </w:p>
        </w:tc>
        <w:tc>
          <w:tcPr>
            <w:tcW w:type="dxa" w:w="4968"/>
            <w:shd w:fill="FFFFFF"/>
            <w:tcMar>
              <w:top w:w="60" w:type="dxa"/>
              <w:bottom w:w="60" w:type="dxa"/>
              <w:left w:w="100" w:type="dxa"/>
              <w:right w:w="100" w:type="dxa"/>
            </w:tcMar>
          </w:tcPr>
          <w:p>
            <w:pPr>
              <w:spacing w:after="0" w:line="276" w:lineRule="auto"/>
            </w:pPr>
            <w:r>
              <w:rPr>
                <w:rFonts w:ascii="Calibri" w:hAnsi="Calibri"/>
                <w:color w:val="334155"/>
                <w:sz w:val="19"/>
              </w:rPr>
              <w:t>Backend: Railway (crbcl-production.up.railway.app)</w:t>
              <w:br/>
              <w:t>Frontend: Vercel (genserver.online / crbcl-sofware.vercel.app)</w:t>
            </w:r>
          </w:p>
        </w:tc>
      </w:tr>
      <w:tr>
        <w:tc>
          <w:tcPr>
            <w:tcW w:type="dxa" w:w="4968"/>
            <w:shd w:fill="F1F5F9"/>
            <w:tcMar>
              <w:top w:w="60" w:type="dxa"/>
              <w:bottom w:w="60" w:type="dxa"/>
              <w:left w:w="100" w:type="dxa"/>
              <w:right w:w="100" w:type="dxa"/>
            </w:tcMar>
          </w:tcPr>
          <w:p>
            <w:pPr>
              <w:spacing w:after="0"/>
            </w:pPr>
            <w:r>
              <w:rPr>
                <w:rFonts w:ascii="Calibri" w:hAnsi="Calibri"/>
                <w:b/>
                <w:color w:val="0F172A"/>
                <w:sz w:val="19"/>
              </w:rPr>
              <w:t>Document Classification:</w:t>
            </w:r>
          </w:p>
        </w:tc>
        <w:tc>
          <w:tcPr>
            <w:tcW w:type="dxa" w:w="4968"/>
            <w:shd w:fill="FFFFFF"/>
            <w:tcMar>
              <w:top w:w="60" w:type="dxa"/>
              <w:bottom w:w="60" w:type="dxa"/>
              <w:left w:w="100" w:type="dxa"/>
              <w:right w:w="100" w:type="dxa"/>
            </w:tcMar>
          </w:tcPr>
          <w:p>
            <w:pPr>
              <w:spacing w:after="0" w:line="276" w:lineRule="auto"/>
            </w:pPr>
            <w:r>
              <w:rPr>
                <w:rFonts w:ascii="Calibri" w:hAnsi="Calibri"/>
                <w:color w:val="334155"/>
                <w:sz w:val="19"/>
              </w:rPr>
              <w:t>Confidential — Executive Leadership &amp; Technical Governance</w:t>
            </w:r>
          </w:p>
        </w:tc>
      </w:tr>
    </w:tbl>
    <w:p>
      <w:r>
        <w:br w:type="page"/>
      </w:r>
    </w:p>
    <w:p>
      <w:pPr>
        <w:keepNext/>
        <w:spacing w:before="320" w:after="120"/>
      </w:pPr>
      <w:r>
        <w:rPr>
          <w:rFonts w:ascii="Calibri" w:hAnsi="Calibri"/>
          <w:b/>
          <w:color w:val="1E3A8A"/>
          <w:sz w:val="28"/>
        </w:rPr>
        <w:t>Table of Contents</w:t>
      </w:r>
    </w:p>
    <w:p>
      <w:pPr>
        <w:spacing w:before="20" w:after="40"/>
      </w:pPr>
      <w:r>
        <w:rPr>
          <w:rFonts w:ascii="Calibri" w:hAnsi="Calibri"/>
          <w:color w:val="1E3A8A"/>
          <w:sz w:val="20"/>
        </w:rPr>
        <w:t>1. Executive Summary</w:t>
      </w:r>
    </w:p>
    <w:p>
      <w:pPr>
        <w:spacing w:before="20" w:after="40"/>
      </w:pPr>
      <w:r>
        <w:rPr>
          <w:rFonts w:ascii="Calibri" w:hAnsi="Calibri"/>
          <w:color w:val="334155"/>
          <w:sz w:val="20"/>
        </w:rPr>
        <w:t>2. Platform Completion Overview</w:t>
      </w:r>
    </w:p>
    <w:p>
      <w:pPr>
        <w:spacing w:before="20" w:after="40"/>
      </w:pPr>
      <w:r>
        <w:rPr>
          <w:rFonts w:ascii="Calibri" w:hAnsi="Calibri"/>
          <w:color w:val="334155"/>
          <w:sz w:val="20"/>
        </w:rPr>
        <w:t>3. Team Dashboard &amp; Department Directory (24 Operational Teams &amp; 17 Agency Departments)</w:t>
      </w:r>
    </w:p>
    <w:p>
      <w:pPr>
        <w:spacing w:before="20" w:after="40"/>
      </w:pPr>
      <w:r>
        <w:rPr>
          <w:rFonts w:ascii="Calibri" w:hAnsi="Calibri"/>
          <w:color w:val="334155"/>
          <w:sz w:val="20"/>
        </w:rPr>
        <w:t>4. Complete Staff Role Representation by Team (19 Roles &amp; HR Deep Dive)</w:t>
      </w:r>
    </w:p>
    <w:p>
      <w:pPr>
        <w:spacing w:before="20" w:after="40"/>
      </w:pPr>
      <w:r>
        <w:rPr>
          <w:rFonts w:ascii="Calibri" w:hAnsi="Calibri"/>
          <w:color w:val="334155"/>
          <w:sz w:val="20"/>
        </w:rPr>
        <w:t>5. Admin Dashboard &amp; Master Dashboard Control Centre</w:t>
      </w:r>
    </w:p>
    <w:p>
      <w:pPr>
        <w:spacing w:before="20" w:after="40"/>
      </w:pPr>
      <w:r>
        <w:rPr>
          <w:rFonts w:ascii="Calibri" w:hAnsi="Calibri"/>
          <w:color w:val="334155"/>
          <w:sz w:val="20"/>
        </w:rPr>
        <w:t>6. Front Desk / First Impression</w:t>
      </w:r>
    </w:p>
    <w:p>
      <w:pPr>
        <w:spacing w:before="20" w:after="40"/>
      </w:pPr>
      <w:r>
        <w:rPr>
          <w:rFonts w:ascii="Calibri" w:hAnsi="Calibri"/>
          <w:color w:val="334155"/>
          <w:sz w:val="20"/>
        </w:rPr>
        <w:t>7. Office Coordinator Workspace</w:t>
      </w:r>
    </w:p>
    <w:p>
      <w:pPr>
        <w:spacing w:before="20" w:after="40"/>
      </w:pPr>
      <w:r>
        <w:rPr>
          <w:rFonts w:ascii="Calibri" w:hAnsi="Calibri"/>
          <w:color w:val="334155"/>
          <w:sz w:val="20"/>
        </w:rPr>
        <w:t>8. Human Resources (HR) Module</w:t>
      </w:r>
    </w:p>
    <w:p>
      <w:pPr>
        <w:spacing w:before="20" w:after="40"/>
      </w:pPr>
      <w:r>
        <w:rPr>
          <w:rFonts w:ascii="Calibri" w:hAnsi="Calibri"/>
          <w:color w:val="334155"/>
          <w:sz w:val="20"/>
        </w:rPr>
        <w:t>9. Navigators, Intake &amp; Referral</w:t>
      </w:r>
    </w:p>
    <w:p>
      <w:pPr>
        <w:spacing w:before="20" w:after="40"/>
      </w:pPr>
      <w:r>
        <w:rPr>
          <w:rFonts w:ascii="Calibri" w:hAnsi="Calibri"/>
          <w:color w:val="334155"/>
          <w:sz w:val="20"/>
        </w:rPr>
        <w:t>10. Case Management</w:t>
      </w:r>
    </w:p>
    <w:p>
      <w:pPr>
        <w:spacing w:before="20" w:after="40"/>
      </w:pPr>
      <w:r>
        <w:rPr>
          <w:rFonts w:ascii="Calibri" w:hAnsi="Calibri"/>
          <w:color w:val="334155"/>
          <w:sz w:val="20"/>
        </w:rPr>
        <w:t>11. Person &amp; Client Management (Canonical Identity Architecture)</w:t>
      </w:r>
    </w:p>
    <w:p>
      <w:pPr>
        <w:spacing w:before="20" w:after="40"/>
      </w:pPr>
      <w:r>
        <w:rPr>
          <w:rFonts w:ascii="Calibri" w:hAnsi="Calibri"/>
          <w:color w:val="334155"/>
          <w:sz w:val="20"/>
        </w:rPr>
        <w:t>12. Case Notes &amp; Addenda Lifecycle</w:t>
      </w:r>
    </w:p>
    <w:p>
      <w:pPr>
        <w:spacing w:before="20" w:after="40"/>
      </w:pPr>
      <w:r>
        <w:rPr>
          <w:rFonts w:ascii="Calibri" w:hAnsi="Calibri"/>
          <w:color w:val="1E3A8A"/>
          <w:sz w:val="20"/>
        </w:rPr>
        <w:t>13. Speech-to-Text Capabilities (Case Notes, Ask Red Bear &amp; Addenda) — LIVE VERIFIED</w:t>
      </w:r>
    </w:p>
    <w:p>
      <w:pPr>
        <w:spacing w:before="20" w:after="40"/>
      </w:pPr>
      <w:r>
        <w:rPr>
          <w:rFonts w:ascii="Calibri" w:hAnsi="Calibri"/>
          <w:color w:val="334155"/>
          <w:sz w:val="20"/>
        </w:rPr>
        <w:t>14. Speech-to-Text Workflow &amp; Quality Verification Standards</w:t>
      </w:r>
    </w:p>
    <w:p>
      <w:pPr>
        <w:spacing w:before="20" w:after="40"/>
      </w:pPr>
      <w:r>
        <w:rPr>
          <w:rFonts w:ascii="Calibri" w:hAnsi="Calibri"/>
          <w:color w:val="334155"/>
          <w:sz w:val="20"/>
        </w:rPr>
        <w:t>15. Resource Unit &amp; Placements</w:t>
      </w:r>
    </w:p>
    <w:p>
      <w:pPr>
        <w:spacing w:before="20" w:after="40"/>
      </w:pPr>
      <w:r>
        <w:rPr>
          <w:rFonts w:ascii="Calibri" w:hAnsi="Calibri"/>
          <w:color w:val="334155"/>
          <w:sz w:val="20"/>
        </w:rPr>
        <w:t>16. Finance &amp; Operational Financial Workflows</w:t>
      </w:r>
    </w:p>
    <w:p>
      <w:pPr>
        <w:spacing w:before="20" w:after="40"/>
      </w:pPr>
      <w:r>
        <w:rPr>
          <w:rFonts w:ascii="Calibri" w:hAnsi="Calibri"/>
          <w:color w:val="334155"/>
          <w:sz w:val="20"/>
        </w:rPr>
        <w:t>17. Executive Leadership &amp; CEO Command Centre</w:t>
      </w:r>
    </w:p>
    <w:p>
      <w:pPr>
        <w:spacing w:before="20" w:after="40"/>
      </w:pPr>
      <w:r>
        <w:rPr>
          <w:rFonts w:ascii="Calibri" w:hAnsi="Calibri"/>
          <w:color w:val="334155"/>
          <w:sz w:val="20"/>
        </w:rPr>
        <w:t>18. Board of Governors Governance Portal</w:t>
      </w:r>
    </w:p>
    <w:p>
      <w:pPr>
        <w:spacing w:before="20" w:after="40"/>
      </w:pPr>
      <w:r>
        <w:rPr>
          <w:rFonts w:ascii="Calibri" w:hAnsi="Calibri"/>
          <w:color w:val="334155"/>
          <w:sz w:val="20"/>
        </w:rPr>
        <w:t>19. Security, Privacy &amp; Role-Based Access Boundaries</w:t>
      </w:r>
    </w:p>
    <w:p>
      <w:pPr>
        <w:spacing w:before="20" w:after="40"/>
      </w:pPr>
      <w:r>
        <w:rPr>
          <w:rFonts w:ascii="Calibri" w:hAnsi="Calibri"/>
          <w:color w:val="334155"/>
          <w:sz w:val="20"/>
        </w:rPr>
        <w:t>20. Reporting, QA &amp; Administrative Tools</w:t>
      </w:r>
    </w:p>
    <w:p>
      <w:pPr>
        <w:spacing w:before="20" w:after="40"/>
      </w:pPr>
      <w:r>
        <w:rPr>
          <w:rFonts w:ascii="Calibri" w:hAnsi="Calibri"/>
          <w:color w:val="334155"/>
          <w:sz w:val="20"/>
        </w:rPr>
        <w:t>21. External Integrations Architecture &amp; Reality</w:t>
      </w:r>
    </w:p>
    <w:p>
      <w:pPr>
        <w:spacing w:before="20" w:after="40"/>
      </w:pPr>
      <w:r>
        <w:rPr>
          <w:rFonts w:ascii="Calibri" w:hAnsi="Calibri"/>
          <w:color w:val="334155"/>
          <w:sz w:val="20"/>
        </w:rPr>
        <w:t>22. Physical Vehicle GPS Tracking Status</w:t>
      </w:r>
    </w:p>
    <w:p>
      <w:pPr>
        <w:spacing w:before="20" w:after="40"/>
      </w:pPr>
      <w:r>
        <w:rPr>
          <w:rFonts w:ascii="Calibri" w:hAnsi="Calibri"/>
          <w:color w:val="334155"/>
          <w:sz w:val="20"/>
        </w:rPr>
        <w:t>23. Production Deployment &amp; Verification State</w:t>
      </w:r>
    </w:p>
    <w:p>
      <w:pPr>
        <w:spacing w:before="20" w:after="40"/>
      </w:pPr>
      <w:r>
        <w:rPr>
          <w:rFonts w:ascii="Calibri" w:hAnsi="Calibri"/>
          <w:color w:val="334155"/>
          <w:sz w:val="20"/>
        </w:rPr>
        <w:t>24. Completed vs Partial vs Pending Capability Register</w:t>
      </w:r>
    </w:p>
    <w:p>
      <w:pPr>
        <w:spacing w:before="20" w:after="40"/>
      </w:pPr>
      <w:r>
        <w:rPr>
          <w:rFonts w:ascii="Calibri" w:hAnsi="Calibri"/>
          <w:color w:val="334155"/>
          <w:sz w:val="20"/>
        </w:rPr>
        <w:t>25. Confirmed Remaining Requirements</w:t>
      </w:r>
    </w:p>
    <w:p>
      <w:pPr>
        <w:spacing w:before="20" w:after="40"/>
      </w:pPr>
      <w:r>
        <w:rPr>
          <w:rFonts w:ascii="Calibri" w:hAnsi="Calibri"/>
          <w:color w:val="334155"/>
          <w:sz w:val="20"/>
        </w:rPr>
        <w:t>26. Recommended Next Steps</w:t>
      </w:r>
    </w:p>
    <w:p>
      <w:pPr>
        <w:spacing w:after="40"/>
      </w:pPr>
      <w:r>
        <w:rPr>
          <w:rFonts w:ascii="Calibri" w:hAnsi="Calibri"/>
          <w:sz w:val="20"/>
        </w:rPr>
        <w:t>29. Flutter Mobile Application Modernization &amp; Parity Audit</w:t>
      </w:r>
    </w:p>
    <w:p>
      <w:pPr>
        <w:spacing w:after="40"/>
      </w:pPr>
      <w:r>
        <w:rPr>
          <w:rFonts w:ascii="Calibri" w:hAnsi="Calibri"/>
          <w:sz w:val="20"/>
        </w:rPr>
        <w:t>28. User Dashboard Personalization &amp; Theming</w:t>
      </w:r>
    </w:p>
    <w:p>
      <w:pPr>
        <w:spacing w:before="20" w:after="40"/>
      </w:pPr>
      <w:r>
        <w:rPr>
          <w:rFonts w:ascii="Calibri" w:hAnsi="Calibri"/>
          <w:color w:val="334155"/>
          <w:sz w:val="20"/>
        </w:rPr>
        <w:t>27. Technical, Privacy &amp; Verification Notices</w:t>
      </w:r>
    </w:p>
    <w:p>
      <w:pPr>
        <w:spacing w:before="20" w:after="40"/>
      </w:pPr>
      <w:r>
        <w:rPr>
          <w:rFonts w:ascii="Calibri" w:hAnsi="Calibri"/>
          <w:color w:val="1E3A8A"/>
          <w:sz w:val="20"/>
        </w:rPr>
        <w:t>Appendix A: Complete Team Dashboard / Staff Role Matrix</w:t>
      </w:r>
    </w:p>
    <w:p>
      <w:pPr>
        <w:spacing w:before="20" w:after="40"/>
      </w:pPr>
      <w:r>
        <w:rPr>
          <w:rFonts w:ascii="Calibri" w:hAnsi="Calibri"/>
          <w:color w:val="1E3A8A"/>
          <w:sz w:val="20"/>
        </w:rPr>
        <w:t>Appendix B: Major Platform Workspaces &amp; Routes</w:t>
      </w:r>
    </w:p>
    <w:p>
      <w:pPr>
        <w:spacing w:before="20" w:after="40"/>
      </w:pPr>
      <w:r>
        <w:rPr>
          <w:rFonts w:ascii="Calibri" w:hAnsi="Calibri"/>
          <w:color w:val="1E3A8A"/>
          <w:sz w:val="20"/>
        </w:rPr>
        <w:t>Appendix C: Production Verification Evidence Summary</w:t>
      </w:r>
    </w:p>
    <w:p>
      <w:r>
        <w:br w:type="page"/>
      </w:r>
    </w:p>
    <w:p>
      <w:pPr>
        <w:keepNext/>
        <w:spacing w:before="320" w:after="120"/>
      </w:pPr>
      <w:r>
        <w:rPr>
          <w:rFonts w:ascii="Calibri" w:hAnsi="Calibri"/>
          <w:b/>
          <w:color w:val="1E3A8A"/>
          <w:sz w:val="28"/>
        </w:rPr>
        <w:t>1. Executive Summary</w:t>
      </w:r>
    </w:p>
    <w:p>
      <w:pPr>
        <w:spacing w:before="0" w:after="80" w:line="276" w:lineRule="auto"/>
      </w:pPr>
      <w:r>
        <w:rPr>
          <w:rFonts w:ascii="Calibri" w:hAnsi="Calibri"/>
          <w:color w:val="334155"/>
          <w:sz w:val="19"/>
        </w:rPr>
        <w:t>This executive report provides an authoritative, source-verified accounting of the platform development status, departmental workspaces, staff role hierarchy, and technical security controls for the Chief Red Bear Children's Lodge (CRBCL) Family Wellness Case Management Platform as of October 2026. CRBCL operates under the sovereign child and family wellness jurisdiction of the Cowessess First Nation Miyo Pimatisowin Act in Saskatchewan, Canada.</w:t>
      </w:r>
    </w:p>
    <w:p>
      <w:pPr>
        <w:spacing w:before="0" w:after="80" w:line="276" w:lineRule="auto"/>
      </w:pPr>
      <w:r>
        <w:rPr>
          <w:rFonts w:ascii="Calibri" w:hAnsi="Calibri"/>
          <w:color w:val="334155"/>
          <w:sz w:val="19"/>
        </w:rPr>
        <w:t>During late September and early October 2026, major platform milestones were successfully engineered, deployed, and verified in the live production environment. Most notably, a fully self-hosted, sovereign speech-to-text transcription engine powered by local faster-whisper was deployed on CRBCL's production infrastructure. This capability enables authorized caseworkers and staff to dictate narrative case notes, addenda, and Ask Red Bear prompts directly from their browser microphone without routing voice data to any external commercial cloud API.</w:t>
      </w:r>
    </w:p>
    <w:p>
      <w:pPr>
        <w:spacing w:before="0" w:after="80" w:line="276" w:lineRule="auto"/>
      </w:pPr>
      <w:r>
        <w:rPr>
          <w:rFonts w:ascii="Calibri" w:hAnsi="Calibri"/>
          <w:color w:val="334155"/>
          <w:sz w:val="19"/>
        </w:rPr>
        <w:t>Simultaneously, the agency's operational infrastructure was expanded through Migration 029, establishing dedicated persistent workflows for the Office Coordinator (centralized operational request queues, vehicle advance reservations, physical vehicle key custody logging, conference room bookings, and office supply tracking) alongside the Front Desk / First Impression triage system and the Master Dashboard Control Centre.</w:t>
      </w:r>
    </w:p>
    <w:tbl>
      <w:tblPr>
        <w:tblW w:type="auto" w:w="0"/>
        <w:jc w:val="center"/>
        <w:tblLayout w:type="fixed"/>
        <w:tblLook w:firstColumn="1" w:firstRow="1" w:lastColumn="0" w:lastRow="0" w:noHBand="0" w:noVBand="1" w:val="04A0"/>
      </w:tblPr>
      <w:tblGrid>
        <w:gridCol w:w="9936"/>
      </w:tblGrid>
      <w:tr>
        <w:tc>
          <w:tcPr>
            <w:tcW w:type="dxa" w:w="9936"/>
            <w:shd w:fill="F8FAFC"/>
            <w:tcMar>
              <w:top w:w="80" w:type="dxa"/>
              <w:bottom w:w="80" w:type="dxa"/>
              <w:left w:w="120" w:type="dxa"/>
              <w:right w:w="120" w:type="dxa"/>
            </w:tcMar>
            <w:tcBorders>
              <w:left w:val="single" w:sz="24" w:space="0" w:color="1E3A8A"/>
              <w:top w:val="none"/>
              <w:right w:val="none"/>
              <w:bottom w:val="none"/>
            </w:tcBorders>
          </w:tcPr>
          <w:p>
            <w:pPr/>
            <w:r>
              <w:rPr>
                <w:rFonts w:ascii="Calibri" w:hAnsi="Calibri"/>
                <w:color w:val="2A2A2A"/>
                <w:sz w:val="20"/>
              </w:rPr>
              <w:t>Key Audit Takeaways (October 2026)</w:t>
              <w:br/>
              <w:t>• 24 Operational Team Dashboards: Fully accounted for and mapped across the platform (/teams).</w:t>
              <w:br/>
              <w:t>• 17 Canonical Agency Departments: Authoritatively catalogued from governance frameworks.</w:t>
              <w:br/>
              <w:t>• 35 Canonical Workspaces: Registered in the Master Admin Dashboard Control Centre with dynamic RBAC enablement.</w:t>
              <w:br/>
              <w:t>• 19 Distinct Staff Roles: Granular capability-based access control separating operational, supervisory, and governance functions.</w:t>
              <w:br/>
              <w:t>• User Dashboard Personalization &amp; Theming: LIVE VERIFIED end-to-end on live production web platform (https://genserver.online) across Light, Dark, System modes, all 8 cultural accent palettes, density/geometry controls, anti-flash pre-hydration, and strict authorization isolation.</w:t>
              <w:br/>
              <w:t>• Speech-to-Text Capabilities: LIVE VERIFIED end-to-end across Case Notes, Addenda, and Ask Red Bear using self-hosted local Whisper (CTranslate2/tiny). Zero cloud speech vendor reliance.</w:t>
              <w:br/>
              <w:t>• Ask Red Bear AI Answer Generation: Confirmed STUBBED / NOT LIVE (runs offline FakeAiProvider; completely decoupled from live speech transcription).</w:t>
              <w:br/>
              <w:t>• Flutter Mobile Field App: Modernized Flutter 3.47 codebase; static analysis (flutter analyze) verified with 0 errors/warnings; 9 automated tests (flutter test) verified; local SQLCipher AES-256 encrypted database source-verified; Android build toolchain installed and debug build executed; production distribution pending CRBCL organization Google Play / Apple Developer accounts and release signing keystores.</w:t>
              <w:br/>
              <w:t>• Office Coordinator &amp; Front Desk: Dedicated operational portals deployed and live-verified under Migration 029.</w:t>
              <w:br/>
              <w:t>• Strict Privacy Boundaries: IT Administrators hold broad system governance but zero default access to clinical or case narrative content.</w:t>
              <w:br/>
              <w:t>• Vehicle GPS Status: Confirmed requirement — physical vehicle tracking hardware integration is NOT yet implemented.</w:t>
              <w:br/>
              <w:t>• CEO Command Centre &amp; Board Governance Portal: LIVE VERIFIED end-to-end on live production web platform (https://genserver.online/ceo and https://genserver.online/board). Real executive metrics, active caseload tracking, department health rollups, and strict in-camera governance boundaries fully verified with zero error banners.</w:t>
            </w:r>
          </w:p>
        </w:tc>
      </w:tr>
    </w:tbl>
    <w:p>
      <w:pPr>
        <w:spacing w:after="60"/>
      </w:pPr>
    </w:p>
    <w:p>
      <w:pPr>
        <w:keepNext/>
        <w:spacing w:before="320" w:after="120"/>
      </w:pPr>
      <w:r>
        <w:rPr>
          <w:rFonts w:ascii="Calibri" w:hAnsi="Calibri"/>
          <w:b/>
          <w:color w:val="1E3A8A"/>
          <w:sz w:val="28"/>
        </w:rPr>
        <w:t>2. Platform Completion Overview</w:t>
      </w:r>
    </w:p>
    <w:p>
      <w:pPr>
        <w:spacing w:before="0" w:after="80" w:line="276" w:lineRule="auto"/>
      </w:pPr>
      <w:r>
        <w:rPr>
          <w:rFonts w:ascii="Calibri" w:hAnsi="Calibri"/>
          <w:color w:val="334155"/>
          <w:sz w:val="19"/>
        </w:rPr>
        <w:t>The CRBCL platform has progressed through 14 comprehensive core architecture phases, specialized completion sprints, and production hardening milestones. Every layer has been constructed around First Nations data sovereignty (OCAP principles), ensuring that all sensitive child welfare, family wellness, and clinical records remain strictly within CRBCL control.</w:t>
      </w:r>
    </w:p>
    <w:p>
      <w:pPr>
        <w:pStyle w:val="ListBullet"/>
        <w:spacing w:before="0" w:after="50" w:line="276" w:lineRule="auto"/>
      </w:pPr>
      <w:r>
        <w:rPr>
          <w:rFonts w:ascii="Calibri" w:hAnsi="Calibri"/>
          <w:b/>
          <w:color w:val="0F172A"/>
          <w:sz w:val="19"/>
        </w:rPr>
        <w:t>Phase 1 &amp; 2 — Identity &amp; Access Governance:</w:t>
      </w:r>
      <w:r>
        <w:rPr>
          <w:rFonts w:ascii="Calibri" w:hAnsi="Calibri"/>
          <w:color w:val="334155"/>
          <w:sz w:val="19"/>
        </w:rPr>
        <w:t xml:space="preserve"> Secure JWT authentication, multi-factor OTP email verification, 19 distinct staff roles, and dynamic capability-based permissions.</w:t>
      </w:r>
    </w:p>
    <w:p>
      <w:pPr>
        <w:pStyle w:val="ListBullet"/>
        <w:spacing w:before="0" w:after="50" w:line="276" w:lineRule="auto"/>
      </w:pPr>
      <w:r>
        <w:rPr>
          <w:rFonts w:ascii="Calibri" w:hAnsi="Calibri"/>
          <w:b/>
          <w:color w:val="0F172A"/>
          <w:sz w:val="19"/>
        </w:rPr>
        <w:t>Phase 3 &amp; 4 — Person, Client &amp; Case Management:</w:t>
      </w:r>
      <w:r>
        <w:rPr>
          <w:rFonts w:ascii="Calibri" w:hAnsi="Calibri"/>
          <w:color w:val="334155"/>
          <w:sz w:val="19"/>
        </w:rPr>
        <w:t xml:space="preserve"> Canonical Person identity (10-digit numeric ID), longitudinal client profiles, extended kinship genealogies, and household mapping.</w:t>
      </w:r>
    </w:p>
    <w:p>
      <w:pPr>
        <w:pStyle w:val="ListBullet"/>
        <w:spacing w:before="0" w:after="50" w:line="276" w:lineRule="auto"/>
      </w:pPr>
      <w:r>
        <w:rPr>
          <w:rFonts w:ascii="Calibri" w:hAnsi="Calibri"/>
          <w:b/>
          <w:color w:val="0F172A"/>
          <w:sz w:val="19"/>
        </w:rPr>
        <w:t>Phase 5 &amp; 6 — Intake, Referrals &amp; Safety Planning:</w:t>
      </w:r>
      <w:r>
        <w:rPr>
          <w:rFonts w:ascii="Calibri" w:hAnsi="Calibri"/>
          <w:color w:val="334155"/>
          <w:sz w:val="19"/>
        </w:rPr>
        <w:t xml:space="preserve"> Multi-channel intake processing, Google Forms community triage, child welfare screening, and supervisory approval queues.</w:t>
      </w:r>
    </w:p>
    <w:p>
      <w:pPr>
        <w:pStyle w:val="ListBullet"/>
        <w:spacing w:before="0" w:after="50" w:line="276" w:lineRule="auto"/>
      </w:pPr>
      <w:r>
        <w:rPr>
          <w:rFonts w:ascii="Calibri" w:hAnsi="Calibri"/>
          <w:b/>
          <w:color w:val="0F172A"/>
          <w:sz w:val="19"/>
        </w:rPr>
        <w:t>Phase 7 &amp; 8 — Resource Unit &amp; Placements:</w:t>
      </w:r>
      <w:r>
        <w:rPr>
          <w:rFonts w:ascii="Calibri" w:hAnsi="Calibri"/>
          <w:color w:val="334155"/>
          <w:sz w:val="19"/>
        </w:rPr>
        <w:t xml:space="preserve"> Customary care home licensing, bed capacity monitoring, prospective caregiver recruitment pipelines, and culturally weighted matching.</w:t>
      </w:r>
    </w:p>
    <w:p>
      <w:pPr>
        <w:pStyle w:val="ListBullet"/>
        <w:spacing w:before="0" w:after="50" w:line="276" w:lineRule="auto"/>
      </w:pPr>
      <w:r>
        <w:rPr>
          <w:rFonts w:ascii="Calibri" w:hAnsi="Calibri"/>
          <w:b/>
          <w:color w:val="0F172A"/>
          <w:sz w:val="19"/>
        </w:rPr>
        <w:t>Phase 9 — Scheduling &amp; Staffing Facilitator:</w:t>
      </w:r>
      <w:r>
        <w:rPr>
          <w:rFonts w:ascii="Calibri" w:hAnsi="Calibri"/>
          <w:color w:val="334155"/>
          <w:sz w:val="19"/>
        </w:rPr>
        <w:t xml:space="preserve"> Casework appointments, team calendar shifts, staffing conferences, and multi-disciplinary case action plans.</w:t>
      </w:r>
    </w:p>
    <w:p>
      <w:pPr>
        <w:pStyle w:val="ListBullet"/>
        <w:spacing w:before="0" w:after="50" w:line="276" w:lineRule="auto"/>
      </w:pPr>
      <w:r>
        <w:rPr>
          <w:rFonts w:ascii="Calibri" w:hAnsi="Calibri"/>
          <w:b/>
          <w:color w:val="0F172A"/>
          <w:sz w:val="19"/>
        </w:rPr>
        <w:t>Phase 10 — Finance, Billing &amp; Procurement:</w:t>
      </w:r>
      <w:r>
        <w:rPr>
          <w:rFonts w:ascii="Calibri" w:hAnsi="Calibri"/>
          <w:color w:val="334155"/>
          <w:sz w:val="19"/>
        </w:rPr>
        <w:t xml:space="preserve"> Service purchase orders, per diem invoices, maintenance rate cards, Decimal-precision financial ledger, and audit tracking.</w:t>
      </w:r>
    </w:p>
    <w:p>
      <w:pPr>
        <w:pStyle w:val="ListBullet"/>
        <w:spacing w:before="0" w:after="50" w:line="276" w:lineRule="auto"/>
      </w:pPr>
      <w:r>
        <w:rPr>
          <w:rFonts w:ascii="Calibri" w:hAnsi="Calibri"/>
          <w:b/>
          <w:color w:val="0F172A"/>
          <w:sz w:val="19"/>
        </w:rPr>
        <w:t>Phase 11 — Reporting &amp; Quality Assurance:</w:t>
      </w:r>
      <w:r>
        <w:rPr>
          <w:rFonts w:ascii="Calibri" w:hAnsi="Calibri"/>
          <w:color w:val="334155"/>
          <w:sz w:val="19"/>
        </w:rPr>
        <w:t xml:space="preserve"> Longitudinal statistical reports, child/parent wellness passports, practice audit ticklers, and quality assurance standards.</w:t>
      </w:r>
    </w:p>
    <w:p>
      <w:pPr>
        <w:pStyle w:val="ListBullet"/>
        <w:spacing w:before="0" w:after="50" w:line="276" w:lineRule="auto"/>
      </w:pPr>
      <w:r>
        <w:rPr>
          <w:rFonts w:ascii="Calibri" w:hAnsi="Calibri"/>
          <w:b/>
          <w:color w:val="0F172A"/>
          <w:sz w:val="19"/>
        </w:rPr>
        <w:t>Phase 12 — Fleet &amp; Vehicle Operations:</w:t>
      </w:r>
      <w:r>
        <w:rPr>
          <w:rFonts w:ascii="Calibri" w:hAnsi="Calibri"/>
          <w:color w:val="334155"/>
          <w:sz w:val="19"/>
        </w:rPr>
        <w:t xml:space="preserve"> Agency vehicle asset registry, trip checkouts, scheduled maintenance logs, insurance policies, advance reservations, and key custody logs.</w:t>
      </w:r>
    </w:p>
    <w:p>
      <w:pPr>
        <w:pStyle w:val="ListBullet"/>
        <w:spacing w:before="0" w:after="50" w:line="276" w:lineRule="auto"/>
      </w:pPr>
      <w:r>
        <w:rPr>
          <w:rFonts w:ascii="Calibri" w:hAnsi="Calibri"/>
          <w:b/>
          <w:color w:val="0F172A"/>
          <w:sz w:val="19"/>
        </w:rPr>
        <w:t>Sprint A &amp; B — Operations &amp; HR:</w:t>
      </w:r>
      <w:r>
        <w:rPr>
          <w:rFonts w:ascii="Calibri" w:hAnsi="Calibri"/>
          <w:color w:val="334155"/>
          <w:sz w:val="19"/>
        </w:rPr>
        <w:t xml:space="preserve"> Employee directory, professional licensing credentials, CPR/First Aid certification compliance, and housing/facility work orders.</w:t>
      </w:r>
    </w:p>
    <w:p>
      <w:pPr>
        <w:pStyle w:val="ListBullet"/>
        <w:spacing w:before="0" w:after="50" w:line="276" w:lineRule="auto"/>
      </w:pPr>
      <w:r>
        <w:rPr>
          <w:rFonts w:ascii="Calibri" w:hAnsi="Calibri"/>
          <w:b/>
          <w:color w:val="0F172A"/>
          <w:sz w:val="19"/>
        </w:rPr>
        <w:t>October 2026 Milestone — Sovereign Speech-to-Text:</w:t>
      </w:r>
      <w:r>
        <w:rPr>
          <w:rFonts w:ascii="Calibri" w:hAnsi="Calibri"/>
          <w:color w:val="334155"/>
          <w:sz w:val="19"/>
        </w:rPr>
        <w:t xml:space="preserve"> Self-hosted local Whisper transcription engine (CTranslate2/tiny, CPU int8, zero cloud API reliance) appended to draft case notes, formal addenda, and Ask Red Bear prompts.</w:t>
      </w:r>
    </w:p>
    <w:p>
      <w:pPr>
        <w:pStyle w:val="ListBullet"/>
        <w:spacing w:before="0" w:after="50" w:line="276" w:lineRule="auto"/>
      </w:pPr>
      <w:r>
        <w:rPr>
          <w:rFonts w:ascii="Calibri" w:hAnsi="Calibri"/>
          <w:b/>
          <w:color w:val="0F172A"/>
          <w:sz w:val="19"/>
        </w:rPr>
        <w:t>Migration 029 Milestone — Dashboard Control Centre:</w:t>
      </w:r>
      <w:r>
        <w:rPr>
          <w:rFonts w:ascii="Calibri" w:hAnsi="Calibri"/>
          <w:color w:val="334155"/>
          <w:sz w:val="19"/>
        </w:rPr>
        <w:t xml:space="preserve"> Unified administration portal with live enablement switches and role binding controls across all 35 canonical workspaces.</w:t>
      </w:r>
    </w:p>
    <w:p>
      <w:pPr>
        <w:keepNext/>
        <w:spacing w:before="320" w:after="120"/>
      </w:pPr>
      <w:r>
        <w:rPr>
          <w:rFonts w:ascii="Calibri" w:hAnsi="Calibri"/>
          <w:b/>
          <w:color w:val="1E3A8A"/>
          <w:sz w:val="28"/>
        </w:rPr>
        <w:t>3. Team Dashboard &amp; Department Directory</w:t>
      </w:r>
    </w:p>
    <w:p>
      <w:pPr>
        <w:spacing w:before="0" w:after="80" w:line="276" w:lineRule="auto"/>
      </w:pPr>
      <w:r>
        <w:rPr>
          <w:rFonts w:ascii="Calibri" w:hAnsi="Calibri"/>
          <w:color w:val="334155"/>
          <w:sz w:val="19"/>
        </w:rPr>
        <w:t>The CRBCL platform represents organizational work through two distinct but complementary models: (A) 24 Operational Team Dashboards accessible via the Team Dashboards Hub (/teams), and (B) 17 Canonical Agency Departments defined in core platform configuration. Every team dashboard provides a tailored operational view aligned with the specific mandate of that work unit.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720"/>
        <w:gridCol w:w="3168"/>
        <w:gridCol w:w="3888"/>
        <w:gridCol w:w="2160"/>
      </w:tblGrid>
      <w:tr>
        <w:tc>
          <w:tcPr>
            <w:tcW w:type="dxa" w:w="2484"/>
            <w:shd w:fill="1E3A8A"/>
            <w:tcMar>
              <w:top w:w="80" w:type="dxa"/>
              <w:bottom w:w="80" w:type="dxa"/>
              <w:left w:w="100" w:type="dxa"/>
              <w:right w:w="100" w:type="dxa"/>
            </w:tcMar>
          </w:tcPr>
          <w:p>
            <w:pPr>
              <w:spacing w:after="0"/>
            </w:pPr>
            <w:r>
              <w:rPr>
                <w:rFonts w:ascii="Calibri" w:hAnsi="Calibri"/>
                <w:b/>
                <w:color w:val="FFFFFF"/>
                <w:sz w:val="18"/>
              </w:rPr>
              <w:t>#</w:t>
            </w:r>
          </w:p>
        </w:tc>
        <w:tc>
          <w:tcPr>
            <w:tcW w:type="dxa" w:w="2484"/>
            <w:shd w:fill="1E3A8A"/>
            <w:tcMar>
              <w:top w:w="80" w:type="dxa"/>
              <w:bottom w:w="80" w:type="dxa"/>
              <w:left w:w="100" w:type="dxa"/>
              <w:right w:w="100" w:type="dxa"/>
            </w:tcMar>
          </w:tcPr>
          <w:p>
            <w:pPr>
              <w:spacing w:after="0"/>
            </w:pPr>
            <w:r>
              <w:rPr>
                <w:rFonts w:ascii="Calibri" w:hAnsi="Calibri"/>
                <w:b/>
                <w:color w:val="FFFFFF"/>
                <w:sz w:val="18"/>
              </w:rPr>
              <w:t>Team Dashboard</w:t>
            </w:r>
          </w:p>
        </w:tc>
        <w:tc>
          <w:tcPr>
            <w:tcW w:type="dxa" w:w="2484"/>
            <w:shd w:fill="1E3A8A"/>
            <w:tcMar>
              <w:top w:w="80" w:type="dxa"/>
              <w:bottom w:w="80" w:type="dxa"/>
              <w:left w:w="100" w:type="dxa"/>
              <w:right w:w="100" w:type="dxa"/>
            </w:tcMar>
          </w:tcPr>
          <w:p>
            <w:pPr>
              <w:spacing w:after="0"/>
            </w:pPr>
            <w:r>
              <w:rPr>
                <w:rFonts w:ascii="Calibri" w:hAnsi="Calibri"/>
                <w:b/>
                <w:color w:val="FFFFFF"/>
                <w:sz w:val="18"/>
              </w:rPr>
              <w:t>Operational Focus &amp; Workflows</w:t>
            </w:r>
          </w:p>
        </w:tc>
        <w:tc>
          <w:tcPr>
            <w:tcW w:type="dxa" w:w="2484"/>
            <w:shd w:fill="1E3A8A"/>
            <w:tcMar>
              <w:top w:w="80" w:type="dxa"/>
              <w:bottom w:w="80" w:type="dxa"/>
              <w:left w:w="100" w:type="dxa"/>
              <w:right w:w="100" w:type="dxa"/>
            </w:tcMar>
          </w:tcPr>
          <w:p>
            <w:pPr>
              <w:spacing w:after="0"/>
            </w:pPr>
            <w:r>
              <w:rPr>
                <w:rFonts w:ascii="Calibri" w:hAnsi="Calibri"/>
                <w:b/>
                <w:color w:val="FFFFFF"/>
                <w:sz w:val="18"/>
              </w:rPr>
              <w:t>Live Route</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w:t>
            </w:r>
          </w:p>
        </w:tc>
        <w:tc>
          <w:tcPr>
            <w:tcW w:type="dxa" w:w="3168"/>
            <w:shd w:fill="FFFFFF"/>
            <w:tcMar>
              <w:top w:w="50" w:type="dxa"/>
              <w:bottom w:w="50" w:type="dxa"/>
              <w:left w:w="80" w:type="dxa"/>
              <w:right w:w="80" w:type="dxa"/>
            </w:tcMar>
          </w:tcPr>
          <w:p>
            <w:pPr>
              <w:spacing w:after="0"/>
            </w:pPr>
            <w:r>
              <w:rPr>
                <w:rFonts w:ascii="Calibri" w:hAnsi="Calibri"/>
                <w:b/>
                <w:color w:val="1E3A8A"/>
                <w:sz w:val="17"/>
              </w:rPr>
              <w:t>Executive Leadership Team</w:t>
            </w:r>
          </w:p>
        </w:tc>
        <w:tc>
          <w:tcPr>
            <w:tcW w:type="dxa" w:w="3888"/>
            <w:shd w:fill="FFFFFF"/>
            <w:tcMar>
              <w:top w:w="50" w:type="dxa"/>
              <w:bottom w:w="50" w:type="dxa"/>
              <w:left w:w="80" w:type="dxa"/>
              <w:right w:w="80" w:type="dxa"/>
            </w:tcMar>
          </w:tcPr>
          <w:p>
            <w:pPr>
              <w:spacing w:after="0"/>
            </w:pPr>
            <w:r>
              <w:rPr>
                <w:rFonts w:ascii="Calibri" w:hAnsi="Calibri"/>
                <w:color w:val="334155"/>
                <w:sz w:val="16"/>
              </w:rPr>
              <w:t>Strategic planning, community sovereignty governance, inter-governmental partnerships, funding allocation, organizational leadership.</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2</w:t>
            </w:r>
          </w:p>
        </w:tc>
        <w:tc>
          <w:tcPr>
            <w:tcW w:type="dxa" w:w="3168"/>
            <w:shd w:fill="FFFFFF"/>
            <w:tcMar>
              <w:top w:w="50" w:type="dxa"/>
              <w:bottom w:w="50" w:type="dxa"/>
              <w:left w:w="80" w:type="dxa"/>
              <w:right w:w="80" w:type="dxa"/>
            </w:tcMar>
          </w:tcPr>
          <w:p>
            <w:pPr>
              <w:spacing w:after="0"/>
            </w:pPr>
            <w:r>
              <w:rPr>
                <w:rFonts w:ascii="Calibri" w:hAnsi="Calibri"/>
                <w:b/>
                <w:color w:val="1E3A8A"/>
                <w:sz w:val="17"/>
              </w:rPr>
              <w:t>Child &amp; Family Services Team</w:t>
            </w:r>
          </w:p>
        </w:tc>
        <w:tc>
          <w:tcPr>
            <w:tcW w:type="dxa" w:w="3888"/>
            <w:shd w:fill="FFFFFF"/>
            <w:tcMar>
              <w:top w:w="50" w:type="dxa"/>
              <w:bottom w:w="50" w:type="dxa"/>
              <w:left w:w="80" w:type="dxa"/>
              <w:right w:w="80" w:type="dxa"/>
            </w:tcMar>
          </w:tcPr>
          <w:p>
            <w:pPr>
              <w:spacing w:after="0"/>
            </w:pPr>
            <w:r>
              <w:rPr>
                <w:rFonts w:ascii="Calibri" w:hAnsi="Calibri"/>
                <w:color w:val="334155"/>
                <w:sz w:val="16"/>
              </w:rPr>
              <w:t>Full-lifecycle family wellness case management, child safety assessments, safety plans, kinship support, family reunification, customary care.</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/teams/2</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3</w:t>
            </w:r>
          </w:p>
        </w:tc>
        <w:tc>
          <w:tcPr>
            <w:tcW w:type="dxa" w:w="3168"/>
            <w:shd w:fill="FFFFFF"/>
            <w:tcMar>
              <w:top w:w="50" w:type="dxa"/>
              <w:bottom w:w="50" w:type="dxa"/>
              <w:left w:w="80" w:type="dxa"/>
              <w:right w:w="80" w:type="dxa"/>
            </w:tcMar>
          </w:tcPr>
          <w:p>
            <w:pPr>
              <w:spacing w:after="0"/>
            </w:pPr>
            <w:r>
              <w:rPr>
                <w:rFonts w:ascii="Calibri" w:hAnsi="Calibri"/>
                <w:b/>
                <w:color w:val="1E3A8A"/>
                <w:sz w:val="17"/>
              </w:rPr>
              <w:t>Prevention &amp; Healing Team</w:t>
            </w:r>
          </w:p>
        </w:tc>
        <w:tc>
          <w:tcPr>
            <w:tcW w:type="dxa" w:w="3888"/>
            <w:shd w:fill="FFFFFF"/>
            <w:tcMar>
              <w:top w:w="50" w:type="dxa"/>
              <w:bottom w:w="50" w:type="dxa"/>
              <w:left w:w="80" w:type="dxa"/>
              <w:right w:w="80" w:type="dxa"/>
            </w:tcMar>
          </w:tcPr>
          <w:p>
            <w:pPr>
              <w:spacing w:after="0"/>
            </w:pPr>
            <w:r>
              <w:rPr>
                <w:rFonts w:ascii="Calibri" w:hAnsi="Calibri"/>
                <w:color w:val="334155"/>
                <w:sz w:val="16"/>
              </w:rPr>
              <w:t>Family wellness plans, non-mandated community prevention support, traditional parenting education, community healing circles, youth advocacy.</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/teams/3</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4</w:t>
            </w:r>
          </w:p>
        </w:tc>
        <w:tc>
          <w:tcPr>
            <w:tcW w:type="dxa" w:w="3168"/>
            <w:shd w:fill="FFFFFF"/>
            <w:tcMar>
              <w:top w:w="50" w:type="dxa"/>
              <w:bottom w:w="50" w:type="dxa"/>
              <w:left w:w="80" w:type="dxa"/>
              <w:right w:w="80" w:type="dxa"/>
            </w:tcMar>
          </w:tcPr>
          <w:p>
            <w:pPr>
              <w:spacing w:after="0"/>
            </w:pPr>
            <w:r>
              <w:rPr>
                <w:rFonts w:ascii="Calibri" w:hAnsi="Calibri"/>
                <w:b/>
                <w:color w:val="1E3A8A"/>
                <w:sz w:val="17"/>
              </w:rPr>
              <w:t>Sacred Wolf Lodge Team</w:t>
            </w:r>
          </w:p>
        </w:tc>
        <w:tc>
          <w:tcPr>
            <w:tcW w:type="dxa" w:w="3888"/>
            <w:shd w:fill="FFFFFF"/>
            <w:tcMar>
              <w:top w:w="50" w:type="dxa"/>
              <w:bottom w:w="50" w:type="dxa"/>
              <w:left w:w="80" w:type="dxa"/>
              <w:right w:w="80" w:type="dxa"/>
            </w:tcMar>
          </w:tcPr>
          <w:p>
            <w:pPr>
              <w:spacing w:after="0"/>
            </w:pPr>
            <w:r>
              <w:rPr>
                <w:rFonts w:ascii="Calibri" w:hAnsi="Calibri"/>
                <w:color w:val="334155"/>
                <w:sz w:val="16"/>
              </w:rPr>
              <w:t>Residential family support facility operations, life skills coaching, cultural teachings, addictions recovery support, family stabilization.</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/teams/4</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5</w:t>
            </w:r>
          </w:p>
        </w:tc>
        <w:tc>
          <w:tcPr>
            <w:tcW w:type="dxa" w:w="3168"/>
            <w:shd w:fill="FFFFFF"/>
            <w:tcMar>
              <w:top w:w="50" w:type="dxa"/>
              <w:bottom w:w="50" w:type="dxa"/>
              <w:left w:w="80" w:type="dxa"/>
              <w:right w:w="80" w:type="dxa"/>
            </w:tcMar>
          </w:tcPr>
          <w:p>
            <w:pPr>
              <w:spacing w:after="0"/>
            </w:pPr>
            <w:r>
              <w:rPr>
                <w:rFonts w:ascii="Calibri" w:hAnsi="Calibri"/>
                <w:b/>
                <w:color w:val="1E3A8A"/>
                <w:sz w:val="17"/>
              </w:rPr>
              <w:t>Home Fire Team</w:t>
            </w:r>
          </w:p>
        </w:tc>
        <w:tc>
          <w:tcPr>
            <w:tcW w:type="dxa" w:w="3888"/>
            <w:shd w:fill="FFFFFF"/>
            <w:tcMar>
              <w:top w:w="50" w:type="dxa"/>
              <w:bottom w:w="50" w:type="dxa"/>
              <w:left w:w="80" w:type="dxa"/>
              <w:right w:w="80" w:type="dxa"/>
            </w:tcMar>
          </w:tcPr>
          <w:p>
            <w:pPr>
              <w:spacing w:after="0"/>
            </w:pPr>
            <w:r>
              <w:rPr>
                <w:rFonts w:ascii="Calibri" w:hAnsi="Calibri"/>
                <w:color w:val="334155"/>
                <w:sz w:val="16"/>
              </w:rPr>
              <w:t>Housing stabilization, emergency shelter assistance, rapid re-housing advocacy, tenancy education, housing unit maintenance.</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/teams/5</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6</w:t>
            </w:r>
          </w:p>
        </w:tc>
        <w:tc>
          <w:tcPr>
            <w:tcW w:type="dxa" w:w="3168"/>
            <w:shd w:fill="FFFFFF"/>
            <w:tcMar>
              <w:top w:w="50" w:type="dxa"/>
              <w:bottom w:w="50" w:type="dxa"/>
              <w:left w:w="80" w:type="dxa"/>
              <w:right w:w="80" w:type="dxa"/>
            </w:tcMar>
          </w:tcPr>
          <w:p>
            <w:pPr>
              <w:spacing w:after="0"/>
            </w:pPr>
            <w:r>
              <w:rPr>
                <w:rFonts w:ascii="Calibri" w:hAnsi="Calibri"/>
                <w:b/>
                <w:color w:val="1E3A8A"/>
                <w:sz w:val="17"/>
              </w:rPr>
              <w:t>Family Support Liaison (FSL) Team</w:t>
            </w:r>
          </w:p>
        </w:tc>
        <w:tc>
          <w:tcPr>
            <w:tcW w:type="dxa" w:w="3888"/>
            <w:shd w:fill="FFFFFF"/>
            <w:tcMar>
              <w:top w:w="50" w:type="dxa"/>
              <w:bottom w:w="50" w:type="dxa"/>
              <w:left w:w="80" w:type="dxa"/>
              <w:right w:w="80" w:type="dxa"/>
            </w:tcMar>
          </w:tcPr>
          <w:p>
            <w:pPr>
              <w:spacing w:after="0"/>
            </w:pPr>
            <w:r>
              <w:rPr>
                <w:rFonts w:ascii="Calibri" w:hAnsi="Calibri"/>
                <w:color w:val="334155"/>
                <w:sz w:val="16"/>
              </w:rPr>
              <w:t>Direct frontline family workers maintaining continuous relationships, navigating community services, transport coordination, progress tracking.</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/teams/6</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7</w:t>
            </w:r>
          </w:p>
        </w:tc>
        <w:tc>
          <w:tcPr>
            <w:tcW w:type="dxa" w:w="3168"/>
            <w:shd w:fill="FFFFFF"/>
            <w:tcMar>
              <w:top w:w="50" w:type="dxa"/>
              <w:bottom w:w="50" w:type="dxa"/>
              <w:left w:w="80" w:type="dxa"/>
              <w:right w:w="80" w:type="dxa"/>
            </w:tcMar>
          </w:tcPr>
          <w:p>
            <w:pPr>
              <w:spacing w:after="0"/>
            </w:pPr>
            <w:r>
              <w:rPr>
                <w:rFonts w:ascii="Calibri" w:hAnsi="Calibri"/>
                <w:b/>
                <w:color w:val="1E3A8A"/>
                <w:sz w:val="17"/>
              </w:rPr>
              <w:t>Cultural &amp; Traditional Healing Team</w:t>
            </w:r>
          </w:p>
        </w:tc>
        <w:tc>
          <w:tcPr>
            <w:tcW w:type="dxa" w:w="3888"/>
            <w:shd w:fill="FFFFFF"/>
            <w:tcMar>
              <w:top w:w="50" w:type="dxa"/>
              <w:bottom w:w="50" w:type="dxa"/>
              <w:left w:w="80" w:type="dxa"/>
              <w:right w:w="80" w:type="dxa"/>
            </w:tcMar>
          </w:tcPr>
          <w:p>
            <w:pPr>
              <w:spacing w:after="0"/>
            </w:pPr>
            <w:r>
              <w:rPr>
                <w:rFonts w:ascii="Calibri" w:hAnsi="Calibri"/>
                <w:color w:val="334155"/>
                <w:sz w:val="16"/>
              </w:rPr>
              <w:t>Elders, Knowledge Keepers, ceremony coordination, traditional medicines, sacred language preservation, Cree &amp; Saulteaux cultural guidance.</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/teams/7</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8</w:t>
            </w:r>
          </w:p>
        </w:tc>
        <w:tc>
          <w:tcPr>
            <w:tcW w:type="dxa" w:w="3168"/>
            <w:shd w:fill="FFFFFF"/>
            <w:tcMar>
              <w:top w:w="50" w:type="dxa"/>
              <w:bottom w:w="50" w:type="dxa"/>
              <w:left w:w="80" w:type="dxa"/>
              <w:right w:w="80" w:type="dxa"/>
            </w:tcMar>
          </w:tcPr>
          <w:p>
            <w:pPr>
              <w:spacing w:after="0"/>
            </w:pPr>
            <w:r>
              <w:rPr>
                <w:rFonts w:ascii="Calibri" w:hAnsi="Calibri"/>
                <w:b/>
                <w:color w:val="1E3A8A"/>
                <w:sz w:val="17"/>
              </w:rPr>
              <w:t>Youth &amp; Children Programs Team</w:t>
            </w:r>
          </w:p>
        </w:tc>
        <w:tc>
          <w:tcPr>
            <w:tcW w:type="dxa" w:w="3888"/>
            <w:shd w:fill="FFFFFF"/>
            <w:tcMar>
              <w:top w:w="50" w:type="dxa"/>
              <w:bottom w:w="50" w:type="dxa"/>
              <w:left w:w="80" w:type="dxa"/>
              <w:right w:w="80" w:type="dxa"/>
            </w:tcMar>
          </w:tcPr>
          <w:p>
            <w:pPr>
              <w:spacing w:after="0"/>
            </w:pPr>
            <w:r>
              <w:rPr>
                <w:rFonts w:ascii="Calibri" w:hAnsi="Calibri"/>
                <w:color w:val="334155"/>
                <w:sz w:val="16"/>
              </w:rPr>
              <w:t>Early learning and youth engagement programs, school liaison, cultural camps, recreational activities, healthy relationships curriculum.</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/teams/8</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9</w:t>
            </w:r>
          </w:p>
        </w:tc>
        <w:tc>
          <w:tcPr>
            <w:tcW w:type="dxa" w:w="3168"/>
            <w:shd w:fill="FFFFFF"/>
            <w:tcMar>
              <w:top w:w="50" w:type="dxa"/>
              <w:bottom w:w="50" w:type="dxa"/>
              <w:left w:w="80" w:type="dxa"/>
              <w:right w:w="80" w:type="dxa"/>
            </w:tcMar>
          </w:tcPr>
          <w:p>
            <w:pPr>
              <w:spacing w:after="0"/>
            </w:pPr>
            <w:r>
              <w:rPr>
                <w:rFonts w:ascii="Calibri" w:hAnsi="Calibri"/>
                <w:b/>
                <w:color w:val="1E3A8A"/>
                <w:sz w:val="17"/>
              </w:rPr>
              <w:t>Clinical &amp; Wellness Team</w:t>
            </w:r>
          </w:p>
        </w:tc>
        <w:tc>
          <w:tcPr>
            <w:tcW w:type="dxa" w:w="3888"/>
            <w:shd w:fill="FFFFFF"/>
            <w:tcMar>
              <w:top w:w="50" w:type="dxa"/>
              <w:bottom w:w="50" w:type="dxa"/>
              <w:left w:w="80" w:type="dxa"/>
              <w:right w:w="80" w:type="dxa"/>
            </w:tcMar>
          </w:tcPr>
          <w:p>
            <w:pPr>
              <w:spacing w:after="0"/>
            </w:pPr>
            <w:r>
              <w:rPr>
                <w:rFonts w:ascii="Calibri" w:hAnsi="Calibri"/>
                <w:color w:val="334155"/>
                <w:sz w:val="16"/>
              </w:rPr>
              <w:t>Licensed counsellors, clinical mental health assessments, trauma-informed therapy, clinical progress notes, therapeutic interventions.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/teams/9</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10</w:t>
            </w:r>
          </w:p>
        </w:tc>
        <w:tc>
          <w:tcPr>
            <w:tcW w:type="dxa" w:w="3168"/>
            <w:shd w:fill="FFFFFF"/>
            <w:tcMar>
              <w:top w:w="50" w:type="dxa"/>
              <w:bottom w:w="50" w:type="dxa"/>
              <w:left w:w="80" w:type="dxa"/>
              <w:right w:w="80" w:type="dxa"/>
            </w:tcMar>
          </w:tcPr>
          <w:p>
            <w:pPr>
              <w:spacing w:after="0"/>
            </w:pPr>
            <w:r>
              <w:rPr>
                <w:rFonts w:ascii="Calibri" w:hAnsi="Calibri"/>
                <w:b/>
                <w:color w:val="1E3A8A"/>
                <w:sz w:val="17"/>
              </w:rPr>
              <w:t>Intake &amp; Assessment Team</w:t>
            </w:r>
          </w:p>
        </w:tc>
        <w:tc>
          <w:tcPr>
            <w:tcW w:type="dxa" w:w="3888"/>
            <w:shd w:fill="FFFFFF"/>
            <w:tcMar>
              <w:top w:w="50" w:type="dxa"/>
              <w:bottom w:w="50" w:type="dxa"/>
              <w:left w:w="80" w:type="dxa"/>
              <w:right w:w="80" w:type="dxa"/>
            </w:tcMar>
          </w:tcPr>
          <w:p>
            <w:pPr>
              <w:spacing w:after="0"/>
            </w:pPr>
            <w:r>
              <w:rPr>
                <w:rFonts w:ascii="Calibri" w:hAnsi="Calibri"/>
                <w:color w:val="334155"/>
                <w:sz w:val="16"/>
              </w:rPr>
              <w:t>Receiving formal child protection reports, screening against Miyo Pimatisowin Act criteria, safety assessments, emergency intake responses.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/teams/10</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11</w:t>
            </w:r>
          </w:p>
        </w:tc>
        <w:tc>
          <w:tcPr>
            <w:tcW w:type="dxa" w:w="3168"/>
            <w:shd w:fill="FFFFFF"/>
            <w:tcMar>
              <w:top w:w="50" w:type="dxa"/>
              <w:bottom w:w="50" w:type="dxa"/>
              <w:left w:w="80" w:type="dxa"/>
              <w:right w:w="80" w:type="dxa"/>
            </w:tcMar>
          </w:tcPr>
          <w:p>
            <w:pPr>
              <w:spacing w:after="0"/>
            </w:pPr>
            <w:r>
              <w:rPr>
                <w:rFonts w:ascii="Calibri" w:hAnsi="Calibri"/>
                <w:b/>
                <w:color w:val="1E3A8A"/>
                <w:sz w:val="17"/>
              </w:rPr>
              <w:t>Quality Assurance &amp; Practice Standards Team</w:t>
            </w:r>
          </w:p>
        </w:tc>
        <w:tc>
          <w:tcPr>
            <w:tcW w:type="dxa" w:w="3888"/>
            <w:shd w:fill="FFFFFF"/>
            <w:tcMar>
              <w:top w:w="50" w:type="dxa"/>
              <w:bottom w:w="50" w:type="dxa"/>
              <w:left w:w="80" w:type="dxa"/>
              <w:right w:w="80" w:type="dxa"/>
            </w:tcMar>
          </w:tcPr>
          <w:p>
            <w:pPr>
              <w:spacing w:after="0"/>
            </w:pPr>
            <w:r>
              <w:rPr>
                <w:rFonts w:ascii="Calibri" w:hAnsi="Calibri"/>
                <w:color w:val="334155"/>
                <w:sz w:val="16"/>
              </w:rPr>
              <w:t>Statutory compliance audits, practice standards review, child/parent wellness passports, data quality monitoring, tickler compliance tracking.</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/teams/11</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12</w:t>
            </w:r>
          </w:p>
        </w:tc>
        <w:tc>
          <w:tcPr>
            <w:tcW w:type="dxa" w:w="3168"/>
            <w:shd w:fill="FFFFFF"/>
            <w:tcMar>
              <w:top w:w="50" w:type="dxa"/>
              <w:bottom w:w="50" w:type="dxa"/>
              <w:left w:w="80" w:type="dxa"/>
              <w:right w:w="80" w:type="dxa"/>
            </w:tcMar>
          </w:tcPr>
          <w:p>
            <w:pPr>
              <w:spacing w:after="0"/>
            </w:pPr>
            <w:r>
              <w:rPr>
                <w:rFonts w:ascii="Calibri" w:hAnsi="Calibri"/>
                <w:b/>
                <w:color w:val="1E3A8A"/>
                <w:sz w:val="17"/>
              </w:rPr>
              <w:t>Legal &amp; Jurisdiction Team</w:t>
            </w:r>
          </w:p>
        </w:tc>
        <w:tc>
          <w:tcPr>
            <w:tcW w:type="dxa" w:w="3888"/>
            <w:shd w:fill="FFFFFF"/>
            <w:tcMar>
              <w:top w:w="50" w:type="dxa"/>
              <w:bottom w:w="50" w:type="dxa"/>
              <w:left w:w="80" w:type="dxa"/>
              <w:right w:w="80" w:type="dxa"/>
            </w:tcMar>
          </w:tcPr>
          <w:p>
            <w:pPr>
              <w:spacing w:after="0"/>
            </w:pPr>
            <w:r>
              <w:rPr>
                <w:rFonts w:ascii="Calibri" w:hAnsi="Calibri"/>
                <w:color w:val="334155"/>
                <w:sz w:val="16"/>
              </w:rPr>
              <w:t>Miyo Pimatisowin Act jurisdictional enforcement, court documents, band council resolutions, inter-provincial child welfare coordination.</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/teams/12</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13</w:t>
            </w:r>
          </w:p>
        </w:tc>
        <w:tc>
          <w:tcPr>
            <w:tcW w:type="dxa" w:w="3168"/>
            <w:shd w:fill="FFFFFF"/>
            <w:tcMar>
              <w:top w:w="50" w:type="dxa"/>
              <w:bottom w:w="50" w:type="dxa"/>
              <w:left w:w="80" w:type="dxa"/>
              <w:right w:w="80" w:type="dxa"/>
            </w:tcMar>
          </w:tcPr>
          <w:p>
            <w:pPr>
              <w:spacing w:after="0"/>
            </w:pPr>
            <w:r>
              <w:rPr>
                <w:rFonts w:ascii="Calibri" w:hAnsi="Calibri"/>
                <w:b/>
                <w:color w:val="1E3A8A"/>
                <w:sz w:val="17"/>
              </w:rPr>
              <w:t>Human Resources Team</w:t>
            </w:r>
          </w:p>
        </w:tc>
        <w:tc>
          <w:tcPr>
            <w:tcW w:type="dxa" w:w="3888"/>
            <w:shd w:fill="FFFFFF"/>
            <w:tcMar>
              <w:top w:w="50" w:type="dxa"/>
              <w:bottom w:w="50" w:type="dxa"/>
              <w:left w:w="80" w:type="dxa"/>
              <w:right w:w="80" w:type="dxa"/>
            </w:tcMar>
          </w:tcPr>
          <w:p>
            <w:pPr>
              <w:spacing w:after="0"/>
            </w:pPr>
            <w:r>
              <w:rPr>
                <w:rFonts w:ascii="Calibri" w:hAnsi="Calibri"/>
                <w:color w:val="334155"/>
                <w:sz w:val="16"/>
              </w:rPr>
              <w:t>Staff recruitment, employee personnel records, professional licensing, CPR/First Aid certifications, staff training records, workplace policies.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/teams/13</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14</w:t>
            </w:r>
          </w:p>
        </w:tc>
        <w:tc>
          <w:tcPr>
            <w:tcW w:type="dxa" w:w="3168"/>
            <w:shd w:fill="FFFFFF"/>
            <w:tcMar>
              <w:top w:w="50" w:type="dxa"/>
              <w:bottom w:w="50" w:type="dxa"/>
              <w:left w:w="80" w:type="dxa"/>
              <w:right w:w="80" w:type="dxa"/>
            </w:tcMar>
          </w:tcPr>
          <w:p>
            <w:pPr>
              <w:spacing w:after="0"/>
            </w:pPr>
            <w:r>
              <w:rPr>
                <w:rFonts w:ascii="Calibri" w:hAnsi="Calibri"/>
                <w:b/>
                <w:color w:val="1E3A8A"/>
                <w:sz w:val="17"/>
              </w:rPr>
              <w:t>Finance &amp; Administration Team</w:t>
            </w:r>
          </w:p>
        </w:tc>
        <w:tc>
          <w:tcPr>
            <w:tcW w:type="dxa" w:w="3888"/>
            <w:shd w:fill="FFFFFF"/>
            <w:tcMar>
              <w:top w:w="50" w:type="dxa"/>
              <w:bottom w:w="50" w:type="dxa"/>
              <w:left w:w="80" w:type="dxa"/>
              <w:right w:w="80" w:type="dxa"/>
            </w:tcMar>
          </w:tcPr>
          <w:p>
            <w:pPr>
              <w:spacing w:after="0"/>
            </w:pPr>
            <w:r>
              <w:rPr>
                <w:rFonts w:ascii="Calibri" w:hAnsi="Calibri"/>
                <w:color w:val="334155"/>
                <w:sz w:val="16"/>
              </w:rPr>
              <w:t>Purchase orders, caregiver per diem billing, maintenance rate cards, service requests, invoices, budget lines, financial ledger auditing.</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/teams/14</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15</w:t>
            </w:r>
          </w:p>
        </w:tc>
        <w:tc>
          <w:tcPr>
            <w:tcW w:type="dxa" w:w="3168"/>
            <w:shd w:fill="FFFFFF"/>
            <w:tcMar>
              <w:top w:w="50" w:type="dxa"/>
              <w:bottom w:w="50" w:type="dxa"/>
              <w:left w:w="80" w:type="dxa"/>
              <w:right w:w="80" w:type="dxa"/>
            </w:tcMar>
          </w:tcPr>
          <w:p>
            <w:pPr>
              <w:spacing w:after="0"/>
            </w:pPr>
            <w:r>
              <w:rPr>
                <w:rFonts w:ascii="Calibri" w:hAnsi="Calibri"/>
                <w:b/>
                <w:color w:val="1E3A8A"/>
                <w:sz w:val="17"/>
              </w:rPr>
              <w:t>Information Technology &amp; Innovation Team</w:t>
            </w:r>
          </w:p>
        </w:tc>
        <w:tc>
          <w:tcPr>
            <w:tcW w:type="dxa" w:w="3888"/>
            <w:shd w:fill="FFFFFF"/>
            <w:tcMar>
              <w:top w:w="50" w:type="dxa"/>
              <w:bottom w:w="50" w:type="dxa"/>
              <w:left w:w="80" w:type="dxa"/>
              <w:right w:w="80" w:type="dxa"/>
            </w:tcMar>
          </w:tcPr>
          <w:p>
            <w:pPr>
              <w:spacing w:after="0"/>
            </w:pPr>
            <w:r>
              <w:rPr>
                <w:rFonts w:ascii="Calibri" w:hAnsi="Calibri"/>
                <w:color w:val="334155"/>
                <w:sz w:val="16"/>
              </w:rPr>
              <w:t>Platform systems administration, identity and access management, user approval lifecycle, database governance, cybersecurity, IT hardware assets.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/teams/15</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16</w:t>
            </w:r>
          </w:p>
        </w:tc>
        <w:tc>
          <w:tcPr>
            <w:tcW w:type="dxa" w:w="3168"/>
            <w:shd w:fill="FFFFFF"/>
            <w:tcMar>
              <w:top w:w="50" w:type="dxa"/>
              <w:bottom w:w="50" w:type="dxa"/>
              <w:left w:w="80" w:type="dxa"/>
              <w:right w:w="80" w:type="dxa"/>
            </w:tcMar>
          </w:tcPr>
          <w:p>
            <w:pPr>
              <w:spacing w:after="0"/>
            </w:pPr>
            <w:r>
              <w:rPr>
                <w:rFonts w:ascii="Calibri" w:hAnsi="Calibri"/>
                <w:b/>
                <w:color w:val="1E3A8A"/>
                <w:sz w:val="17"/>
              </w:rPr>
              <w:t>Communications &amp; Community Engagement Team</w:t>
            </w:r>
          </w:p>
        </w:tc>
        <w:tc>
          <w:tcPr>
            <w:tcW w:type="dxa" w:w="3888"/>
            <w:shd w:fill="FFFFFF"/>
            <w:tcMar>
              <w:top w:w="50" w:type="dxa"/>
              <w:bottom w:w="50" w:type="dxa"/>
              <w:left w:w="80" w:type="dxa"/>
              <w:right w:w="80" w:type="dxa"/>
            </w:tcMar>
          </w:tcPr>
          <w:p>
            <w:pPr>
              <w:spacing w:after="0"/>
            </w:pPr>
            <w:r>
              <w:rPr>
                <w:rFonts w:ascii="Calibri" w:hAnsi="Calibri"/>
                <w:color w:val="334155"/>
                <w:sz w:val="16"/>
              </w:rPr>
              <w:t>Community public announcements, newsletter releases, press statements, digital media approvals, community feast coordination.</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/teams/16</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17</w:t>
            </w:r>
          </w:p>
        </w:tc>
        <w:tc>
          <w:tcPr>
            <w:tcW w:type="dxa" w:w="3168"/>
            <w:shd w:fill="FFFFFF"/>
            <w:tcMar>
              <w:top w:w="50" w:type="dxa"/>
              <w:bottom w:w="50" w:type="dxa"/>
              <w:left w:w="80" w:type="dxa"/>
              <w:right w:w="80" w:type="dxa"/>
            </w:tcMar>
          </w:tcPr>
          <w:p>
            <w:pPr>
              <w:spacing w:after="0"/>
            </w:pPr>
            <w:r>
              <w:rPr>
                <w:rFonts w:ascii="Calibri" w:hAnsi="Calibri"/>
                <w:b/>
                <w:color w:val="1E3A8A"/>
                <w:sz w:val="17"/>
              </w:rPr>
              <w:t>Training &amp; Professional Development Team</w:t>
            </w:r>
          </w:p>
        </w:tc>
        <w:tc>
          <w:tcPr>
            <w:tcW w:type="dxa" w:w="3888"/>
            <w:shd w:fill="FFFFFF"/>
            <w:tcMar>
              <w:top w:w="50" w:type="dxa"/>
              <w:bottom w:w="50" w:type="dxa"/>
              <w:left w:w="80" w:type="dxa"/>
              <w:right w:w="80" w:type="dxa"/>
            </w:tcMar>
          </w:tcPr>
          <w:p>
            <w:pPr>
              <w:spacing w:after="0"/>
            </w:pPr>
            <w:r>
              <w:rPr>
                <w:rFonts w:ascii="Calibri" w:hAnsi="Calibri"/>
                <w:color w:val="334155"/>
                <w:sz w:val="16"/>
              </w:rPr>
              <w:t>Mandatory staff training curriculums, cultural immersion programs, trauma-informed certifications, continuous professional growth tracking.</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/teams/17</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18</w:t>
            </w:r>
          </w:p>
        </w:tc>
        <w:tc>
          <w:tcPr>
            <w:tcW w:type="dxa" w:w="3168"/>
            <w:shd w:fill="FFFFFF"/>
            <w:tcMar>
              <w:top w:w="50" w:type="dxa"/>
              <w:bottom w:w="50" w:type="dxa"/>
              <w:left w:w="80" w:type="dxa"/>
              <w:right w:w="80" w:type="dxa"/>
            </w:tcMar>
          </w:tcPr>
          <w:p>
            <w:pPr>
              <w:spacing w:after="0"/>
            </w:pPr>
            <w:r>
              <w:rPr>
                <w:rFonts w:ascii="Calibri" w:hAnsi="Calibri"/>
                <w:b/>
                <w:color w:val="1E3A8A"/>
                <w:sz w:val="17"/>
              </w:rPr>
              <w:t>Research, Data &amp; Reporting Team</w:t>
            </w:r>
          </w:p>
        </w:tc>
        <w:tc>
          <w:tcPr>
            <w:tcW w:type="dxa" w:w="3888"/>
            <w:shd w:fill="FFFFFF"/>
            <w:tcMar>
              <w:top w:w="50" w:type="dxa"/>
              <w:bottom w:w="50" w:type="dxa"/>
              <w:left w:w="80" w:type="dxa"/>
              <w:right w:w="80" w:type="dxa"/>
            </w:tcMar>
          </w:tcPr>
          <w:p>
            <w:pPr>
              <w:spacing w:after="0"/>
            </w:pPr>
            <w:r>
              <w:rPr>
                <w:rFonts w:ascii="Calibri" w:hAnsi="Calibri"/>
                <w:color w:val="334155"/>
                <w:sz w:val="16"/>
              </w:rPr>
              <w:t>Longitudinal outcome statistics, Indigenous data sovereignty (OCAP) compliance, funder reporting (ISC/provincial), executive analytics.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/teams/18</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19</w:t>
            </w:r>
          </w:p>
        </w:tc>
        <w:tc>
          <w:tcPr>
            <w:tcW w:type="dxa" w:w="3168"/>
            <w:shd w:fill="FFFFFF"/>
            <w:tcMar>
              <w:top w:w="50" w:type="dxa"/>
              <w:bottom w:w="50" w:type="dxa"/>
              <w:left w:w="80" w:type="dxa"/>
              <w:right w:w="80" w:type="dxa"/>
            </w:tcMar>
          </w:tcPr>
          <w:p>
            <w:pPr>
              <w:spacing w:after="0"/>
            </w:pPr>
            <w:r>
              <w:rPr>
                <w:rFonts w:ascii="Calibri" w:hAnsi="Calibri"/>
                <w:b/>
                <w:color w:val="1E3A8A"/>
                <w:sz w:val="17"/>
              </w:rPr>
              <w:t>Navigation Team</w:t>
            </w:r>
          </w:p>
        </w:tc>
        <w:tc>
          <w:tcPr>
            <w:tcW w:type="dxa" w:w="3888"/>
            <w:shd w:fill="FFFFFF"/>
            <w:tcMar>
              <w:top w:w="50" w:type="dxa"/>
              <w:bottom w:w="50" w:type="dxa"/>
              <w:left w:w="80" w:type="dxa"/>
              <w:right w:w="80" w:type="dxa"/>
            </w:tcMar>
          </w:tcPr>
          <w:p>
            <w:pPr>
              <w:spacing w:after="0"/>
            </w:pPr>
            <w:r>
              <w:rPr>
                <w:rFonts w:ascii="Calibri" w:hAnsi="Calibri"/>
                <w:color w:val="334155"/>
                <w:sz w:val="16"/>
              </w:rPr>
              <w:t>System navigation support, community partner referral coordination, guidance connecting families to tribal and provincial entitlements.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/teams/19</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20</w:t>
            </w:r>
          </w:p>
        </w:tc>
        <w:tc>
          <w:tcPr>
            <w:tcW w:type="dxa" w:w="3168"/>
            <w:shd w:fill="FFFFFF"/>
            <w:tcMar>
              <w:top w:w="50" w:type="dxa"/>
              <w:bottom w:w="50" w:type="dxa"/>
              <w:left w:w="80" w:type="dxa"/>
              <w:right w:w="80" w:type="dxa"/>
            </w:tcMar>
          </w:tcPr>
          <w:p>
            <w:pPr>
              <w:spacing w:after="0"/>
            </w:pPr>
            <w:r>
              <w:rPr>
                <w:rFonts w:ascii="Calibri" w:hAnsi="Calibri"/>
                <w:b/>
                <w:color w:val="1E3A8A"/>
                <w:sz w:val="17"/>
              </w:rPr>
              <w:t>Growing Up Well (Social Worker - Intervention) Team</w:t>
            </w:r>
          </w:p>
        </w:tc>
        <w:tc>
          <w:tcPr>
            <w:tcW w:type="dxa" w:w="3888"/>
            <w:shd w:fill="FFFFFF"/>
            <w:tcMar>
              <w:top w:w="50" w:type="dxa"/>
              <w:bottom w:w="50" w:type="dxa"/>
              <w:left w:w="80" w:type="dxa"/>
              <w:right w:w="80" w:type="dxa"/>
            </w:tcMar>
          </w:tcPr>
          <w:p>
            <w:pPr>
              <w:spacing w:after="0"/>
            </w:pPr>
            <w:r>
              <w:rPr>
                <w:rFonts w:ascii="Calibri" w:hAnsi="Calibri"/>
                <w:color w:val="334155"/>
                <w:sz w:val="16"/>
              </w:rPr>
              <w:t>Social work intensive intervention, child development protective monitoring, family safety planning, statutory protection proceedings.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/teams/20</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21</w:t>
            </w:r>
          </w:p>
        </w:tc>
        <w:tc>
          <w:tcPr>
            <w:tcW w:type="dxa" w:w="3168"/>
            <w:shd w:fill="FFFFFF"/>
            <w:tcMar>
              <w:top w:w="50" w:type="dxa"/>
              <w:bottom w:w="50" w:type="dxa"/>
              <w:left w:w="80" w:type="dxa"/>
              <w:right w:w="80" w:type="dxa"/>
            </w:tcMar>
          </w:tcPr>
          <w:p>
            <w:pPr>
              <w:spacing w:after="0"/>
            </w:pPr>
            <w:r>
              <w:rPr>
                <w:rFonts w:ascii="Calibri" w:hAnsi="Calibri"/>
                <w:b/>
                <w:color w:val="1E3A8A"/>
                <w:sz w:val="17"/>
              </w:rPr>
              <w:t>Culture Team</w:t>
            </w:r>
          </w:p>
        </w:tc>
        <w:tc>
          <w:tcPr>
            <w:tcW w:type="dxa" w:w="3888"/>
            <w:shd w:fill="FFFFFF"/>
            <w:tcMar>
              <w:top w:w="50" w:type="dxa"/>
              <w:bottom w:w="50" w:type="dxa"/>
              <w:left w:w="80" w:type="dxa"/>
              <w:right w:w="80" w:type="dxa"/>
            </w:tcMar>
          </w:tcPr>
          <w:p>
            <w:pPr>
              <w:spacing w:after="0"/>
            </w:pPr>
            <w:r>
              <w:rPr>
                <w:rFonts w:ascii="Calibri" w:hAnsi="Calibri"/>
                <w:color w:val="334155"/>
                <w:sz w:val="16"/>
              </w:rPr>
              <w:t>Community cultural gatherings, ceremony protocol support, sacred bundle teachings, language revitalization programs, kinship connection.</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/teams/21</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22</w:t>
            </w:r>
          </w:p>
        </w:tc>
        <w:tc>
          <w:tcPr>
            <w:tcW w:type="dxa" w:w="3168"/>
            <w:shd w:fill="FFFFFF"/>
            <w:tcMar>
              <w:top w:w="50" w:type="dxa"/>
              <w:bottom w:w="50" w:type="dxa"/>
              <w:left w:w="80" w:type="dxa"/>
              <w:right w:w="80" w:type="dxa"/>
            </w:tcMar>
          </w:tcPr>
          <w:p>
            <w:pPr>
              <w:spacing w:after="0"/>
            </w:pPr>
            <w:r>
              <w:rPr>
                <w:rFonts w:ascii="Calibri" w:hAnsi="Calibri"/>
                <w:b/>
                <w:color w:val="1E3A8A"/>
                <w:sz w:val="17"/>
              </w:rPr>
              <w:t>Post Majority (Young Adult) Team</w:t>
            </w:r>
          </w:p>
        </w:tc>
        <w:tc>
          <w:tcPr>
            <w:tcW w:type="dxa" w:w="3888"/>
            <w:shd w:fill="FFFFFF"/>
            <w:tcMar>
              <w:top w:w="50" w:type="dxa"/>
              <w:bottom w:w="50" w:type="dxa"/>
              <w:left w:w="80" w:type="dxa"/>
              <w:right w:w="80" w:type="dxa"/>
            </w:tcMar>
          </w:tcPr>
          <w:p>
            <w:pPr>
              <w:spacing w:after="0"/>
            </w:pPr>
            <w:r>
              <w:rPr>
                <w:rFonts w:ascii="Calibri" w:hAnsi="Calibri"/>
                <w:color w:val="334155"/>
                <w:sz w:val="16"/>
              </w:rPr>
              <w:t>Transition planning for youth aging out of care (ages 18-26), independent living allowance coordination, vocational training, housing support.</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/teams/22</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23</w:t>
            </w:r>
          </w:p>
        </w:tc>
        <w:tc>
          <w:tcPr>
            <w:tcW w:type="dxa" w:w="3168"/>
            <w:shd w:fill="FFFFFF"/>
            <w:tcMar>
              <w:top w:w="50" w:type="dxa"/>
              <w:bottom w:w="50" w:type="dxa"/>
              <w:left w:w="80" w:type="dxa"/>
              <w:right w:w="80" w:type="dxa"/>
            </w:tcMar>
          </w:tcPr>
          <w:p>
            <w:pPr>
              <w:spacing w:after="0"/>
            </w:pPr>
            <w:r>
              <w:rPr>
                <w:rFonts w:ascii="Calibri" w:hAnsi="Calibri"/>
                <w:b/>
                <w:color w:val="1E3A8A"/>
                <w:sz w:val="17"/>
              </w:rPr>
              <w:t>Office Coordination &amp; Facilities Team</w:t>
            </w:r>
          </w:p>
        </w:tc>
        <w:tc>
          <w:tcPr>
            <w:tcW w:type="dxa" w:w="3888"/>
            <w:shd w:fill="FFFFFF"/>
            <w:tcMar>
              <w:top w:w="50" w:type="dxa"/>
              <w:bottom w:w="50" w:type="dxa"/>
              <w:left w:w="80" w:type="dxa"/>
              <w:right w:w="80" w:type="dxa"/>
            </w:tcMar>
          </w:tcPr>
          <w:p>
            <w:pPr>
              <w:spacing w:after="0"/>
            </w:pPr>
            <w:r>
              <w:rPr>
                <w:rFonts w:ascii="Calibri" w:hAnsi="Calibri"/>
                <w:color w:val="334155"/>
                <w:sz w:val="16"/>
              </w:rPr>
              <w:t>Centralized operational requests triage, agency vehicle advance reservations, physical key custody tracking, conference room bookings, office supplies.</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/teams/23</w:t>
            </w:r>
          </w:p>
        </w:tc>
      </w:tr>
      <w:tr>
        <w:tc>
          <w:tcPr>
            <w:tcW w:type="dxa" w:w="720"/>
            <w:shd w:fill="F8FAFC"/>
            <w:tcMar>
              <w:top w:w="50" w:type="dxa"/>
              <w:bottom w:w="50" w:type="dxa"/>
              <w:left w:w="80" w:type="dxa"/>
              <w:right w:w="80" w:type="dxa"/>
            </w:tcMar>
          </w:tcPr>
          <w:p>
            <w:pPr>
              <w:spacing w:after="0"/>
            </w:pPr>
            <w:r>
              <w:rPr>
                <w:rFonts w:ascii="Calibri" w:hAnsi="Calibri"/>
                <w:color w:val="0F172A"/>
                <w:sz w:val="17"/>
              </w:rPr>
              <w:t>24</w:t>
            </w:r>
          </w:p>
        </w:tc>
        <w:tc>
          <w:tcPr>
            <w:tcW w:type="dxa" w:w="3168"/>
            <w:shd w:fill="FFFFFF"/>
            <w:tcMar>
              <w:top w:w="50" w:type="dxa"/>
              <w:bottom w:w="50" w:type="dxa"/>
              <w:left w:w="80" w:type="dxa"/>
              <w:right w:w="80" w:type="dxa"/>
            </w:tcMar>
          </w:tcPr>
          <w:p>
            <w:pPr>
              <w:spacing w:after="0"/>
            </w:pPr>
            <w:r>
              <w:rPr>
                <w:rFonts w:ascii="Calibri" w:hAnsi="Calibri"/>
                <w:b/>
                <w:color w:val="1E3A8A"/>
                <w:sz w:val="17"/>
              </w:rPr>
              <w:t>Front Desk / First Impression Team</w:t>
            </w:r>
          </w:p>
        </w:tc>
        <w:tc>
          <w:tcPr>
            <w:tcW w:type="dxa" w:w="3888"/>
            <w:shd w:fill="FFFFFF"/>
            <w:tcMar>
              <w:top w:w="50" w:type="dxa"/>
              <w:bottom w:w="50" w:type="dxa"/>
              <w:left w:w="80" w:type="dxa"/>
              <w:right w:w="80" w:type="dxa"/>
            </w:tcMar>
          </w:tcPr>
          <w:p>
            <w:pPr>
              <w:spacing w:after="0"/>
            </w:pPr>
            <w:r>
              <w:rPr>
                <w:rFonts w:ascii="Calibri" w:hAnsi="Calibri"/>
                <w:color w:val="334155"/>
                <w:sz w:val="16"/>
              </w:rPr>
              <w:t>Public front-door inquiry reception, Google Forms intake processing, returning-caller lookup, visitor logging, departmental inquiry routing.</w:t>
            </w:r>
          </w:p>
        </w:tc>
        <w:tc>
          <w:tcPr>
            <w:tcW w:type="dxa" w:w="2160"/>
            <w:shd w:fill="F8FAFC"/>
            <w:tcMar>
              <w:top w:w="50" w:type="dxa"/>
              <w:bottom w:w="50" w:type="dxa"/>
              <w:left w:w="80" w:type="dxa"/>
              <w:right w:w="80" w:type="dxa"/>
            </w:tcMar>
          </w:tcPr>
          <w:p>
            <w:pPr>
              <w:spacing w:after="0"/>
            </w:pPr>
            <w:r>
              <w:rPr>
                <w:rFonts w:ascii="Calibri" w:hAnsi="Calibri"/>
                <w:b/>
                <w:color w:val="881337"/>
                <w:sz w:val="16"/>
              </w:rPr>
              <w:t>/teams/24</w:t>
            </w:r>
          </w:p>
        </w:tc>
      </w:tr>
    </w:tbl>
    <w:p>
      <w:pPr>
        <w:spacing w:after="120"/>
      </w:pPr>
    </w:p>
    <w:p>
      <w:pPr>
        <w:keepNext/>
        <w:spacing w:before="240" w:after="80"/>
      </w:pPr>
      <w:r>
        <w:rPr>
          <w:rFonts w:ascii="Calibri" w:hAnsi="Calibri"/>
          <w:b/>
          <w:color w:val="881337"/>
          <w:sz w:val="24"/>
        </w:rPr>
        <w:t>17 Canonical Agency Departments (System Registry)</w:t>
      </w:r>
    </w:p>
    <w:p>
      <w:pPr>
        <w:spacing w:before="0" w:after="80" w:line="276" w:lineRule="auto"/>
      </w:pPr>
      <w:r>
        <w:rPr>
          <w:rFonts w:ascii="Calibri" w:hAnsi="Calibri"/>
          <w:color w:val="334155"/>
          <w:sz w:val="19"/>
        </w:rPr>
        <w:t>The backend platform establishes 17 canonical administrative departments against which all staff members, operational requests, and supervisory reporting structures are anchored:</w:t>
      </w:r>
    </w:p>
    <w:p>
      <w:pPr>
        <w:pStyle w:val="ListBullet"/>
        <w:spacing w:before="0" w:after="50" w:line="276" w:lineRule="auto"/>
      </w:pPr>
      <w:r>
        <w:rPr>
          <w:rFonts w:ascii="Calibri" w:hAnsi="Calibri"/>
          <w:b/>
          <w:color w:val="0F172A"/>
          <w:sz w:val="19"/>
        </w:rPr>
        <w:t>Resource Team (Core Department):</w:t>
      </w:r>
      <w:r>
        <w:rPr>
          <w:rFonts w:ascii="Calibri" w:hAnsi="Calibri"/>
          <w:color w:val="334155"/>
          <w:sz w:val="19"/>
        </w:rPr>
        <w:t xml:space="preserve"> Kinship &amp; foster caregiver recruitment, homestudy assessment, customary care licensing, placement matching.</w:t>
      </w:r>
    </w:p>
    <w:p>
      <w:pPr>
        <w:pStyle w:val="ListBullet"/>
        <w:spacing w:before="0" w:after="50" w:line="276" w:lineRule="auto"/>
      </w:pPr>
      <w:r>
        <w:rPr>
          <w:rFonts w:ascii="Calibri" w:hAnsi="Calibri"/>
          <w:b/>
          <w:color w:val="0F172A"/>
          <w:sz w:val="19"/>
        </w:rPr>
        <w:t>Growing Up Well (Protection Services) (Core Department):</w:t>
      </w:r>
      <w:r>
        <w:rPr>
          <w:rFonts w:ascii="Calibri" w:hAnsi="Calibri"/>
          <w:color w:val="334155"/>
          <w:sz w:val="19"/>
        </w:rPr>
        <w:t xml:space="preserve"> Mandated child protection investigations, safety planning, court proceedings, intensive family intervention.</w:t>
      </w:r>
    </w:p>
    <w:p>
      <w:pPr>
        <w:pStyle w:val="ListBullet"/>
        <w:spacing w:before="0" w:after="50" w:line="276" w:lineRule="auto"/>
      </w:pPr>
      <w:r>
        <w:rPr>
          <w:rFonts w:ascii="Calibri" w:hAnsi="Calibri"/>
          <w:b/>
          <w:color w:val="0F172A"/>
          <w:sz w:val="19"/>
        </w:rPr>
        <w:t>Enhancement &amp; Preservation (Prevention Services) (Core Department):</w:t>
      </w:r>
      <w:r>
        <w:rPr>
          <w:rFonts w:ascii="Calibri" w:hAnsi="Calibri"/>
          <w:color w:val="334155"/>
          <w:sz w:val="19"/>
        </w:rPr>
        <w:t xml:space="preserve"> Early family wellness intervention, non-mandated community supports, traditional parenting programs.</w:t>
      </w:r>
    </w:p>
    <w:p>
      <w:pPr>
        <w:pStyle w:val="ListBullet"/>
        <w:spacing w:before="0" w:after="50" w:line="276" w:lineRule="auto"/>
      </w:pPr>
      <w:r>
        <w:rPr>
          <w:rFonts w:ascii="Calibri" w:hAnsi="Calibri"/>
          <w:b/>
          <w:color w:val="0F172A"/>
          <w:sz w:val="19"/>
        </w:rPr>
        <w:t>Post-Majority (Young Adults) (Core Department):</w:t>
      </w:r>
      <w:r>
        <w:rPr>
          <w:rFonts w:ascii="Calibri" w:hAnsi="Calibri"/>
          <w:color w:val="334155"/>
          <w:sz w:val="19"/>
        </w:rPr>
        <w:t xml:space="preserve"> Comprehensive transition support, housing stipends, life skills, and education guidance for youth aged 18-26.</w:t>
      </w:r>
    </w:p>
    <w:p>
      <w:pPr>
        <w:pStyle w:val="ListBullet"/>
        <w:spacing w:before="0" w:after="50" w:line="276" w:lineRule="auto"/>
      </w:pPr>
      <w:r>
        <w:rPr>
          <w:rFonts w:ascii="Calibri" w:hAnsi="Calibri"/>
          <w:b/>
          <w:color w:val="0F172A"/>
          <w:sz w:val="19"/>
        </w:rPr>
        <w:t>Culture &amp; Traditional Healing (Core Department):</w:t>
      </w:r>
      <w:r>
        <w:rPr>
          <w:rFonts w:ascii="Calibri" w:hAnsi="Calibri"/>
          <w:color w:val="334155"/>
          <w:sz w:val="19"/>
        </w:rPr>
        <w:t xml:space="preserve"> Ceremonial coordination, Elder consultations, land-based camps, Cree &amp; Saulteaux language preservation.</w:t>
      </w:r>
    </w:p>
    <w:p>
      <w:pPr>
        <w:pStyle w:val="ListBullet"/>
        <w:spacing w:before="0" w:after="50" w:line="276" w:lineRule="auto"/>
      </w:pPr>
      <w:r>
        <w:rPr>
          <w:rFonts w:ascii="Calibri" w:hAnsi="Calibri"/>
          <w:b/>
          <w:color w:val="0F172A"/>
          <w:sz w:val="19"/>
        </w:rPr>
        <w:t>Early Learning / Daycare (Core Department):</w:t>
      </w:r>
      <w:r>
        <w:rPr>
          <w:rFonts w:ascii="Calibri" w:hAnsi="Calibri"/>
          <w:color w:val="334155"/>
          <w:sz w:val="19"/>
        </w:rPr>
        <w:t xml:space="preserve"> Early childhood development programs, daycare operations, child wellness monitoring.</w:t>
      </w:r>
    </w:p>
    <w:p>
      <w:pPr>
        <w:pStyle w:val="ListBullet"/>
        <w:spacing w:before="0" w:after="50" w:line="276" w:lineRule="auto"/>
      </w:pPr>
      <w:r>
        <w:rPr>
          <w:rFonts w:ascii="Calibri" w:hAnsi="Calibri"/>
          <w:b/>
          <w:color w:val="0F172A"/>
          <w:sz w:val="19"/>
        </w:rPr>
        <w:t>Sacred Wolf Lodge (Core Department):</w:t>
      </w:r>
      <w:r>
        <w:rPr>
          <w:rFonts w:ascii="Calibri" w:hAnsi="Calibri"/>
          <w:color w:val="334155"/>
          <w:sz w:val="19"/>
        </w:rPr>
        <w:t xml:space="preserve"> Residential family support facility, life skills coaching, cultural teachings, family stabilization.</w:t>
      </w:r>
    </w:p>
    <w:p>
      <w:pPr>
        <w:pStyle w:val="ListBullet"/>
        <w:spacing w:before="0" w:after="50" w:line="276" w:lineRule="auto"/>
      </w:pPr>
      <w:r>
        <w:rPr>
          <w:rFonts w:ascii="Calibri" w:hAnsi="Calibri"/>
          <w:b/>
          <w:color w:val="0F172A"/>
          <w:sz w:val="19"/>
        </w:rPr>
        <w:t>Policy &amp; Data (Administrative Department):</w:t>
      </w:r>
      <w:r>
        <w:rPr>
          <w:rFonts w:ascii="Calibri" w:hAnsi="Calibri"/>
          <w:color w:val="334155"/>
          <w:sz w:val="19"/>
        </w:rPr>
        <w:t xml:space="preserve"> Miyo Pimatisowin Act regulatory policy, Indigenous data sovereignty governance, statutory reporting.</w:t>
      </w:r>
    </w:p>
    <w:p>
      <w:pPr>
        <w:pStyle w:val="ListBullet"/>
        <w:spacing w:before="0" w:after="50" w:line="276" w:lineRule="auto"/>
      </w:pPr>
      <w:r>
        <w:rPr>
          <w:rFonts w:ascii="Calibri" w:hAnsi="Calibri"/>
          <w:b/>
          <w:color w:val="0F172A"/>
          <w:sz w:val="19"/>
        </w:rPr>
        <w:t>Finance &amp; Administration (Administrative Department):</w:t>
      </w:r>
      <w:r>
        <w:rPr>
          <w:rFonts w:ascii="Calibri" w:hAnsi="Calibri"/>
          <w:color w:val="334155"/>
          <w:sz w:val="19"/>
        </w:rPr>
        <w:t xml:space="preserve"> Budget allocation, per diem rates, purchase orders, per diem invoices, audit ledger tracking.</w:t>
      </w:r>
    </w:p>
    <w:p>
      <w:pPr>
        <w:pStyle w:val="ListBullet"/>
        <w:spacing w:before="0" w:after="50" w:line="276" w:lineRule="auto"/>
      </w:pPr>
      <w:r>
        <w:rPr>
          <w:rFonts w:ascii="Calibri" w:hAnsi="Calibri"/>
          <w:b/>
          <w:color w:val="0F172A"/>
          <w:sz w:val="19"/>
        </w:rPr>
        <w:t>Human Resources (Administrative Department):</w:t>
      </w:r>
      <w:r>
        <w:rPr>
          <w:rFonts w:ascii="Calibri" w:hAnsi="Calibri"/>
          <w:color w:val="334155"/>
          <w:sz w:val="19"/>
        </w:rPr>
        <w:t xml:space="preserve"> Staff recruitment, employee personnel records, licensing credentials, CPR/First Aid compliance, training.</w:t>
      </w:r>
    </w:p>
    <w:p>
      <w:pPr>
        <w:pStyle w:val="ListBullet"/>
        <w:spacing w:before="0" w:after="50" w:line="276" w:lineRule="auto"/>
      </w:pPr>
      <w:r>
        <w:rPr>
          <w:rFonts w:ascii="Calibri" w:hAnsi="Calibri"/>
          <w:b/>
          <w:color w:val="0F172A"/>
          <w:sz w:val="19"/>
        </w:rPr>
        <w:t>Operations &amp; Facilities (Operations Department):</w:t>
      </w:r>
      <w:r>
        <w:rPr>
          <w:rFonts w:ascii="Calibri" w:hAnsi="Calibri"/>
          <w:color w:val="334155"/>
          <w:sz w:val="19"/>
        </w:rPr>
        <w:t xml:space="preserve"> Physical facilities, maintenance work orders, room reservations, office supplies, vehicle fleet coordination.</w:t>
      </w:r>
    </w:p>
    <w:p>
      <w:pPr>
        <w:pStyle w:val="ListBullet"/>
        <w:spacing w:before="0" w:after="50" w:line="276" w:lineRule="auto"/>
      </w:pPr>
      <w:r>
        <w:rPr>
          <w:rFonts w:ascii="Calibri" w:hAnsi="Calibri"/>
          <w:b/>
          <w:color w:val="0F172A"/>
          <w:sz w:val="19"/>
        </w:rPr>
        <w:t>Front Desk / First Impression (Public Reception Department):</w:t>
      </w:r>
      <w:r>
        <w:rPr>
          <w:rFonts w:ascii="Calibri" w:hAnsi="Calibri"/>
          <w:color w:val="334155"/>
          <w:sz w:val="19"/>
        </w:rPr>
        <w:t xml:space="preserve"> Front-door community reception, Google Forms intake processing, visitor logging, and inquiry triage.</w:t>
      </w:r>
    </w:p>
    <w:p>
      <w:pPr>
        <w:pStyle w:val="ListBullet"/>
        <w:spacing w:before="0" w:after="50" w:line="276" w:lineRule="auto"/>
      </w:pPr>
      <w:r>
        <w:rPr>
          <w:rFonts w:ascii="Calibri" w:hAnsi="Calibri"/>
          <w:b/>
          <w:color w:val="0F172A"/>
          <w:sz w:val="19"/>
        </w:rPr>
        <w:t>Intake &amp; Referrals (Core Department):</w:t>
      </w:r>
      <w:r>
        <w:rPr>
          <w:rFonts w:ascii="Calibri" w:hAnsi="Calibri"/>
          <w:color w:val="334155"/>
          <w:sz w:val="19"/>
        </w:rPr>
        <w:t xml:space="preserve"> Public and agency referral intake, initial screening, safety investigations, emergency response.</w:t>
      </w:r>
    </w:p>
    <w:p>
      <w:pPr>
        <w:pStyle w:val="ListBullet"/>
        <w:spacing w:before="0" w:after="50" w:line="276" w:lineRule="auto"/>
      </w:pPr>
      <w:r>
        <w:rPr>
          <w:rFonts w:ascii="Calibri" w:hAnsi="Calibri"/>
          <w:b/>
          <w:color w:val="0F172A"/>
          <w:sz w:val="19"/>
        </w:rPr>
        <w:t>Housing (Home Fire) (Operations Department):</w:t>
      </w:r>
      <w:r>
        <w:rPr>
          <w:rFonts w:ascii="Calibri" w:hAnsi="Calibri"/>
          <w:color w:val="334155"/>
          <w:sz w:val="19"/>
        </w:rPr>
        <w:t xml:space="preserve"> Emergency shelter beds, supportive transitional housing units, housing advocacy.</w:t>
      </w:r>
    </w:p>
    <w:p>
      <w:pPr>
        <w:pStyle w:val="ListBullet"/>
        <w:spacing w:before="0" w:after="50" w:line="276" w:lineRule="auto"/>
      </w:pPr>
      <w:r>
        <w:rPr>
          <w:rFonts w:ascii="Calibri" w:hAnsi="Calibri"/>
          <w:b/>
          <w:color w:val="0F172A"/>
          <w:sz w:val="19"/>
        </w:rPr>
        <w:t>IT &amp; Systems (Technical Department):</w:t>
      </w:r>
      <w:r>
        <w:rPr>
          <w:rFonts w:ascii="Calibri" w:hAnsi="Calibri"/>
          <w:color w:val="334155"/>
          <w:sz w:val="19"/>
        </w:rPr>
        <w:t xml:space="preserve"> Platform infrastructure, identity management, cybersecurity, IT hardware asset tracking.</w:t>
      </w:r>
    </w:p>
    <w:p>
      <w:pPr>
        <w:pStyle w:val="ListBullet"/>
        <w:spacing w:before="0" w:after="50" w:line="276" w:lineRule="auto"/>
      </w:pPr>
      <w:r>
        <w:rPr>
          <w:rFonts w:ascii="Calibri" w:hAnsi="Calibri"/>
          <w:b/>
          <w:color w:val="0F172A"/>
          <w:sz w:val="19"/>
        </w:rPr>
        <w:t>Communications (Support Department):</w:t>
      </w:r>
      <w:r>
        <w:rPr>
          <w:rFonts w:ascii="Calibri" w:hAnsi="Calibri"/>
          <w:color w:val="334155"/>
          <w:sz w:val="19"/>
        </w:rPr>
        <w:t xml:space="preserve"> Community outreach, public newsletters, press statements, digital announcements.</w:t>
      </w:r>
    </w:p>
    <w:p>
      <w:pPr>
        <w:pStyle w:val="ListBullet"/>
        <w:spacing w:before="0" w:after="50" w:line="276" w:lineRule="auto"/>
      </w:pPr>
      <w:r>
        <w:rPr>
          <w:rFonts w:ascii="Calibri" w:hAnsi="Calibri"/>
          <w:b/>
          <w:color w:val="0F172A"/>
          <w:sz w:val="19"/>
        </w:rPr>
        <w:t>Governance &amp; Executive Leadership (Governance Department):</w:t>
      </w:r>
      <w:r>
        <w:rPr>
          <w:rFonts w:ascii="Calibri" w:hAnsi="Calibri"/>
          <w:color w:val="334155"/>
          <w:sz w:val="19"/>
        </w:rPr>
        <w:t xml:space="preserve"> Chief Executive Officer, Executive Director, and Board of Governors strategic and legal oversight.</w:t>
      </w:r>
    </w:p>
    <w:p>
      <w:pPr>
        <w:keepNext/>
        <w:spacing w:before="320" w:after="120"/>
      </w:pPr>
      <w:r>
        <w:rPr>
          <w:rFonts w:ascii="Calibri" w:hAnsi="Calibri"/>
          <w:b/>
          <w:color w:val="1E3A8A"/>
          <w:sz w:val="28"/>
        </w:rPr>
        <w:t>4. Complete Staff Role Representation by Team</w:t>
      </w:r>
    </w:p>
    <w:p>
      <w:pPr>
        <w:spacing w:before="0" w:after="80" w:line="276" w:lineRule="auto"/>
      </w:pPr>
      <w:r>
        <w:rPr>
          <w:rFonts w:ascii="Calibri" w:hAnsi="Calibri"/>
          <w:color w:val="334155"/>
          <w:sz w:val="19"/>
        </w:rPr>
        <w:t>CRBCL enforces a capability-based Role-Based Access Control (RBAC) architecture spanning 19 authoritative staff roles. Each role represents a precise combination of granular permissions, ensuring strict separation of powers between operational casework, supervisory oversight, executive governance, and technical administration.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1440"/>
        <w:gridCol w:w="3888"/>
        <w:gridCol w:w="2016"/>
      </w:tblGrid>
      <w:tr>
        <w:tc>
          <w:tcPr>
            <w:tcW w:type="dxa" w:w="2484"/>
            <w:shd w:fill="1E3A8A"/>
            <w:tcMar>
              <w:top w:w="80" w:type="dxa"/>
              <w:bottom w:w="80" w:type="dxa"/>
              <w:left w:w="100" w:type="dxa"/>
              <w:right w:w="100" w:type="dxa"/>
            </w:tcMar>
          </w:tcPr>
          <w:p>
            <w:pPr>
              <w:spacing w:after="0"/>
            </w:pPr>
            <w:r>
              <w:rPr>
                <w:rFonts w:ascii="Calibri" w:hAnsi="Calibri"/>
                <w:b/>
                <w:color w:val="FFFFFF"/>
                <w:sz w:val="18"/>
              </w:rPr>
              <w:t>Staff Role Title</w:t>
            </w:r>
          </w:p>
        </w:tc>
        <w:tc>
          <w:tcPr>
            <w:tcW w:type="dxa" w:w="2484"/>
            <w:shd w:fill="1E3A8A"/>
            <w:tcMar>
              <w:top w:w="80" w:type="dxa"/>
              <w:bottom w:w="80" w:type="dxa"/>
              <w:left w:w="100" w:type="dxa"/>
              <w:right w:w="100" w:type="dxa"/>
            </w:tcMar>
          </w:tcPr>
          <w:p>
            <w:pPr>
              <w:spacing w:after="0"/>
            </w:pPr>
            <w:r>
              <w:rPr>
                <w:rFonts w:ascii="Calibri" w:hAnsi="Calibri"/>
                <w:b/>
                <w:color w:val="FFFFFF"/>
                <w:sz w:val="18"/>
              </w:rPr>
              <w:t>System Key</w:t>
            </w:r>
          </w:p>
        </w:tc>
        <w:tc>
          <w:tcPr>
            <w:tcW w:type="dxa" w:w="2484"/>
            <w:shd w:fill="1E3A8A"/>
            <w:tcMar>
              <w:top w:w="80" w:type="dxa"/>
              <w:bottom w:w="80" w:type="dxa"/>
              <w:left w:w="100" w:type="dxa"/>
              <w:right w:w="100" w:type="dxa"/>
            </w:tcMar>
          </w:tcPr>
          <w:p>
            <w:pPr>
              <w:spacing w:after="0"/>
            </w:pPr>
            <w:r>
              <w:rPr>
                <w:rFonts w:ascii="Calibri" w:hAnsi="Calibri"/>
                <w:b/>
                <w:color w:val="FFFFFF"/>
                <w:sz w:val="18"/>
              </w:rPr>
              <w:t>Operational Mandate &amp; Authority</w:t>
            </w:r>
          </w:p>
        </w:tc>
        <w:tc>
          <w:tcPr>
            <w:tcW w:type="dxa" w:w="2484"/>
            <w:shd w:fill="1E3A8A"/>
            <w:tcMar>
              <w:top w:w="80" w:type="dxa"/>
              <w:bottom w:w="80" w:type="dxa"/>
              <w:left w:w="100" w:type="dxa"/>
              <w:right w:w="100" w:type="dxa"/>
            </w:tcMar>
          </w:tcPr>
          <w:p>
            <w:pPr>
              <w:spacing w:after="0"/>
            </w:pPr>
            <w:r>
              <w:rPr>
                <w:rFonts w:ascii="Calibri" w:hAnsi="Calibri"/>
                <w:b/>
                <w:color w:val="FFFFFF"/>
                <w:sz w:val="18"/>
              </w:rPr>
              <w:t>Governance Tier</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Caseworker</w:t>
            </w:r>
          </w:p>
        </w:tc>
        <w:tc>
          <w:tcPr>
            <w:tcW w:type="dxa" w:w="1440"/>
            <w:shd w:fill="FFFFFF"/>
            <w:tcMar>
              <w:top w:w="50" w:type="dxa"/>
              <w:bottom w:w="50" w:type="dxa"/>
              <w:left w:w="80" w:type="dxa"/>
              <w:right w:w="80" w:type="dxa"/>
            </w:tcMar>
          </w:tcPr>
          <w:p>
            <w:pPr>
              <w:spacing w:after="0"/>
            </w:pPr>
            <w:r>
              <w:rPr>
                <w:rFonts w:ascii="Calibri" w:hAnsi="Calibri"/>
                <w:color w:val="64748B"/>
                <w:sz w:val="16"/>
              </w:rPr>
              <w:t>caseworker</w:t>
            </w:r>
          </w:p>
        </w:tc>
        <w:tc>
          <w:tcPr>
            <w:tcW w:type="dxa" w:w="3888"/>
            <w:shd w:fill="FFFFFF"/>
            <w:tcMar>
              <w:top w:w="50" w:type="dxa"/>
              <w:bottom w:w="50" w:type="dxa"/>
              <w:left w:w="80" w:type="dxa"/>
              <w:right w:w="80" w:type="dxa"/>
            </w:tcMar>
          </w:tcPr>
          <w:p>
            <w:pPr>
              <w:spacing w:after="0"/>
            </w:pPr>
            <w:r>
              <w:rPr>
                <w:rFonts w:ascii="Calibri" w:hAnsi="Calibri"/>
                <w:color w:val="334155"/>
                <w:sz w:val="16"/>
              </w:rPr>
              <w:t>Direct client case management, child safety assessments, safety plans, case note authoring, speech-to-text dictation.</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Supervisor</w:t>
            </w:r>
          </w:p>
        </w:tc>
        <w:tc>
          <w:tcPr>
            <w:tcW w:type="dxa" w:w="1440"/>
            <w:shd w:fill="FFFFFF"/>
            <w:tcMar>
              <w:top w:w="50" w:type="dxa"/>
              <w:bottom w:w="50" w:type="dxa"/>
              <w:left w:w="80" w:type="dxa"/>
              <w:right w:w="80" w:type="dxa"/>
            </w:tcMar>
          </w:tcPr>
          <w:p>
            <w:pPr>
              <w:spacing w:after="0"/>
            </w:pPr>
            <w:r>
              <w:rPr>
                <w:rFonts w:ascii="Calibri" w:hAnsi="Calibri"/>
                <w:color w:val="64748B"/>
                <w:sz w:val="16"/>
              </w:rPr>
              <w:t>supervisor</w:t>
            </w:r>
          </w:p>
        </w:tc>
        <w:tc>
          <w:tcPr>
            <w:tcW w:type="dxa" w:w="3888"/>
            <w:shd w:fill="FFFFFF"/>
            <w:tcMar>
              <w:top w:w="50" w:type="dxa"/>
              <w:bottom w:w="50" w:type="dxa"/>
              <w:left w:w="80" w:type="dxa"/>
              <w:right w:w="80" w:type="dxa"/>
            </w:tcMar>
          </w:tcPr>
          <w:p>
            <w:pPr>
              <w:spacing w:after="0"/>
            </w:pPr>
            <w:r>
              <w:rPr>
                <w:rFonts w:ascii="Calibri" w:hAnsi="Calibri"/>
                <w:color w:val="334155"/>
                <w:sz w:val="16"/>
              </w:rPr>
              <w:t>Reviewing and approving child welfare intakes, case plans, safety assessments, and casework actions.</w:t>
            </w:r>
          </w:p>
        </w:tc>
        <w:tc>
          <w:tcPr>
            <w:tcW w:type="dxa" w:w="2016"/>
            <w:shd w:fill="F8FAFC"/>
            <w:tcMar>
              <w:top w:w="50" w:type="dxa"/>
              <w:bottom w:w="50" w:type="dxa"/>
              <w:left w:w="80" w:type="dxa"/>
              <w:right w:w="80" w:type="dxa"/>
            </w:tcMar>
          </w:tcPr>
          <w:p>
            <w:pPr>
              <w:spacing w:after="0"/>
            </w:pPr>
            <w:r>
              <w:rPr>
                <w:rFonts w:ascii="Calibri" w:hAnsi="Calibri"/>
                <w:b/>
                <w:color w:val="881337"/>
                <w:sz w:val="16"/>
              </w:rPr>
              <w:t>Supervisory</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Director / Manager</w:t>
            </w:r>
          </w:p>
        </w:tc>
        <w:tc>
          <w:tcPr>
            <w:tcW w:type="dxa" w:w="1440"/>
            <w:shd w:fill="FFFFFF"/>
            <w:tcMar>
              <w:top w:w="50" w:type="dxa"/>
              <w:bottom w:w="50" w:type="dxa"/>
              <w:left w:w="80" w:type="dxa"/>
              <w:right w:w="80" w:type="dxa"/>
            </w:tcMar>
          </w:tcPr>
          <w:p>
            <w:pPr>
              <w:spacing w:after="0"/>
            </w:pPr>
            <w:r>
              <w:rPr>
                <w:rFonts w:ascii="Calibri" w:hAnsi="Calibri"/>
                <w:color w:val="64748B"/>
                <w:sz w:val="16"/>
              </w:rPr>
              <w:t>director_manager</w:t>
            </w:r>
          </w:p>
        </w:tc>
        <w:tc>
          <w:tcPr>
            <w:tcW w:type="dxa" w:w="3888"/>
            <w:shd w:fill="FFFFFF"/>
            <w:tcMar>
              <w:top w:w="50" w:type="dxa"/>
              <w:bottom w:w="50" w:type="dxa"/>
              <w:left w:w="80" w:type="dxa"/>
              <w:right w:w="80" w:type="dxa"/>
            </w:tcMar>
          </w:tcPr>
          <w:p>
            <w:pPr>
              <w:spacing w:after="0"/>
            </w:pPr>
            <w:r>
              <w:rPr>
                <w:rFonts w:ascii="Calibri" w:hAnsi="Calibri"/>
                <w:color w:val="334155"/>
                <w:sz w:val="16"/>
              </w:rPr>
              <w:t>Departmental operational leadership, service delivery oversight, operational escalations, and supervisory reviews.</w:t>
            </w:r>
          </w:p>
        </w:tc>
        <w:tc>
          <w:tcPr>
            <w:tcW w:type="dxa" w:w="2016"/>
            <w:shd w:fill="F8FAFC"/>
            <w:tcMar>
              <w:top w:w="50" w:type="dxa"/>
              <w:bottom w:w="50" w:type="dxa"/>
              <w:left w:w="80" w:type="dxa"/>
              <w:right w:w="80" w:type="dxa"/>
            </w:tcMar>
          </w:tcPr>
          <w:p>
            <w:pPr>
              <w:spacing w:after="0"/>
            </w:pPr>
            <w:r>
              <w:rPr>
                <w:rFonts w:ascii="Calibri" w:hAnsi="Calibri"/>
                <w:b/>
                <w:color w:val="881337"/>
                <w:sz w:val="16"/>
              </w:rPr>
              <w:t>Management</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Front Desk / First Impression</w:t>
            </w:r>
          </w:p>
        </w:tc>
        <w:tc>
          <w:tcPr>
            <w:tcW w:type="dxa" w:w="1440"/>
            <w:shd w:fill="FFFFFF"/>
            <w:tcMar>
              <w:top w:w="50" w:type="dxa"/>
              <w:bottom w:w="50" w:type="dxa"/>
              <w:left w:w="80" w:type="dxa"/>
              <w:right w:w="80" w:type="dxa"/>
            </w:tcMar>
          </w:tcPr>
          <w:p>
            <w:pPr>
              <w:spacing w:after="0"/>
            </w:pPr>
            <w:r>
              <w:rPr>
                <w:rFonts w:ascii="Calibri" w:hAnsi="Calibri"/>
                <w:color w:val="64748B"/>
                <w:sz w:val="16"/>
              </w:rPr>
              <w:t>front_desk</w:t>
            </w:r>
          </w:p>
        </w:tc>
        <w:tc>
          <w:tcPr>
            <w:tcW w:type="dxa" w:w="3888"/>
            <w:shd w:fill="FFFFFF"/>
            <w:tcMar>
              <w:top w:w="50" w:type="dxa"/>
              <w:bottom w:w="50" w:type="dxa"/>
              <w:left w:w="80" w:type="dxa"/>
              <w:right w:w="80" w:type="dxa"/>
            </w:tcMar>
          </w:tcPr>
          <w:p>
            <w:pPr>
              <w:spacing w:after="0"/>
            </w:pPr>
            <w:r>
              <w:rPr>
                <w:rFonts w:ascii="Calibri" w:hAnsi="Calibri"/>
                <w:color w:val="334155"/>
                <w:sz w:val="16"/>
              </w:rPr>
              <w:t>Community inquiry intake, Google Form ingestion triage, caller registration, visitor log, and referral routing.</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Office Coordinator</w:t>
            </w:r>
          </w:p>
        </w:tc>
        <w:tc>
          <w:tcPr>
            <w:tcW w:type="dxa" w:w="1440"/>
            <w:shd w:fill="FFFFFF"/>
            <w:tcMar>
              <w:top w:w="50" w:type="dxa"/>
              <w:bottom w:w="50" w:type="dxa"/>
              <w:left w:w="80" w:type="dxa"/>
              <w:right w:w="80" w:type="dxa"/>
            </w:tcMar>
          </w:tcPr>
          <w:p>
            <w:pPr>
              <w:spacing w:after="0"/>
            </w:pPr>
            <w:r>
              <w:rPr>
                <w:rFonts w:ascii="Calibri" w:hAnsi="Calibri"/>
                <w:color w:val="64748B"/>
                <w:sz w:val="16"/>
              </w:rPr>
              <w:t>office_coordinator</w:t>
            </w:r>
          </w:p>
        </w:tc>
        <w:tc>
          <w:tcPr>
            <w:tcW w:type="dxa" w:w="3888"/>
            <w:shd w:fill="FFFFFF"/>
            <w:tcMar>
              <w:top w:w="50" w:type="dxa"/>
              <w:bottom w:w="50" w:type="dxa"/>
              <w:left w:w="80" w:type="dxa"/>
              <w:right w:w="80" w:type="dxa"/>
            </w:tcMar>
          </w:tcPr>
          <w:p>
            <w:pPr>
              <w:spacing w:after="0"/>
            </w:pPr>
            <w:r>
              <w:rPr>
                <w:rFonts w:ascii="Calibri" w:hAnsi="Calibri"/>
                <w:color w:val="334155"/>
                <w:sz w:val="16"/>
              </w:rPr>
              <w:t>Centralized operational request triage, vehicle reservations, key custody tracking, room bookings, supply inventory.</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Navigator</w:t>
            </w:r>
          </w:p>
        </w:tc>
        <w:tc>
          <w:tcPr>
            <w:tcW w:type="dxa" w:w="1440"/>
            <w:shd w:fill="FFFFFF"/>
            <w:tcMar>
              <w:top w:w="50" w:type="dxa"/>
              <w:bottom w:w="50" w:type="dxa"/>
              <w:left w:w="80" w:type="dxa"/>
              <w:right w:w="80" w:type="dxa"/>
            </w:tcMar>
          </w:tcPr>
          <w:p>
            <w:pPr>
              <w:spacing w:after="0"/>
            </w:pPr>
            <w:r>
              <w:rPr>
                <w:rFonts w:ascii="Calibri" w:hAnsi="Calibri"/>
                <w:color w:val="64748B"/>
                <w:sz w:val="16"/>
              </w:rPr>
              <w:t>navigator</w:t>
            </w:r>
          </w:p>
        </w:tc>
        <w:tc>
          <w:tcPr>
            <w:tcW w:type="dxa" w:w="3888"/>
            <w:shd w:fill="FFFFFF"/>
            <w:tcMar>
              <w:top w:w="50" w:type="dxa"/>
              <w:bottom w:w="50" w:type="dxa"/>
              <w:left w:w="80" w:type="dxa"/>
              <w:right w:w="80" w:type="dxa"/>
            </w:tcMar>
          </w:tcPr>
          <w:p>
            <w:pPr>
              <w:spacing w:after="0"/>
            </w:pPr>
            <w:r>
              <w:rPr>
                <w:rFonts w:ascii="Calibri" w:hAnsi="Calibri"/>
                <w:color w:val="334155"/>
                <w:sz w:val="16"/>
              </w:rPr>
              <w:t>System navigation specialist, community referral reception, connecting families to tribal/provincial services.</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Resource Worker</w:t>
            </w:r>
          </w:p>
        </w:tc>
        <w:tc>
          <w:tcPr>
            <w:tcW w:type="dxa" w:w="1440"/>
            <w:shd w:fill="FFFFFF"/>
            <w:tcMar>
              <w:top w:w="50" w:type="dxa"/>
              <w:bottom w:w="50" w:type="dxa"/>
              <w:left w:w="80" w:type="dxa"/>
              <w:right w:w="80" w:type="dxa"/>
            </w:tcMar>
          </w:tcPr>
          <w:p>
            <w:pPr>
              <w:spacing w:after="0"/>
            </w:pPr>
            <w:r>
              <w:rPr>
                <w:rFonts w:ascii="Calibri" w:hAnsi="Calibri"/>
                <w:color w:val="64748B"/>
                <w:sz w:val="16"/>
              </w:rPr>
              <w:t>resource_worker</w:t>
            </w:r>
          </w:p>
        </w:tc>
        <w:tc>
          <w:tcPr>
            <w:tcW w:type="dxa" w:w="3888"/>
            <w:shd w:fill="FFFFFF"/>
            <w:tcMar>
              <w:top w:w="50" w:type="dxa"/>
              <w:bottom w:w="50" w:type="dxa"/>
              <w:left w:w="80" w:type="dxa"/>
              <w:right w:w="80" w:type="dxa"/>
            </w:tcMar>
          </w:tcPr>
          <w:p>
            <w:pPr>
              <w:spacing w:after="0"/>
            </w:pPr>
            <w:r>
              <w:rPr>
                <w:rFonts w:ascii="Calibri" w:hAnsi="Calibri"/>
                <w:color w:val="334155"/>
                <w:sz w:val="16"/>
              </w:rPr>
              <w:t>Kinship &amp; foster caregiver recruitment pipeline, applicant homestudies, customary care licensing compliance.</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Resource Supervisor</w:t>
            </w:r>
          </w:p>
        </w:tc>
        <w:tc>
          <w:tcPr>
            <w:tcW w:type="dxa" w:w="1440"/>
            <w:shd w:fill="FFFFFF"/>
            <w:tcMar>
              <w:top w:w="50" w:type="dxa"/>
              <w:bottom w:w="50" w:type="dxa"/>
              <w:left w:w="80" w:type="dxa"/>
              <w:right w:w="80" w:type="dxa"/>
            </w:tcMar>
          </w:tcPr>
          <w:p>
            <w:pPr>
              <w:spacing w:after="0"/>
            </w:pPr>
            <w:r>
              <w:rPr>
                <w:rFonts w:ascii="Calibri" w:hAnsi="Calibri"/>
                <w:color w:val="64748B"/>
                <w:sz w:val="16"/>
              </w:rPr>
              <w:t>resource_supervisor</w:t>
            </w:r>
          </w:p>
        </w:tc>
        <w:tc>
          <w:tcPr>
            <w:tcW w:type="dxa" w:w="3888"/>
            <w:shd w:fill="FFFFFF"/>
            <w:tcMar>
              <w:top w:w="50" w:type="dxa"/>
              <w:bottom w:w="50" w:type="dxa"/>
              <w:left w:w="80" w:type="dxa"/>
              <w:right w:w="80" w:type="dxa"/>
            </w:tcMar>
          </w:tcPr>
          <w:p>
            <w:pPr>
              <w:spacing w:after="0"/>
            </w:pPr>
            <w:r>
              <w:rPr>
                <w:rFonts w:ascii="Calibri" w:hAnsi="Calibri"/>
                <w:color w:val="334155"/>
                <w:sz w:val="16"/>
              </w:rPr>
              <w:t>Reviewing caregiver applications, approving homestudies, adjudicating background clearances.</w:t>
            </w:r>
          </w:p>
        </w:tc>
        <w:tc>
          <w:tcPr>
            <w:tcW w:type="dxa" w:w="2016"/>
            <w:shd w:fill="F8FAFC"/>
            <w:tcMar>
              <w:top w:w="50" w:type="dxa"/>
              <w:bottom w:w="50" w:type="dxa"/>
              <w:left w:w="80" w:type="dxa"/>
              <w:right w:w="80" w:type="dxa"/>
            </w:tcMar>
          </w:tcPr>
          <w:p>
            <w:pPr>
              <w:spacing w:after="0"/>
            </w:pPr>
            <w:r>
              <w:rPr>
                <w:rFonts w:ascii="Calibri" w:hAnsi="Calibri"/>
                <w:b/>
                <w:color w:val="881337"/>
                <w:sz w:val="16"/>
              </w:rPr>
              <w:t>Supervisory</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Resource Director</w:t>
            </w:r>
          </w:p>
        </w:tc>
        <w:tc>
          <w:tcPr>
            <w:tcW w:type="dxa" w:w="1440"/>
            <w:shd w:fill="FFFFFF"/>
            <w:tcMar>
              <w:top w:w="50" w:type="dxa"/>
              <w:bottom w:w="50" w:type="dxa"/>
              <w:left w:w="80" w:type="dxa"/>
              <w:right w:w="80" w:type="dxa"/>
            </w:tcMar>
          </w:tcPr>
          <w:p>
            <w:pPr>
              <w:spacing w:after="0"/>
            </w:pPr>
            <w:r>
              <w:rPr>
                <w:rFonts w:ascii="Calibri" w:hAnsi="Calibri"/>
                <w:color w:val="64748B"/>
                <w:sz w:val="16"/>
              </w:rPr>
              <w:t>resource_director</w:t>
            </w:r>
          </w:p>
        </w:tc>
        <w:tc>
          <w:tcPr>
            <w:tcW w:type="dxa" w:w="3888"/>
            <w:shd w:fill="FFFFFF"/>
            <w:tcMar>
              <w:top w:w="50" w:type="dxa"/>
              <w:bottom w:w="50" w:type="dxa"/>
              <w:left w:w="80" w:type="dxa"/>
              <w:right w:w="80" w:type="dxa"/>
            </w:tcMar>
          </w:tcPr>
          <w:p>
            <w:pPr>
              <w:spacing w:after="0"/>
            </w:pPr>
            <w:r>
              <w:rPr>
                <w:rFonts w:ascii="Calibri" w:hAnsi="Calibri"/>
                <w:color w:val="334155"/>
                <w:sz w:val="16"/>
              </w:rPr>
              <w:t>Resource Unit leadership, customary care licensing authority, agency-wide placement capacity governance.</w:t>
            </w:r>
          </w:p>
        </w:tc>
        <w:tc>
          <w:tcPr>
            <w:tcW w:type="dxa" w:w="2016"/>
            <w:shd w:fill="F8FAFC"/>
            <w:tcMar>
              <w:top w:w="50" w:type="dxa"/>
              <w:bottom w:w="50" w:type="dxa"/>
              <w:left w:w="80" w:type="dxa"/>
              <w:right w:w="80" w:type="dxa"/>
            </w:tcMar>
          </w:tcPr>
          <w:p>
            <w:pPr>
              <w:spacing w:after="0"/>
            </w:pPr>
            <w:r>
              <w:rPr>
                <w:rFonts w:ascii="Calibri" w:hAnsi="Calibri"/>
                <w:b/>
                <w:color w:val="881337"/>
                <w:sz w:val="16"/>
              </w:rPr>
              <w:t>Leadership</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Cultural Worker</w:t>
            </w:r>
          </w:p>
        </w:tc>
        <w:tc>
          <w:tcPr>
            <w:tcW w:type="dxa" w:w="1440"/>
            <w:shd w:fill="FFFFFF"/>
            <w:tcMar>
              <w:top w:w="50" w:type="dxa"/>
              <w:bottom w:w="50" w:type="dxa"/>
              <w:left w:w="80" w:type="dxa"/>
              <w:right w:w="80" w:type="dxa"/>
            </w:tcMar>
          </w:tcPr>
          <w:p>
            <w:pPr>
              <w:spacing w:after="0"/>
            </w:pPr>
            <w:r>
              <w:rPr>
                <w:rFonts w:ascii="Calibri" w:hAnsi="Calibri"/>
                <w:color w:val="64748B"/>
                <w:sz w:val="16"/>
              </w:rPr>
              <w:t>cultural_worker</w:t>
            </w:r>
          </w:p>
        </w:tc>
        <w:tc>
          <w:tcPr>
            <w:tcW w:type="dxa" w:w="3888"/>
            <w:shd w:fill="FFFFFF"/>
            <w:tcMar>
              <w:top w:w="50" w:type="dxa"/>
              <w:bottom w:w="50" w:type="dxa"/>
              <w:left w:w="80" w:type="dxa"/>
              <w:right w:w="80" w:type="dxa"/>
            </w:tcMar>
          </w:tcPr>
          <w:p>
            <w:pPr>
              <w:spacing w:after="0"/>
            </w:pPr>
            <w:r>
              <w:rPr>
                <w:rFonts w:ascii="Calibri" w:hAnsi="Calibri"/>
                <w:color w:val="334155"/>
                <w:sz w:val="16"/>
              </w:rPr>
              <w:t>Elder &amp; Knowledge Keeper support, ceremonial coordination, traditional teachings, cultural language lexicon.</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Clinical Staff</w:t>
            </w:r>
          </w:p>
        </w:tc>
        <w:tc>
          <w:tcPr>
            <w:tcW w:type="dxa" w:w="1440"/>
            <w:shd w:fill="FFFFFF"/>
            <w:tcMar>
              <w:top w:w="50" w:type="dxa"/>
              <w:bottom w:w="50" w:type="dxa"/>
              <w:left w:w="80" w:type="dxa"/>
              <w:right w:w="80" w:type="dxa"/>
            </w:tcMar>
          </w:tcPr>
          <w:p>
            <w:pPr>
              <w:spacing w:after="0"/>
            </w:pPr>
            <w:r>
              <w:rPr>
                <w:rFonts w:ascii="Calibri" w:hAnsi="Calibri"/>
                <w:color w:val="64748B"/>
                <w:sz w:val="16"/>
              </w:rPr>
              <w:t>clinical_staff</w:t>
            </w:r>
          </w:p>
        </w:tc>
        <w:tc>
          <w:tcPr>
            <w:tcW w:type="dxa" w:w="3888"/>
            <w:shd w:fill="FFFFFF"/>
            <w:tcMar>
              <w:top w:w="50" w:type="dxa"/>
              <w:bottom w:w="50" w:type="dxa"/>
              <w:left w:w="80" w:type="dxa"/>
              <w:right w:w="80" w:type="dxa"/>
            </w:tcMar>
          </w:tcPr>
          <w:p>
            <w:pPr>
              <w:spacing w:after="0"/>
            </w:pPr>
            <w:r>
              <w:rPr>
                <w:rFonts w:ascii="Calibri" w:hAnsi="Calibri"/>
                <w:color w:val="334155"/>
                <w:sz w:val="16"/>
              </w:rPr>
              <w:t>Licensed therapists and counsellors, clinical notes, therapeutic healing plans, restricted health data (HIPA).</w:t>
            </w:r>
          </w:p>
        </w:tc>
        <w:tc>
          <w:tcPr>
            <w:tcW w:type="dxa" w:w="2016"/>
            <w:shd w:fill="F8FAFC"/>
            <w:tcMar>
              <w:top w:w="50" w:type="dxa"/>
              <w:bottom w:w="50" w:type="dxa"/>
              <w:left w:w="80" w:type="dxa"/>
              <w:right w:w="80" w:type="dxa"/>
            </w:tcMar>
          </w:tcPr>
          <w:p>
            <w:pPr>
              <w:spacing w:after="0"/>
            </w:pPr>
            <w:r>
              <w:rPr>
                <w:rFonts w:ascii="Calibri" w:hAnsi="Calibri"/>
                <w:b/>
                <w:color w:val="881337"/>
                <w:sz w:val="16"/>
              </w:rPr>
              <w:t>Professional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Case Aide</w:t>
            </w:r>
          </w:p>
        </w:tc>
        <w:tc>
          <w:tcPr>
            <w:tcW w:type="dxa" w:w="1440"/>
            <w:shd w:fill="FFFFFF"/>
            <w:tcMar>
              <w:top w:w="50" w:type="dxa"/>
              <w:bottom w:w="50" w:type="dxa"/>
              <w:left w:w="80" w:type="dxa"/>
              <w:right w:w="80" w:type="dxa"/>
            </w:tcMar>
          </w:tcPr>
          <w:p>
            <w:pPr>
              <w:spacing w:after="0"/>
            </w:pPr>
            <w:r>
              <w:rPr>
                <w:rFonts w:ascii="Calibri" w:hAnsi="Calibri"/>
                <w:color w:val="64748B"/>
                <w:sz w:val="16"/>
              </w:rPr>
              <w:t>case_aide</w:t>
            </w:r>
          </w:p>
        </w:tc>
        <w:tc>
          <w:tcPr>
            <w:tcW w:type="dxa" w:w="3888"/>
            <w:shd w:fill="FFFFFF"/>
            <w:tcMar>
              <w:top w:w="50" w:type="dxa"/>
              <w:bottom w:w="50" w:type="dxa"/>
              <w:left w:w="80" w:type="dxa"/>
              <w:right w:w="80" w:type="dxa"/>
            </w:tcMar>
          </w:tcPr>
          <w:p>
            <w:pPr>
              <w:spacing w:after="0"/>
            </w:pPr>
            <w:r>
              <w:rPr>
                <w:rFonts w:ascii="Calibri" w:hAnsi="Calibri"/>
                <w:color w:val="334155"/>
                <w:sz w:val="16"/>
              </w:rPr>
              <w:t>Frontline casework support worker, client transport assistance, supervised family visit coordination.</w:t>
            </w:r>
          </w:p>
        </w:tc>
        <w:tc>
          <w:tcPr>
            <w:tcW w:type="dxa" w:w="2016"/>
            <w:shd w:fill="F8FAFC"/>
            <w:tcMar>
              <w:top w:w="50" w:type="dxa"/>
              <w:bottom w:w="50" w:type="dxa"/>
              <w:left w:w="80" w:type="dxa"/>
              <w:right w:w="80" w:type="dxa"/>
            </w:tcMar>
          </w:tcPr>
          <w:p>
            <w:pPr>
              <w:spacing w:after="0"/>
            </w:pPr>
            <w:r>
              <w:rPr>
                <w:rFonts w:ascii="Calibri" w:hAnsi="Calibri"/>
                <w:b/>
                <w:color w:val="881337"/>
                <w:sz w:val="16"/>
              </w:rPr>
              <w:t>Support</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Finance Staff</w:t>
            </w:r>
          </w:p>
        </w:tc>
        <w:tc>
          <w:tcPr>
            <w:tcW w:type="dxa" w:w="1440"/>
            <w:shd w:fill="FFFFFF"/>
            <w:tcMar>
              <w:top w:w="50" w:type="dxa"/>
              <w:bottom w:w="50" w:type="dxa"/>
              <w:left w:w="80" w:type="dxa"/>
              <w:right w:w="80" w:type="dxa"/>
            </w:tcMar>
          </w:tcPr>
          <w:p>
            <w:pPr>
              <w:spacing w:after="0"/>
            </w:pPr>
            <w:r>
              <w:rPr>
                <w:rFonts w:ascii="Calibri" w:hAnsi="Calibri"/>
                <w:color w:val="64748B"/>
                <w:sz w:val="16"/>
              </w:rPr>
              <w:t>finance_staff</w:t>
            </w:r>
          </w:p>
        </w:tc>
        <w:tc>
          <w:tcPr>
            <w:tcW w:type="dxa" w:w="3888"/>
            <w:shd w:fill="FFFFFF"/>
            <w:tcMar>
              <w:top w:w="50" w:type="dxa"/>
              <w:bottom w:w="50" w:type="dxa"/>
              <w:left w:w="80" w:type="dxa"/>
              <w:right w:w="80" w:type="dxa"/>
            </w:tcMar>
          </w:tcPr>
          <w:p>
            <w:pPr>
              <w:spacing w:after="0"/>
            </w:pPr>
            <w:r>
              <w:rPr>
                <w:rFonts w:ascii="Calibri" w:hAnsi="Calibri"/>
                <w:color w:val="334155"/>
                <w:sz w:val="16"/>
              </w:rPr>
              <w:t>Managing service purchase orders, per diem invoice generation, per diem rates, financial ledger tracking.</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HR Staff</w:t>
            </w:r>
          </w:p>
        </w:tc>
        <w:tc>
          <w:tcPr>
            <w:tcW w:type="dxa" w:w="1440"/>
            <w:shd w:fill="FFFFFF"/>
            <w:tcMar>
              <w:top w:w="50" w:type="dxa"/>
              <w:bottom w:w="50" w:type="dxa"/>
              <w:left w:w="80" w:type="dxa"/>
              <w:right w:w="80" w:type="dxa"/>
            </w:tcMar>
          </w:tcPr>
          <w:p>
            <w:pPr>
              <w:spacing w:after="0"/>
            </w:pPr>
            <w:r>
              <w:rPr>
                <w:rFonts w:ascii="Calibri" w:hAnsi="Calibri"/>
                <w:color w:val="64748B"/>
                <w:sz w:val="16"/>
              </w:rPr>
              <w:t>hr_staff</w:t>
            </w:r>
          </w:p>
        </w:tc>
        <w:tc>
          <w:tcPr>
            <w:tcW w:type="dxa" w:w="3888"/>
            <w:shd w:fill="FFFFFF"/>
            <w:tcMar>
              <w:top w:w="50" w:type="dxa"/>
              <w:bottom w:w="50" w:type="dxa"/>
              <w:left w:w="80" w:type="dxa"/>
              <w:right w:w="80" w:type="dxa"/>
            </w:tcMar>
          </w:tcPr>
          <w:p>
            <w:pPr>
              <w:spacing w:after="0"/>
            </w:pPr>
            <w:r>
              <w:rPr>
                <w:rFonts w:ascii="Calibri" w:hAnsi="Calibri"/>
                <w:color w:val="334155"/>
                <w:sz w:val="16"/>
              </w:rPr>
              <w:t>Personnel records, employee onboarding, licensing credentials, CPR/First Aid certification tracking.</w:t>
            </w:r>
          </w:p>
        </w:tc>
        <w:tc>
          <w:tcPr>
            <w:tcW w:type="dxa" w:w="2016"/>
            <w:shd w:fill="F8FAFC"/>
            <w:tcMar>
              <w:top w:w="50" w:type="dxa"/>
              <w:bottom w:w="50" w:type="dxa"/>
              <w:left w:w="80" w:type="dxa"/>
              <w:right w:w="80" w:type="dxa"/>
            </w:tcMar>
          </w:tcPr>
          <w:p>
            <w:pPr>
              <w:spacing w:after="0"/>
            </w:pPr>
            <w:r>
              <w:rPr>
                <w:rFonts w:ascii="Calibri" w:hAnsi="Calibri"/>
                <w:b/>
                <w:color w:val="881337"/>
                <w:sz w:val="16"/>
              </w:rPr>
              <w:t>Operational</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IT Administrator</w:t>
            </w:r>
          </w:p>
        </w:tc>
        <w:tc>
          <w:tcPr>
            <w:tcW w:type="dxa" w:w="1440"/>
            <w:shd w:fill="FFFFFF"/>
            <w:tcMar>
              <w:top w:w="50" w:type="dxa"/>
              <w:bottom w:w="50" w:type="dxa"/>
              <w:left w:w="80" w:type="dxa"/>
              <w:right w:w="80" w:type="dxa"/>
            </w:tcMar>
          </w:tcPr>
          <w:p>
            <w:pPr>
              <w:spacing w:after="0"/>
            </w:pPr>
            <w:r>
              <w:rPr>
                <w:rFonts w:ascii="Calibri" w:hAnsi="Calibri"/>
                <w:color w:val="64748B"/>
                <w:sz w:val="16"/>
              </w:rPr>
              <w:t>it_admin</w:t>
            </w:r>
          </w:p>
        </w:tc>
        <w:tc>
          <w:tcPr>
            <w:tcW w:type="dxa" w:w="3888"/>
            <w:shd w:fill="FFFFFF"/>
            <w:tcMar>
              <w:top w:w="50" w:type="dxa"/>
              <w:bottom w:w="50" w:type="dxa"/>
              <w:left w:w="80" w:type="dxa"/>
              <w:right w:w="80" w:type="dxa"/>
            </w:tcMar>
          </w:tcPr>
          <w:p>
            <w:pPr>
              <w:spacing w:after="0"/>
            </w:pPr>
            <w:r>
              <w:rPr>
                <w:rFonts w:ascii="Calibri" w:hAnsi="Calibri"/>
                <w:color w:val="334155"/>
                <w:sz w:val="16"/>
              </w:rPr>
              <w:t>Platform administration, user accounts, role approvals, Dashboard Control Centre, system configuration (Least Privilege).</w:t>
            </w:r>
          </w:p>
        </w:tc>
        <w:tc>
          <w:tcPr>
            <w:tcW w:type="dxa" w:w="2016"/>
            <w:shd w:fill="F8FAFC"/>
            <w:tcMar>
              <w:top w:w="50" w:type="dxa"/>
              <w:bottom w:w="50" w:type="dxa"/>
              <w:left w:w="80" w:type="dxa"/>
              <w:right w:w="80" w:type="dxa"/>
            </w:tcMar>
          </w:tcPr>
          <w:p>
            <w:pPr>
              <w:spacing w:after="0"/>
            </w:pPr>
            <w:r>
              <w:rPr>
                <w:rFonts w:ascii="Calibri" w:hAnsi="Calibri"/>
                <w:b/>
                <w:color w:val="881337"/>
                <w:sz w:val="16"/>
              </w:rPr>
              <w:t>Administrative</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Executive Director</w:t>
            </w:r>
          </w:p>
        </w:tc>
        <w:tc>
          <w:tcPr>
            <w:tcW w:type="dxa" w:w="1440"/>
            <w:shd w:fill="FFFFFF"/>
            <w:tcMar>
              <w:top w:w="50" w:type="dxa"/>
              <w:bottom w:w="50" w:type="dxa"/>
              <w:left w:w="80" w:type="dxa"/>
              <w:right w:w="80" w:type="dxa"/>
            </w:tcMar>
          </w:tcPr>
          <w:p>
            <w:pPr>
              <w:spacing w:after="0"/>
            </w:pPr>
            <w:r>
              <w:rPr>
                <w:rFonts w:ascii="Calibri" w:hAnsi="Calibri"/>
                <w:color w:val="64748B"/>
                <w:sz w:val="16"/>
              </w:rPr>
              <w:t>executive_director</w:t>
            </w:r>
          </w:p>
        </w:tc>
        <w:tc>
          <w:tcPr>
            <w:tcW w:type="dxa" w:w="3888"/>
            <w:shd w:fill="FFFFFF"/>
            <w:tcMar>
              <w:top w:w="50" w:type="dxa"/>
              <w:bottom w:w="50" w:type="dxa"/>
              <w:left w:w="80" w:type="dxa"/>
              <w:right w:w="80" w:type="dxa"/>
            </w:tcMar>
          </w:tcPr>
          <w:p>
            <w:pPr>
              <w:spacing w:after="0"/>
            </w:pPr>
            <w:r>
              <w:rPr>
                <w:rFonts w:ascii="Calibri" w:hAnsi="Calibri"/>
                <w:color w:val="334155"/>
                <w:sz w:val="16"/>
              </w:rPr>
              <w:t>Cross-agency operations, service trends, caseload escalations, executive director dashboard, governance oversight.</w:t>
            </w:r>
          </w:p>
        </w:tc>
        <w:tc>
          <w:tcPr>
            <w:tcW w:type="dxa" w:w="2016"/>
            <w:shd w:fill="F8FAFC"/>
            <w:tcMar>
              <w:top w:w="50" w:type="dxa"/>
              <w:bottom w:w="50" w:type="dxa"/>
              <w:left w:w="80" w:type="dxa"/>
              <w:right w:w="80" w:type="dxa"/>
            </w:tcMar>
          </w:tcPr>
          <w:p>
            <w:pPr>
              <w:spacing w:after="0"/>
            </w:pPr>
            <w:r>
              <w:rPr>
                <w:rFonts w:ascii="Calibri" w:hAnsi="Calibri"/>
                <w:b/>
                <w:color w:val="881337"/>
                <w:sz w:val="16"/>
              </w:rPr>
              <w:t>Executive</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Chief Executive Officer (CEO)</w:t>
            </w:r>
          </w:p>
        </w:tc>
        <w:tc>
          <w:tcPr>
            <w:tcW w:type="dxa" w:w="1440"/>
            <w:shd w:fill="FFFFFF"/>
            <w:tcMar>
              <w:top w:w="50" w:type="dxa"/>
              <w:bottom w:w="50" w:type="dxa"/>
              <w:left w:w="80" w:type="dxa"/>
              <w:right w:w="80" w:type="dxa"/>
            </w:tcMar>
          </w:tcPr>
          <w:p>
            <w:pPr>
              <w:spacing w:after="0"/>
            </w:pPr>
            <w:r>
              <w:rPr>
                <w:rFonts w:ascii="Calibri" w:hAnsi="Calibri"/>
                <w:color w:val="64748B"/>
                <w:sz w:val="16"/>
              </w:rPr>
              <w:t>ceo</w:t>
            </w:r>
          </w:p>
        </w:tc>
        <w:tc>
          <w:tcPr>
            <w:tcW w:type="dxa" w:w="3888"/>
            <w:shd w:fill="FFFFFF"/>
            <w:tcMar>
              <w:top w:w="50" w:type="dxa"/>
              <w:bottom w:w="50" w:type="dxa"/>
              <w:left w:w="80" w:type="dxa"/>
              <w:right w:w="80" w:type="dxa"/>
            </w:tcMar>
          </w:tcPr>
          <w:p>
            <w:pPr>
              <w:spacing w:after="0"/>
            </w:pPr>
            <w:r>
              <w:rPr>
                <w:rFonts w:ascii="Calibri" w:hAnsi="Calibri"/>
                <w:color w:val="334155"/>
                <w:sz w:val="16"/>
              </w:rPr>
              <w:t>Strategic leadership, sovereign governance, capital allocation, board liaison, CEO Command Centre.</w:t>
            </w:r>
          </w:p>
        </w:tc>
        <w:tc>
          <w:tcPr>
            <w:tcW w:type="dxa" w:w="2016"/>
            <w:shd w:fill="F8FAFC"/>
            <w:tcMar>
              <w:top w:w="50" w:type="dxa"/>
              <w:bottom w:w="50" w:type="dxa"/>
              <w:left w:w="80" w:type="dxa"/>
              <w:right w:w="80" w:type="dxa"/>
            </w:tcMar>
          </w:tcPr>
          <w:p>
            <w:pPr>
              <w:spacing w:after="0"/>
            </w:pPr>
            <w:r>
              <w:rPr>
                <w:rFonts w:ascii="Calibri" w:hAnsi="Calibri"/>
                <w:b/>
                <w:color w:val="881337"/>
                <w:sz w:val="16"/>
              </w:rPr>
              <w:t>Executive</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Board Member</w:t>
            </w:r>
          </w:p>
        </w:tc>
        <w:tc>
          <w:tcPr>
            <w:tcW w:type="dxa" w:w="1440"/>
            <w:shd w:fill="FFFFFF"/>
            <w:tcMar>
              <w:top w:w="50" w:type="dxa"/>
              <w:bottom w:w="50" w:type="dxa"/>
              <w:left w:w="80" w:type="dxa"/>
              <w:right w:w="80" w:type="dxa"/>
            </w:tcMar>
          </w:tcPr>
          <w:p>
            <w:pPr>
              <w:spacing w:after="0"/>
            </w:pPr>
            <w:r>
              <w:rPr>
                <w:rFonts w:ascii="Calibri" w:hAnsi="Calibri"/>
                <w:color w:val="64748B"/>
                <w:sz w:val="16"/>
              </w:rPr>
              <w:t>board_member</w:t>
            </w:r>
          </w:p>
        </w:tc>
        <w:tc>
          <w:tcPr>
            <w:tcW w:type="dxa" w:w="3888"/>
            <w:shd w:fill="FFFFFF"/>
            <w:tcMar>
              <w:top w:w="50" w:type="dxa"/>
              <w:bottom w:w="50" w:type="dxa"/>
              <w:left w:w="80" w:type="dxa"/>
              <w:right w:w="80" w:type="dxa"/>
            </w:tcMar>
          </w:tcPr>
          <w:p>
            <w:pPr>
              <w:spacing w:after="0"/>
            </w:pPr>
            <w:r>
              <w:rPr>
                <w:rFonts w:ascii="Calibri" w:hAnsi="Calibri"/>
                <w:color w:val="334155"/>
                <w:sz w:val="16"/>
              </w:rPr>
              <w:t>Board of Governors governance portal, reviewing meeting packages, formal decision records, in-camera review.</w:t>
            </w:r>
          </w:p>
        </w:tc>
        <w:tc>
          <w:tcPr>
            <w:tcW w:type="dxa" w:w="2016"/>
            <w:shd w:fill="F8FAFC"/>
            <w:tcMar>
              <w:top w:w="50" w:type="dxa"/>
              <w:bottom w:w="50" w:type="dxa"/>
              <w:left w:w="80" w:type="dxa"/>
              <w:right w:w="80" w:type="dxa"/>
            </w:tcMar>
          </w:tcPr>
          <w:p>
            <w:pPr>
              <w:spacing w:after="0"/>
            </w:pPr>
            <w:r>
              <w:rPr>
                <w:rFonts w:ascii="Calibri" w:hAnsi="Calibri"/>
                <w:b/>
                <w:color w:val="881337"/>
                <w:sz w:val="16"/>
              </w:rPr>
              <w:t>Governance</w:t>
            </w:r>
          </w:p>
        </w:tc>
      </w:tr>
      <w:tr>
        <w:tc>
          <w:tcPr>
            <w:tcW w:type="dxa" w:w="2592"/>
            <w:shd w:fill="F8FAFC"/>
            <w:tcMar>
              <w:top w:w="50" w:type="dxa"/>
              <w:bottom w:w="50" w:type="dxa"/>
              <w:left w:w="80" w:type="dxa"/>
              <w:right w:w="80" w:type="dxa"/>
            </w:tcMar>
          </w:tcPr>
          <w:p>
            <w:pPr>
              <w:spacing w:after="0"/>
            </w:pPr>
            <w:r>
              <w:rPr>
                <w:rFonts w:ascii="Calibri" w:hAnsi="Calibri"/>
                <w:b/>
                <w:color w:val="0F172A"/>
                <w:sz w:val="17"/>
              </w:rPr>
              <w:t>External Worker</w:t>
            </w:r>
          </w:p>
        </w:tc>
        <w:tc>
          <w:tcPr>
            <w:tcW w:type="dxa" w:w="1440"/>
            <w:shd w:fill="FFFFFF"/>
            <w:tcMar>
              <w:top w:w="50" w:type="dxa"/>
              <w:bottom w:w="50" w:type="dxa"/>
              <w:left w:w="80" w:type="dxa"/>
              <w:right w:w="80" w:type="dxa"/>
            </w:tcMar>
          </w:tcPr>
          <w:p>
            <w:pPr>
              <w:spacing w:after="0"/>
            </w:pPr>
            <w:r>
              <w:rPr>
                <w:rFonts w:ascii="Calibri" w:hAnsi="Calibri"/>
                <w:color w:val="64748B"/>
                <w:sz w:val="16"/>
              </w:rPr>
              <w:t>external_worker</w:t>
            </w:r>
          </w:p>
        </w:tc>
        <w:tc>
          <w:tcPr>
            <w:tcW w:type="dxa" w:w="3888"/>
            <w:shd w:fill="FFFFFF"/>
            <w:tcMar>
              <w:top w:w="50" w:type="dxa"/>
              <w:bottom w:w="50" w:type="dxa"/>
              <w:left w:w="80" w:type="dxa"/>
              <w:right w:w="80" w:type="dxa"/>
            </w:tcMar>
          </w:tcPr>
          <w:p>
            <w:pPr>
              <w:spacing w:after="0"/>
            </w:pPr>
            <w:r>
              <w:rPr>
                <w:rFonts w:ascii="Calibri" w:hAnsi="Calibri"/>
                <w:color w:val="334155"/>
                <w:sz w:val="16"/>
              </w:rPr>
              <w:t>Partner agency access, designated cross-jurisdictional caseworkers under restricted permissions.</w:t>
            </w:r>
          </w:p>
        </w:tc>
        <w:tc>
          <w:tcPr>
            <w:tcW w:type="dxa" w:w="2016"/>
            <w:shd w:fill="F8FAFC"/>
            <w:tcMar>
              <w:top w:w="50" w:type="dxa"/>
              <w:bottom w:w="50" w:type="dxa"/>
              <w:left w:w="80" w:type="dxa"/>
              <w:right w:w="80" w:type="dxa"/>
            </w:tcMar>
          </w:tcPr>
          <w:p>
            <w:pPr>
              <w:spacing w:after="0"/>
            </w:pPr>
            <w:r>
              <w:rPr>
                <w:rFonts w:ascii="Calibri" w:hAnsi="Calibri"/>
                <w:b/>
                <w:color w:val="881337"/>
                <w:sz w:val="16"/>
              </w:rPr>
              <w:t>Partner</w:t>
            </w:r>
          </w:p>
        </w:tc>
      </w:tr>
    </w:tbl>
    <w:p>
      <w:pPr>
        <w:spacing w:after="120"/>
      </w:pPr>
    </w:p>
    <w:p>
      <w:pPr>
        <w:keepNext/>
        <w:spacing w:before="240" w:after="80"/>
      </w:pPr>
      <w:r>
        <w:rPr>
          <w:rFonts w:ascii="Calibri" w:hAnsi="Calibri"/>
          <w:b/>
          <w:color w:val="881337"/>
          <w:sz w:val="24"/>
        </w:rPr>
        <w:t>Supervisory, Director &amp; Executive Escalation Relationships</w:t>
      </w:r>
    </w:p>
    <w:p>
      <w:pPr>
        <w:spacing w:before="0" w:after="80" w:line="276" w:lineRule="auto"/>
      </w:pPr>
      <w:r>
        <w:rPr>
          <w:rFonts w:ascii="Calibri" w:hAnsi="Calibri"/>
          <w:color w:val="334155"/>
          <w:sz w:val="19"/>
        </w:rPr>
        <w:t>The platform models operational reporting through four distinct authority tiers:</w:t>
        <w:br/>
        <w:t>1. Direct Casework &amp; Frontline Tier: Caseworkers, Navigators, Prevention Workers, and Cultural Coordinators deliver direct support, author case notes, and initiate child service requests.</w:t>
        <w:br/>
        <w:t>2. Supervisory Review Tier: Casework Supervisors review active cases, approve or reject formal Case Notes, sign off on intake assessments, and reassign caseloads.</w:t>
        <w:br/>
        <w:t>3. Management &amp; Director Tier: Program Directors and Managers oversee budget line expenditures, monitor team performance, and resolve cross-departmental escalations.</w:t>
        <w:br/>
        <w:t>4. Executive &amp; Governance Tier: The CEO, Executive Director, and Board of Governors review longitudinal statistical outcomes and policy compliance without holding day-to-day operational access to individual child protection files.</w:t>
      </w:r>
    </w:p>
    <w:p>
      <w:pPr>
        <w:keepNext/>
        <w:spacing w:before="320" w:after="120"/>
      </w:pPr>
      <w:r>
        <w:rPr>
          <w:rFonts w:ascii="Calibri" w:hAnsi="Calibri"/>
          <w:b/>
          <w:color w:val="1E3A8A"/>
          <w:sz w:val="28"/>
        </w:rPr>
        <w:t>5. Admin Dashboard &amp; Master Dashboard Control Centre</w:t>
      </w:r>
    </w:p>
    <w:p>
      <w:pPr>
        <w:spacing w:before="0" w:after="80" w:line="276" w:lineRule="auto"/>
      </w:pPr>
      <w:r>
        <w:rPr>
          <w:rFonts w:ascii="Calibri" w:hAnsi="Calibri"/>
          <w:color w:val="334155"/>
          <w:sz w:val="19"/>
        </w:rPr>
        <w:t>The Admin Dashboard (/admin) serves as the sovereign administrative nerve centre of the platform. It provides IT Administrators, HR Leadership, and Executive Governance with complete management over user identities, system roles, audit logs, and workspace availability.</w:t>
      </w:r>
    </w:p>
    <w:p>
      <w:pPr>
        <w:pStyle w:val="ListBullet"/>
        <w:spacing w:before="0" w:after="50" w:line="276" w:lineRule="auto"/>
      </w:pPr>
      <w:r>
        <w:rPr>
          <w:rFonts w:ascii="Calibri" w:hAnsi="Calibri"/>
          <w:b/>
          <w:color w:val="0F172A"/>
          <w:sz w:val="19"/>
        </w:rPr>
        <w:t>1. User &amp; Identity Administration:</w:t>
      </w:r>
      <w:r>
        <w:rPr>
          <w:rFonts w:ascii="Calibri" w:hAnsi="Calibri"/>
          <w:color w:val="334155"/>
          <w:sz w:val="19"/>
        </w:rPr>
        <w:t xml:space="preserve"> Comprehensive user table displaying full names, email addresses, primary role badges, active status indicators, registration dates, and MFA verification status.</w:t>
      </w:r>
    </w:p>
    <w:p>
      <w:pPr>
        <w:pStyle w:val="ListBullet"/>
        <w:spacing w:before="0" w:after="50" w:line="276" w:lineRule="auto"/>
      </w:pPr>
      <w:r>
        <w:rPr>
          <w:rFonts w:ascii="Calibri" w:hAnsi="Calibri"/>
          <w:b/>
          <w:color w:val="0F172A"/>
          <w:sz w:val="19"/>
        </w:rPr>
        <w:t>2. Account Approval Queue:</w:t>
      </w:r>
      <w:r>
        <w:rPr>
          <w:rFonts w:ascii="Calibri" w:hAnsi="Calibri"/>
          <w:color w:val="334155"/>
          <w:sz w:val="19"/>
        </w:rPr>
        <w:t xml:space="preserve"> Review of self-registered staff accounts, allowing administrators to verify identity, assign authoritative departments and roles, and grant active platform access.</w:t>
      </w:r>
    </w:p>
    <w:p>
      <w:pPr>
        <w:pStyle w:val="ListBullet"/>
        <w:spacing w:before="0" w:after="50" w:line="276" w:lineRule="auto"/>
      </w:pPr>
      <w:r>
        <w:rPr>
          <w:rFonts w:ascii="Calibri" w:hAnsi="Calibri"/>
          <w:b/>
          <w:color w:val="0F172A"/>
          <w:sz w:val="19"/>
        </w:rPr>
        <w:t>3. Master Dashboard Control Centre:</w:t>
      </w:r>
      <w:r>
        <w:rPr>
          <w:rFonts w:ascii="Calibri" w:hAnsi="Calibri"/>
          <w:color w:val="334155"/>
          <w:sz w:val="19"/>
        </w:rPr>
        <w:t xml:space="preserve"> A centralized registry of all 35 platform workspaces with live toggle switches that enable or disable workspace routes agency-wide in real time.</w:t>
      </w:r>
    </w:p>
    <w:p>
      <w:pPr>
        <w:pStyle w:val="ListBullet"/>
        <w:spacing w:before="0" w:after="50" w:line="276" w:lineRule="auto"/>
      </w:pPr>
      <w:r>
        <w:rPr>
          <w:rFonts w:ascii="Calibri" w:hAnsi="Calibri"/>
          <w:b/>
          <w:color w:val="0F172A"/>
          <w:sz w:val="19"/>
        </w:rPr>
        <w:t>4. Dynamic Role Binding Configuration:</w:t>
      </w:r>
      <w:r>
        <w:rPr>
          <w:rFonts w:ascii="Calibri" w:hAnsi="Calibri"/>
          <w:color w:val="334155"/>
          <w:sz w:val="19"/>
        </w:rPr>
        <w:t xml:space="preserve"> Dedicated role-binding modal allowing administrators to specify precisely which of the 19 staff roles are authorized to access each specific workspace card.</w:t>
      </w:r>
    </w:p>
    <w:p>
      <w:pPr>
        <w:pStyle w:val="ListBullet"/>
        <w:spacing w:before="0" w:after="50" w:line="276" w:lineRule="auto"/>
      </w:pPr>
      <w:r>
        <w:rPr>
          <w:rFonts w:ascii="Calibri" w:hAnsi="Calibri"/>
          <w:b/>
          <w:color w:val="0F172A"/>
          <w:sz w:val="19"/>
        </w:rPr>
        <w:t>5. Immutable Security Audit Trail:</w:t>
      </w:r>
      <w:r>
        <w:rPr>
          <w:rFonts w:ascii="Calibri" w:hAnsi="Calibri"/>
          <w:color w:val="334155"/>
          <w:sz w:val="19"/>
        </w:rPr>
        <w:t xml:space="preserve"> Real-time audit stream capturing authentication attempts, role assignments, user status changes, workspace toggles, and data export events.</w:t>
      </w:r>
    </w:p>
    <w:p>
      <w:pPr>
        <w:pStyle w:val="ListBullet"/>
        <w:spacing w:before="0" w:after="50" w:line="276" w:lineRule="auto"/>
      </w:pPr>
      <w:r>
        <w:rPr>
          <w:rFonts w:ascii="Calibri" w:hAnsi="Calibri"/>
          <w:b/>
          <w:color w:val="0F172A"/>
          <w:sz w:val="19"/>
        </w:rPr>
        <w:t>6. Authoritative Excel Export:</w:t>
      </w:r>
      <w:r>
        <w:rPr>
          <w:rFonts w:ascii="Calibri" w:hAnsi="Calibri"/>
          <w:color w:val="334155"/>
          <w:sz w:val="19"/>
        </w:rPr>
        <w:t xml:space="preserve"> One-click generation of authoritative Excel spreadsheets (.xlsx) containing complete, sanitized user directories with timestamps.</w:t>
      </w:r>
    </w:p>
    <w:p>
      <w:pPr>
        <w:keepNext/>
        <w:spacing w:before="320" w:after="120"/>
      </w:pPr>
      <w:r>
        <w:rPr>
          <w:rFonts w:ascii="Calibri" w:hAnsi="Calibri"/>
          <w:b/>
          <w:color w:val="1E3A8A"/>
          <w:sz w:val="28"/>
        </w:rPr>
        <w:t>6. Front Desk / First Impression</w:t>
      </w:r>
    </w:p>
    <w:p>
      <w:pPr>
        <w:spacing w:before="0" w:after="80" w:line="276" w:lineRule="auto"/>
      </w:pPr>
      <w:r>
        <w:rPr>
          <w:rFonts w:ascii="Calibri" w:hAnsi="Calibri"/>
          <w:color w:val="334155"/>
          <w:sz w:val="19"/>
        </w:rPr>
        <w:t>The Front Desk / First Impression workspace (/front-desk) is the agency's primary public-facing intake and reception gateway. It provides receptionists, triage specialists, and intake navigators with rapid tools to receive, document, and route community inquiries:</w:t>
      </w:r>
    </w:p>
    <w:p>
      <w:pPr>
        <w:pStyle w:val="ListBullet"/>
        <w:spacing w:before="0" w:after="50" w:line="276" w:lineRule="auto"/>
      </w:pPr>
      <w:r>
        <w:rPr>
          <w:rFonts w:ascii="Calibri" w:hAnsi="Calibri"/>
          <w:b/>
          <w:color w:val="0F172A"/>
          <w:sz w:val="19"/>
        </w:rPr>
        <w:t>Automated Form Ingestion:</w:t>
      </w:r>
      <w:r>
        <w:rPr>
          <w:rFonts w:ascii="Calibri" w:hAnsi="Calibri"/>
          <w:color w:val="334155"/>
          <w:sz w:val="19"/>
        </w:rPr>
        <w:t xml:space="preserve"> Direct ingestion of community submissions from external web forms (e.g., Google Forms) via authenticated webhook (/api/v1/front-desk/intake/webhook).</w:t>
      </w:r>
    </w:p>
    <w:p>
      <w:pPr>
        <w:pStyle w:val="ListBullet"/>
        <w:spacing w:before="0" w:after="50" w:line="276" w:lineRule="auto"/>
      </w:pPr>
      <w:r>
        <w:rPr>
          <w:rFonts w:ascii="Calibri" w:hAnsi="Calibri"/>
          <w:b/>
          <w:color w:val="0F172A"/>
          <w:sz w:val="19"/>
        </w:rPr>
        <w:t>Community Inquiry Triage:</w:t>
      </w:r>
      <w:r>
        <w:rPr>
          <w:rFonts w:ascii="Calibri" w:hAnsi="Calibri"/>
          <w:color w:val="334155"/>
          <w:sz w:val="19"/>
        </w:rPr>
        <w:t xml:space="preserve"> Real-time triage queue allowing front desk staff to review incoming requests, assign triage priority (Urgent, High, Normal, Low), and route to appropriate departments.</w:t>
      </w:r>
    </w:p>
    <w:p>
      <w:pPr>
        <w:pStyle w:val="ListBullet"/>
        <w:spacing w:before="0" w:after="50" w:line="276" w:lineRule="auto"/>
      </w:pPr>
      <w:r>
        <w:rPr>
          <w:rFonts w:ascii="Calibri" w:hAnsi="Calibri"/>
          <w:b/>
          <w:color w:val="0F172A"/>
          <w:sz w:val="19"/>
        </w:rPr>
        <w:t>Caller &amp; Identity Verification:</w:t>
      </w:r>
      <w:r>
        <w:rPr>
          <w:rFonts w:ascii="Calibri" w:hAnsi="Calibri"/>
          <w:color w:val="334155"/>
          <w:sz w:val="19"/>
        </w:rPr>
        <w:t xml:space="preserve"> Real-time search across the canonical Person registry to identify existing client or family records without creating duplicate profiles.</w:t>
      </w:r>
    </w:p>
    <w:p>
      <w:pPr>
        <w:pStyle w:val="ListBullet"/>
        <w:spacing w:before="0" w:after="50" w:line="276" w:lineRule="auto"/>
      </w:pPr>
      <w:r>
        <w:rPr>
          <w:rFonts w:ascii="Calibri" w:hAnsi="Calibri"/>
          <w:b/>
          <w:color w:val="0F172A"/>
          <w:sz w:val="19"/>
        </w:rPr>
        <w:t>Audit &amp; Reception Logging:</w:t>
      </w:r>
      <w:r>
        <w:rPr>
          <w:rFonts w:ascii="Calibri" w:hAnsi="Calibri"/>
          <w:color w:val="334155"/>
          <w:sz w:val="19"/>
        </w:rPr>
        <w:t xml:space="preserve"> Full audit logging of all front desk interactions to ensure accountability under the Miyo Pimatisowin Act.</w:t>
      </w:r>
    </w:p>
    <w:p>
      <w:pPr>
        <w:keepNext/>
        <w:spacing w:before="320" w:after="120"/>
      </w:pPr>
      <w:r>
        <w:rPr>
          <w:rFonts w:ascii="Calibri" w:hAnsi="Calibri"/>
          <w:b/>
          <w:color w:val="1E3A8A"/>
          <w:sz w:val="28"/>
        </w:rPr>
        <w:t>7. Office Coordinator Workspace</w:t>
      </w:r>
    </w:p>
    <w:p>
      <w:pPr>
        <w:spacing w:before="0" w:after="80" w:line="276" w:lineRule="auto"/>
      </w:pPr>
      <w:r>
        <w:rPr>
          <w:rFonts w:ascii="Calibri" w:hAnsi="Calibri"/>
          <w:color w:val="334155"/>
          <w:sz w:val="19"/>
        </w:rPr>
        <w:t>Introduced in Database Migration 029, the Office Coordinator workspace (/office-coordinator) centralizes agency operations, physical facilities, vehicle reservations, key custody, and inventory logistics:</w:t>
      </w:r>
    </w:p>
    <w:p>
      <w:pPr>
        <w:pStyle w:val="ListBullet"/>
        <w:spacing w:before="0" w:after="50" w:line="276" w:lineRule="auto"/>
      </w:pPr>
      <w:r>
        <w:rPr>
          <w:rFonts w:ascii="Calibri" w:hAnsi="Calibri"/>
          <w:b/>
          <w:color w:val="0F172A"/>
          <w:sz w:val="19"/>
        </w:rPr>
        <w:t>1. Operational Requests Queue:</w:t>
      </w:r>
      <w:r>
        <w:rPr>
          <w:rFonts w:ascii="Calibri" w:hAnsi="Calibri"/>
          <w:color w:val="334155"/>
          <w:sz w:val="19"/>
        </w:rPr>
        <w:t xml:space="preserve"> Centralized queue of internal staff requests for administrative support, office equipment, maintenance, and supplies.</w:t>
      </w:r>
    </w:p>
    <w:p>
      <w:pPr>
        <w:pStyle w:val="ListBullet"/>
        <w:spacing w:before="0" w:after="50" w:line="276" w:lineRule="auto"/>
      </w:pPr>
      <w:r>
        <w:rPr>
          <w:rFonts w:ascii="Calibri" w:hAnsi="Calibri"/>
          <w:b/>
          <w:color w:val="0F172A"/>
          <w:sz w:val="19"/>
        </w:rPr>
        <w:t>2. Vehicle Reservation Management:</w:t>
      </w:r>
      <w:r>
        <w:rPr>
          <w:rFonts w:ascii="Calibri" w:hAnsi="Calibri"/>
          <w:color w:val="334155"/>
          <w:sz w:val="19"/>
        </w:rPr>
        <w:t xml:space="preserve"> Advance scheduling of agency vehicles for community family visits, court appearances, and child transports.</w:t>
      </w:r>
    </w:p>
    <w:p>
      <w:pPr>
        <w:pStyle w:val="ListBullet"/>
        <w:spacing w:before="0" w:after="50" w:line="276" w:lineRule="auto"/>
      </w:pPr>
      <w:r>
        <w:rPr>
          <w:rFonts w:ascii="Calibri" w:hAnsi="Calibri"/>
          <w:b/>
          <w:color w:val="0F172A"/>
          <w:sz w:val="19"/>
        </w:rPr>
        <w:t>3. Physical Key Custody Tracking:</w:t>
      </w:r>
      <w:r>
        <w:rPr>
          <w:rFonts w:ascii="Calibri" w:hAnsi="Calibri"/>
          <w:color w:val="334155"/>
          <w:sz w:val="19"/>
        </w:rPr>
        <w:t xml:space="preserve"> Physical custody tracking of agency vehicle keys, recording checkout timestamps, returning staff IDs, and odometer readings.</w:t>
      </w:r>
    </w:p>
    <w:p>
      <w:pPr>
        <w:pStyle w:val="ListBullet"/>
        <w:spacing w:before="0" w:after="50" w:line="276" w:lineRule="auto"/>
      </w:pPr>
      <w:r>
        <w:rPr>
          <w:rFonts w:ascii="Calibri" w:hAnsi="Calibri"/>
          <w:b/>
          <w:color w:val="0F172A"/>
          <w:sz w:val="19"/>
        </w:rPr>
        <w:t>4. Conference Room Bookings:</w:t>
      </w:r>
      <w:r>
        <w:rPr>
          <w:rFonts w:ascii="Calibri" w:hAnsi="Calibri"/>
          <w:color w:val="334155"/>
          <w:sz w:val="19"/>
        </w:rPr>
        <w:t xml:space="preserve"> Scheduling and conflict resolution for shared meeting rooms, cultural healing spaces, and family visitation suites.</w:t>
      </w:r>
    </w:p>
    <w:p>
      <w:pPr>
        <w:pStyle w:val="ListBullet"/>
        <w:spacing w:before="0" w:after="50" w:line="276" w:lineRule="auto"/>
      </w:pPr>
      <w:r>
        <w:rPr>
          <w:rFonts w:ascii="Calibri" w:hAnsi="Calibri"/>
          <w:b/>
          <w:color w:val="0F172A"/>
          <w:sz w:val="19"/>
        </w:rPr>
        <w:t>5. Office &amp; Cultural Supplies Inventory:</w:t>
      </w:r>
      <w:r>
        <w:rPr>
          <w:rFonts w:ascii="Calibri" w:hAnsi="Calibri"/>
          <w:color w:val="334155"/>
          <w:sz w:val="19"/>
        </w:rPr>
        <w:t xml:space="preserve"> Inventory tracking for emergency food hampers, infant care items (diapers, formula), school supplies, and cultural wellness bundles.</w:t>
      </w:r>
    </w:p>
    <w:p>
      <w:r>
        <w:br w:type="page"/>
      </w:r>
    </w:p>
    <w:p>
      <w:pPr>
        <w:keepNext/>
        <w:spacing w:before="320" w:after="120"/>
      </w:pPr>
      <w:r>
        <w:rPr>
          <w:rFonts w:ascii="Calibri" w:hAnsi="Calibri"/>
          <w:b/>
          <w:color w:val="1E3A8A"/>
          <w:sz w:val="28"/>
        </w:rPr>
        <w:t>8. Human Resources (HR) Module</w:t>
      </w:r>
    </w:p>
    <w:p>
      <w:pPr>
        <w:spacing w:before="0" w:after="80" w:line="276" w:lineRule="auto"/>
      </w:pPr>
      <w:r>
        <w:rPr>
          <w:rFonts w:ascii="Calibri" w:hAnsi="Calibri"/>
          <w:color w:val="334155"/>
          <w:sz w:val="19"/>
        </w:rPr>
        <w:t>The HR module (/hr, /employees) manages agency personnel records, professional credentials, and regulatory compliance. It provides HR managers with oversight over staff certifications required for statutory child welfare practice:</w:t>
      </w:r>
    </w:p>
    <w:p>
      <w:pPr>
        <w:pStyle w:val="ListBullet"/>
        <w:spacing w:before="0" w:after="50" w:line="276" w:lineRule="auto"/>
      </w:pPr>
      <w:r>
        <w:rPr>
          <w:rFonts w:ascii="Calibri" w:hAnsi="Calibri"/>
          <w:b/>
          <w:color w:val="0F172A"/>
          <w:sz w:val="19"/>
        </w:rPr>
        <w:t>Employee Personnel Directory:</w:t>
      </w:r>
      <w:r>
        <w:rPr>
          <w:rFonts w:ascii="Calibri" w:hAnsi="Calibri"/>
          <w:color w:val="334155"/>
          <w:sz w:val="19"/>
        </w:rPr>
        <w:t xml:space="preserve"> Comprehensive staff profiles linking user accounts to primary departments, supervisors, and contact details.</w:t>
      </w:r>
    </w:p>
    <w:p>
      <w:pPr>
        <w:pStyle w:val="ListBullet"/>
        <w:spacing w:before="0" w:after="50" w:line="276" w:lineRule="auto"/>
      </w:pPr>
      <w:r>
        <w:rPr>
          <w:rFonts w:ascii="Calibri" w:hAnsi="Calibri"/>
          <w:b/>
          <w:color w:val="0F172A"/>
          <w:sz w:val="19"/>
        </w:rPr>
        <w:t>Professional Licensing &amp; Credentials:</w:t>
      </w:r>
      <w:r>
        <w:rPr>
          <w:rFonts w:ascii="Calibri" w:hAnsi="Calibri"/>
          <w:color w:val="334155"/>
          <w:sz w:val="19"/>
        </w:rPr>
        <w:t xml:space="preserve"> Tracking registered social work licenses (SASW), clinical counselor memberships, and annual professional renewal dates.</w:t>
      </w:r>
    </w:p>
    <w:p>
      <w:pPr>
        <w:pStyle w:val="ListBullet"/>
        <w:spacing w:before="0" w:after="50" w:line="276" w:lineRule="auto"/>
      </w:pPr>
      <w:r>
        <w:rPr>
          <w:rFonts w:ascii="Calibri" w:hAnsi="Calibri"/>
          <w:b/>
          <w:color w:val="0F172A"/>
          <w:sz w:val="19"/>
        </w:rPr>
        <w:t>Safety Compliance &amp; Certifications:</w:t>
      </w:r>
      <w:r>
        <w:rPr>
          <w:rFonts w:ascii="Calibri" w:hAnsi="Calibri"/>
          <w:color w:val="334155"/>
          <w:sz w:val="19"/>
        </w:rPr>
        <w:t xml:space="preserve"> Automated expiration alerts for mandatory certifications, including First Aid, CPR Level C, and suicide intervention training (ASIST).</w:t>
      </w:r>
    </w:p>
    <w:p>
      <w:pPr>
        <w:pStyle w:val="ListBullet"/>
        <w:spacing w:before="0" w:after="50" w:line="276" w:lineRule="auto"/>
      </w:pPr>
      <w:r>
        <w:rPr>
          <w:rFonts w:ascii="Calibri" w:hAnsi="Calibri"/>
          <w:b/>
          <w:color w:val="0F172A"/>
          <w:sz w:val="19"/>
        </w:rPr>
        <w:t>Background Check Verification:</w:t>
      </w:r>
      <w:r>
        <w:rPr>
          <w:rFonts w:ascii="Calibri" w:hAnsi="Calibri"/>
          <w:color w:val="334155"/>
          <w:sz w:val="19"/>
        </w:rPr>
        <w:t xml:space="preserve"> Monitoring annual Criminal Record Checks and Vulnerable Sector Screenings required for all personnel interacting with children.</w:t>
      </w:r>
    </w:p>
    <w:p>
      <w:pPr>
        <w:keepNext/>
        <w:spacing w:before="320" w:after="120"/>
      </w:pPr>
      <w:r>
        <w:rPr>
          <w:rFonts w:ascii="Calibri" w:hAnsi="Calibri"/>
          <w:b/>
          <w:color w:val="1E3A8A"/>
          <w:sz w:val="28"/>
        </w:rPr>
        <w:t>9. Navigators, Intake &amp; Referral</w:t>
      </w:r>
    </w:p>
    <w:p>
      <w:pPr>
        <w:spacing w:before="0" w:after="80" w:line="276" w:lineRule="auto"/>
      </w:pPr>
      <w:r>
        <w:rPr>
          <w:rFonts w:ascii="Calibri" w:hAnsi="Calibri"/>
          <w:color w:val="334155"/>
          <w:sz w:val="19"/>
        </w:rPr>
        <w:t>The System Navigator and Intake workspaces (/navigator, /intake, /intake/new, /intake/approvals) facilitate community-led intake, triage, and multi-disciplinary referral pathways:</w:t>
      </w:r>
    </w:p>
    <w:p>
      <w:pPr>
        <w:pStyle w:val="ListBullet"/>
        <w:spacing w:before="0" w:after="50" w:line="276" w:lineRule="auto"/>
      </w:pPr>
      <w:r>
        <w:rPr>
          <w:rFonts w:ascii="Calibri" w:hAnsi="Calibri"/>
          <w:b/>
          <w:color w:val="0F172A"/>
          <w:sz w:val="19"/>
        </w:rPr>
        <w:t>Community Intake Ingestion:</w:t>
      </w:r>
      <w:r>
        <w:rPr>
          <w:rFonts w:ascii="Calibri" w:hAnsi="Calibri"/>
          <w:color w:val="334155"/>
          <w:sz w:val="19"/>
        </w:rPr>
        <w:t xml:space="preserve"> Initial community contact documentation, capturing family circumstances, immediate safety concerns, and culturally grounded support requests.</w:t>
      </w:r>
    </w:p>
    <w:p>
      <w:pPr>
        <w:pStyle w:val="ListBullet"/>
        <w:spacing w:before="0" w:after="50" w:line="276" w:lineRule="auto"/>
      </w:pPr>
      <w:r>
        <w:rPr>
          <w:rFonts w:ascii="Calibri" w:hAnsi="Calibri"/>
          <w:b/>
          <w:color w:val="0F172A"/>
          <w:sz w:val="19"/>
        </w:rPr>
        <w:t>Navigator Assessment &amp; Triage:</w:t>
      </w:r>
      <w:r>
        <w:rPr>
          <w:rFonts w:ascii="Calibri" w:hAnsi="Calibri"/>
          <w:color w:val="334155"/>
          <w:sz w:val="19"/>
        </w:rPr>
        <w:t xml:space="preserve"> Dedicated view for system navigators to assess incoming referrals, identify extended kinship ties, and recommend voluntary prevention services.</w:t>
      </w:r>
    </w:p>
    <w:p>
      <w:pPr>
        <w:pStyle w:val="ListBullet"/>
        <w:spacing w:before="0" w:after="50" w:line="276" w:lineRule="auto"/>
      </w:pPr>
      <w:r>
        <w:rPr>
          <w:rFonts w:ascii="Calibri" w:hAnsi="Calibri"/>
          <w:b/>
          <w:color w:val="0F172A"/>
          <w:sz w:val="19"/>
        </w:rPr>
        <w:t>Supervisory Intake Approvals:</w:t>
      </w:r>
      <w:r>
        <w:rPr>
          <w:rFonts w:ascii="Calibri" w:hAnsi="Calibri"/>
          <w:color w:val="334155"/>
          <w:sz w:val="19"/>
        </w:rPr>
        <w:t xml:space="preserve"> Multi-stage workflow requiring casework supervisors to formally review, validate risk assessments, and approve or reject intake files.</w:t>
      </w:r>
    </w:p>
    <w:p>
      <w:pPr>
        <w:pStyle w:val="ListBullet"/>
        <w:spacing w:before="0" w:after="50" w:line="276" w:lineRule="auto"/>
      </w:pPr>
      <w:r>
        <w:rPr>
          <w:rFonts w:ascii="Calibri" w:hAnsi="Calibri"/>
          <w:b/>
          <w:color w:val="0F172A"/>
          <w:sz w:val="19"/>
        </w:rPr>
        <w:t>Case File Conversion:</w:t>
      </w:r>
      <w:r>
        <w:rPr>
          <w:rFonts w:ascii="Calibri" w:hAnsi="Calibri"/>
          <w:color w:val="334155"/>
          <w:sz w:val="19"/>
        </w:rPr>
        <w:t xml:space="preserve"> Seamless transition of approved intake reports into active Family Healing or Child Protection cases, preserving full intake history.</w:t>
      </w:r>
    </w:p>
    <w:p>
      <w:pPr>
        <w:keepNext/>
        <w:spacing w:before="320" w:after="120"/>
      </w:pPr>
      <w:r>
        <w:rPr>
          <w:rFonts w:ascii="Calibri" w:hAnsi="Calibri"/>
          <w:b/>
          <w:color w:val="1E3A8A"/>
          <w:sz w:val="28"/>
        </w:rPr>
        <w:t>10. Case Management</w:t>
      </w:r>
    </w:p>
    <w:p>
      <w:pPr>
        <w:spacing w:before="0" w:after="80" w:line="276" w:lineRule="auto"/>
      </w:pPr>
      <w:r>
        <w:rPr>
          <w:rFonts w:ascii="Calibri" w:hAnsi="Calibri"/>
          <w:color w:val="334155"/>
          <w:sz w:val="19"/>
        </w:rPr>
        <w:t>The core Case Management module (/cases, /cases/:id) provides a longitudinal, family-centred case record system. Every case operates under sovereign First Nations child welfare principles, prioritizing family preservation, kinship placement, and cultural continuity:</w:t>
      </w:r>
    </w:p>
    <w:p>
      <w:pPr>
        <w:pStyle w:val="ListBullet"/>
        <w:spacing w:before="0" w:after="50" w:line="276" w:lineRule="auto"/>
      </w:pPr>
      <w:r>
        <w:rPr>
          <w:rFonts w:ascii="Calibri" w:hAnsi="Calibri"/>
          <w:b/>
          <w:color w:val="0F172A"/>
          <w:sz w:val="19"/>
        </w:rPr>
        <w:t>Authoritative Case Registry:</w:t>
      </w:r>
      <w:r>
        <w:rPr>
          <w:rFonts w:ascii="Calibri" w:hAnsi="Calibri"/>
          <w:color w:val="334155"/>
          <w:sz w:val="19"/>
        </w:rPr>
        <w:t xml:space="preserve"> Comprehensive registry of all open, pending, transferred, and closed child and family wellness cases across Cowessess First Nation.</w:t>
      </w:r>
    </w:p>
    <w:p>
      <w:pPr>
        <w:pStyle w:val="ListBullet"/>
        <w:spacing w:before="0" w:after="50" w:line="276" w:lineRule="auto"/>
      </w:pPr>
      <w:r>
        <w:rPr>
          <w:rFonts w:ascii="Calibri" w:hAnsi="Calibri"/>
          <w:b/>
          <w:color w:val="0F172A"/>
          <w:sz w:val="19"/>
        </w:rPr>
        <w:t>Caseworker &amp; Team Assignments:</w:t>
      </w:r>
      <w:r>
        <w:rPr>
          <w:rFonts w:ascii="Calibri" w:hAnsi="Calibri"/>
          <w:color w:val="334155"/>
          <w:sz w:val="19"/>
        </w:rPr>
        <w:t xml:space="preserve"> Assignment of primary caseworkers, family wellness advocates, cultural support workers, and secondary workers with complete audit histories.</w:t>
      </w:r>
    </w:p>
    <w:p>
      <w:pPr>
        <w:pStyle w:val="ListBullet"/>
        <w:spacing w:before="0" w:after="50" w:line="276" w:lineRule="auto"/>
      </w:pPr>
      <w:r>
        <w:rPr>
          <w:rFonts w:ascii="Calibri" w:hAnsi="Calibri"/>
          <w:b/>
          <w:color w:val="0F172A"/>
          <w:sz w:val="19"/>
        </w:rPr>
        <w:t>Family Healing &amp; Safety Plans:</w:t>
      </w:r>
      <w:r>
        <w:rPr>
          <w:rFonts w:ascii="Calibri" w:hAnsi="Calibri"/>
          <w:color w:val="334155"/>
          <w:sz w:val="19"/>
        </w:rPr>
        <w:t xml:space="preserve"> Multi-disciplinary family healing plans detailing cultural ceremonies, parental support programs, counseling, and housing stabilization goals.</w:t>
      </w:r>
    </w:p>
    <w:p>
      <w:pPr>
        <w:pStyle w:val="ListBullet"/>
        <w:spacing w:before="0" w:after="50" w:line="276" w:lineRule="auto"/>
      </w:pPr>
      <w:r>
        <w:rPr>
          <w:rFonts w:ascii="Calibri" w:hAnsi="Calibri"/>
          <w:b/>
          <w:color w:val="0F172A"/>
          <w:sz w:val="19"/>
        </w:rPr>
        <w:t>Milestone &amp; Status Tracking:</w:t>
      </w:r>
      <w:r>
        <w:rPr>
          <w:rFonts w:ascii="Calibri" w:hAnsi="Calibri"/>
          <w:color w:val="334155"/>
          <w:sz w:val="19"/>
        </w:rPr>
        <w:t xml:space="preserve"> Real-time visual tracking of case progress from initial intake through prevention, family support, reunification, or independence.</w:t>
      </w:r>
    </w:p>
    <w:p>
      <w:pPr>
        <w:keepNext/>
        <w:spacing w:before="320" w:after="120"/>
      </w:pPr>
      <w:r>
        <w:rPr>
          <w:rFonts w:ascii="Calibri" w:hAnsi="Calibri"/>
          <w:b/>
          <w:color w:val="1E3A8A"/>
          <w:sz w:val="28"/>
        </w:rPr>
        <w:t>11. Person &amp; Client Management (Canonical Identity Architecture)</w:t>
      </w:r>
    </w:p>
    <w:p>
      <w:pPr>
        <w:spacing w:before="0" w:after="80" w:line="276" w:lineRule="auto"/>
      </w:pPr>
      <w:r>
        <w:rPr>
          <w:rFonts w:ascii="Calibri" w:hAnsi="Calibri"/>
          <w:color w:val="334155"/>
          <w:sz w:val="19"/>
        </w:rPr>
        <w:t>To prevent duplicate identities and preserve longitudinal relational history, CRBCL implements a strict two-tier identity architecture:</w:t>
      </w:r>
    </w:p>
    <w:p>
      <w:pPr>
        <w:pStyle w:val="ListBullet"/>
        <w:spacing w:before="0" w:after="50" w:line="276" w:lineRule="auto"/>
      </w:pPr>
      <w:r>
        <w:rPr>
          <w:rFonts w:ascii="Calibri" w:hAnsi="Calibri"/>
          <w:b/>
          <w:color w:val="0F172A"/>
          <w:sz w:val="19"/>
        </w:rPr>
        <w:t>1. Canonical Master Identity (Person):</w:t>
      </w:r>
      <w:r>
        <w:rPr>
          <w:rFonts w:ascii="Calibri" w:hAnsi="Calibri"/>
          <w:color w:val="334155"/>
          <w:sz w:val="19"/>
        </w:rPr>
        <w:t xml:space="preserve"> Represents a unique living individual. Every person is assigned a permanent, non-reusable 10-digit numeric CRBCL Person ID (e.g. 1000000042). Person records store canonical biographic data (legal name, traditional/spirit name, date of birth, Treaty/Status Card number, Band affiliation).</w:t>
      </w:r>
    </w:p>
    <w:p>
      <w:pPr>
        <w:pStyle w:val="ListBullet"/>
        <w:spacing w:before="0" w:after="50" w:line="276" w:lineRule="auto"/>
      </w:pPr>
      <w:r>
        <w:rPr>
          <w:rFonts w:ascii="Calibri" w:hAnsi="Calibri"/>
          <w:b/>
          <w:color w:val="0F172A"/>
          <w:sz w:val="19"/>
        </w:rPr>
        <w:t>2. Service Context Client (Client):</w:t>
      </w:r>
      <w:r>
        <w:rPr>
          <w:rFonts w:ascii="Calibri" w:hAnsi="Calibri"/>
          <w:color w:val="334155"/>
          <w:sz w:val="19"/>
        </w:rPr>
        <w:t xml:space="preserve"> Represents an active service-delivery relationship. A Client is NOT a duplicate database; rather, it references Person via Client.person_id. A person may be enrolled in multiple service contexts (e.g. child protection case, prevention program, daycare) under their single canonical Person profile.</w:t>
      </w:r>
    </w:p>
    <w:p>
      <w:pPr>
        <w:pStyle w:val="ListBullet"/>
        <w:spacing w:before="0" w:after="50" w:line="276" w:lineRule="auto"/>
      </w:pPr>
      <w:r>
        <w:rPr>
          <w:rFonts w:ascii="Calibri" w:hAnsi="Calibri"/>
          <w:b/>
          <w:color w:val="0F172A"/>
          <w:sz w:val="19"/>
        </w:rPr>
        <w:t>3. Case-Specific Association (CasePerson):</w:t>
      </w:r>
      <w:r>
        <w:rPr>
          <w:rFonts w:ascii="Calibri" w:hAnsi="Calibri"/>
          <w:color w:val="334155"/>
          <w:sz w:val="19"/>
        </w:rPr>
        <w:t xml:space="preserve"> Join entity linking Person to Case with specific relational context and role designations (e.g., subject child, biological mother, kinship caregiver).</w:t>
      </w:r>
    </w:p>
    <w:p>
      <w:pPr>
        <w:pStyle w:val="ListBullet"/>
        <w:spacing w:before="0" w:after="50" w:line="276" w:lineRule="auto"/>
      </w:pPr>
      <w:r>
        <w:rPr>
          <w:rFonts w:ascii="Calibri" w:hAnsi="Calibri"/>
          <w:b/>
          <w:color w:val="0F172A"/>
          <w:sz w:val="19"/>
        </w:rPr>
        <w:t>Search-Before-Create Workflow:</w:t>
      </w:r>
      <w:r>
        <w:rPr>
          <w:rFonts w:ascii="Calibri" w:hAnsi="Calibri"/>
          <w:color w:val="334155"/>
          <w:sz w:val="19"/>
        </w:rPr>
        <w:t xml:space="preserve"> Mandatory workflow requiring caseworkers to query the canonical registry before creating a new person, preventing accidental duplication.</w:t>
      </w:r>
    </w:p>
    <w:p>
      <w:pPr>
        <w:keepNext/>
        <w:spacing w:before="320" w:after="120"/>
      </w:pPr>
      <w:r>
        <w:rPr>
          <w:rFonts w:ascii="Calibri" w:hAnsi="Calibri"/>
          <w:b/>
          <w:color w:val="1E3A8A"/>
          <w:sz w:val="28"/>
        </w:rPr>
        <w:t>12. Case Notes &amp; Addenda Lifecycle</w:t>
      </w:r>
    </w:p>
    <w:p>
      <w:pPr>
        <w:spacing w:before="0" w:after="80" w:line="276" w:lineRule="auto"/>
      </w:pPr>
      <w:r>
        <w:rPr>
          <w:rFonts w:ascii="Calibri" w:hAnsi="Calibri"/>
          <w:color w:val="334155"/>
          <w:sz w:val="19"/>
        </w:rPr>
        <w:t>Case Notes provide the authoritative legal record of all interactions between CRBCL staff, children, families, and community partners. To satisfy legal and statutory standards under the Miyo Pimatisowin Act, case notes enforce strict immutability:</w:t>
      </w:r>
    </w:p>
    <w:p>
      <w:pPr>
        <w:pStyle w:val="ListBullet"/>
        <w:spacing w:before="0" w:after="50" w:line="276" w:lineRule="auto"/>
      </w:pPr>
      <w:r>
        <w:rPr>
          <w:rFonts w:ascii="Calibri" w:hAnsi="Calibri"/>
          <w:b/>
          <w:color w:val="0F172A"/>
          <w:sz w:val="19"/>
        </w:rPr>
        <w:t>Authoring &amp; Drafting:</w:t>
      </w:r>
      <w:r>
        <w:rPr>
          <w:rFonts w:ascii="Calibri" w:hAnsi="Calibri"/>
          <w:color w:val="334155"/>
          <w:sz w:val="19"/>
        </w:rPr>
        <w:t xml:space="preserve"> Caseworkers draft notes capturing contact date, interaction type (in-person visit, phone call, court appearance, home visit), duration, and detailed clinical/casework narrative.</w:t>
      </w:r>
    </w:p>
    <w:p>
      <w:pPr>
        <w:pStyle w:val="ListBullet"/>
        <w:spacing w:before="0" w:after="50" w:line="276" w:lineRule="auto"/>
      </w:pPr>
      <w:r>
        <w:rPr>
          <w:rFonts w:ascii="Calibri" w:hAnsi="Calibri"/>
          <w:b/>
          <w:color w:val="0F172A"/>
          <w:sz w:val="19"/>
        </w:rPr>
        <w:t>Immutability &amp; Locking:</w:t>
      </w:r>
      <w:r>
        <w:rPr>
          <w:rFonts w:ascii="Calibri" w:hAnsi="Calibri"/>
          <w:color w:val="334155"/>
          <w:sz w:val="19"/>
        </w:rPr>
        <w:t xml:space="preserve"> Once completed and saved by the caseworker, the note enters a finalized, locked state. Under no circumstances can a finalized case note be edited, deleted, or backdated.</w:t>
      </w:r>
    </w:p>
    <w:p>
      <w:pPr>
        <w:pStyle w:val="ListBullet"/>
        <w:spacing w:before="0" w:after="50" w:line="276" w:lineRule="auto"/>
      </w:pPr>
      <w:r>
        <w:rPr>
          <w:rFonts w:ascii="Calibri" w:hAnsi="Calibri"/>
          <w:b/>
          <w:color w:val="0F172A"/>
          <w:sz w:val="19"/>
        </w:rPr>
        <w:t>Formal Addenda Lifecycle:</w:t>
      </w:r>
      <w:r>
        <w:rPr>
          <w:rFonts w:ascii="Calibri" w:hAnsi="Calibri"/>
          <w:color w:val="334155"/>
          <w:sz w:val="19"/>
        </w:rPr>
        <w:t xml:space="preserve"> If new information emerges regarding a locked note, staff must file a formal Addendum referencing the original note ID. The addendum captures timestamped supplementary narrative without altering the original text.</w:t>
      </w:r>
    </w:p>
    <w:p>
      <w:pPr>
        <w:pStyle w:val="ListBullet"/>
        <w:spacing w:before="0" w:after="50" w:line="276" w:lineRule="auto"/>
      </w:pPr>
      <w:r>
        <w:rPr>
          <w:rFonts w:ascii="Calibri" w:hAnsi="Calibri"/>
          <w:b/>
          <w:color w:val="0F172A"/>
          <w:sz w:val="19"/>
        </w:rPr>
        <w:t>Case Note Export:</w:t>
      </w:r>
      <w:r>
        <w:rPr>
          <w:rFonts w:ascii="Calibri" w:hAnsi="Calibri"/>
          <w:color w:val="334155"/>
          <w:sz w:val="19"/>
        </w:rPr>
        <w:t xml:space="preserve"> Complete case file export for court proceedings, legal audits, and supervisory review with strict redaction controls.</w:t>
      </w:r>
    </w:p>
    <w:p>
      <w:pPr>
        <w:keepNext/>
        <w:spacing w:before="320" w:after="120"/>
      </w:pPr>
      <w:r>
        <w:rPr>
          <w:rFonts w:ascii="Calibri" w:hAnsi="Calibri"/>
          <w:b/>
          <w:color w:val="1E3A8A"/>
          <w:sz w:val="28"/>
        </w:rPr>
        <w:t>13. Speech-to-Text Capabilities — LIVE VERIFIED</w:t>
      </w:r>
    </w:p>
    <w:p>
      <w:pPr>
        <w:spacing w:before="0" w:after="80" w:line="276" w:lineRule="auto"/>
      </w:pPr>
      <w:r>
        <w:rPr>
          <w:rFonts w:ascii="Calibri" w:hAnsi="Calibri"/>
          <w:color w:val="334155"/>
          <w:sz w:val="19"/>
        </w:rPr>
        <w:t>In October 2026, the CRBCL technical team achieved and LIVE VERIFIED a major architectural breakthrough: fully functional, sovereign, self-hosted speech-to-text transcription running directly on CRBCL's production deployment infrastructure. Speech recognition is provided across three critical operational interfaces: Case Notes, Formal Addenda, and Ask Red Bear.</w:t>
      </w:r>
    </w:p>
    <w:tbl>
      <w:tblPr>
        <w:tblW w:type="auto" w:w="0"/>
        <w:jc w:val="center"/>
        <w:tblLayout w:type="fixed"/>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Borders>
              <w:left w:val="single" w:sz="24" w:space="0" w:color="059669"/>
              <w:top w:val="none"/>
              <w:right w:val="none"/>
              <w:bottom w:val="none"/>
            </w:tcBorders>
          </w:tcPr>
          <w:p>
            <w:pPr>
              <w:spacing w:before="40" w:after="40" w:line="276" w:lineRule="auto"/>
            </w:pPr>
            <w:r>
              <w:rPr>
                <w:rFonts w:ascii="Calibri" w:hAnsi="Calibri"/>
                <w:b/>
                <w:color w:val="1E3A8A"/>
                <w:sz w:val="20"/>
              </w:rPr>
              <w:t>Core Architectural Principle: Single Shared Sovereign Speech Engine</w:t>
              <w:br/>
            </w:r>
            <w:r>
              <w:rPr>
                <w:rFonts w:ascii="Calibri" w:hAnsi="Calibri"/>
                <w:color w:val="334155"/>
                <w:sz w:val="18"/>
              </w:rPr>
              <w:t>CRBCL enforces a strict single-engine policy: DO NOT build secondary or duplicate speech transcription systems.</w:t>
              <w:br/>
              <w:t>• Production Provider: LocalWhisperSpeechTranscriptionProvider (faster-whisper / CTranslate2)</w:t>
              <w:br/>
              <w:t>• Provisioned Model: tiny (pre-baked into Docker container during build, warmed up on container startup)</w:t>
              <w:br/>
              <w:t>• Execution Environment: CPU int8, bounded max concurrency = 1 (defending against CPU/memory exhaustion)</w:t>
              <w:br/>
              <w:t>• External Speech API Reliance: ZERO. Completely independent of OpenAI Whisper API, Google Cloud Speech, Azure Speech, and AWS Transcribe.</w:t>
              <w:br/>
              <w:t>• Operational Role: Speech-to-text is strictly an INPUT AID. It NEVER replaces human caseworker authority.</w:t>
            </w:r>
          </w:p>
        </w:tc>
      </w:tr>
    </w:tbl>
    <w:p>
      <w:pPr>
        <w:spacing w:after="60"/>
      </w:pPr>
    </w:p>
    <w:p>
      <w:pPr>
        <w:keepNext/>
        <w:spacing w:before="240" w:after="80"/>
      </w:pPr>
      <w:r>
        <w:rPr>
          <w:rFonts w:ascii="Calibri" w:hAnsi="Calibri"/>
          <w:b/>
          <w:color w:val="881337"/>
          <w:sz w:val="24"/>
        </w:rPr>
        <w:t>A. Case Note Speech-to-Text (LIVE VERIFIED)</w:t>
      </w:r>
    </w:p>
    <w:p>
      <w:pPr>
        <w:spacing w:before="0" w:after="80" w:line="276" w:lineRule="auto"/>
      </w:pPr>
      <w:r>
        <w:rPr>
          <w:rFonts w:ascii="Calibri" w:hAnsi="Calibri"/>
          <w:color w:val="334155"/>
          <w:sz w:val="19"/>
        </w:rPr>
        <w:t>Authorized caseworkers drafting narrative case notes may choose to type normally, dictate via their browser microphone, or combine both methods seamlessly. The dictation pipeline operates as follows:</w:t>
        <w:br/>
        <w:t>• Appends to Existing Draft: Transcribed text is appended to the caseworker's existing typed draft, separated by sensible spacing. Existing typed text is NEVER overwritten or cleared.</w:t>
        <w:br/>
        <w:t>• Fully Editable: Transcribed text is immediately inserted into the editable note textarea. Staff can modify, correct, add to, or delete any part of the transcript.</w:t>
        <w:br/>
        <w:t>• Strict Human Review: Speech recognition is probabilistic. Staff must review, verify, and edit all dictated narrative before filing.</w:t>
        <w:br/>
        <w:t>• Explicit Save Required: Dictation does NOT auto-save, auto-finalize, auto-sign, auto-approve, diagnose, summarize, or alter the note. The caseworker must explicitly click the existing 'Save Note' button.</w:t>
        <w:br/>
        <w:t>• Production Verification: Live synthetic browser UAT validated end-to-end audio capture, transmission, transcription in 1.4s, and draft insertion.</w:t>
      </w:r>
    </w:p>
    <w:p>
      <w:pPr>
        <w:keepNext/>
        <w:spacing w:before="240" w:after="80"/>
      </w:pPr>
      <w:r>
        <w:rPr>
          <w:rFonts w:ascii="Calibri" w:hAnsi="Calibri"/>
          <w:b/>
          <w:color w:val="881337"/>
          <w:sz w:val="24"/>
        </w:rPr>
        <w:t>B. Ask Red Bear Speech-to-Text (LIVE VERIFIED)</w:t>
      </w:r>
    </w:p>
    <w:p>
      <w:pPr>
        <w:spacing w:before="0" w:after="80" w:line="276" w:lineRule="auto"/>
      </w:pPr>
      <w:r>
        <w:rPr>
          <w:rFonts w:ascii="Calibri" w:hAnsi="Calibri"/>
          <w:color w:val="334155"/>
          <w:sz w:val="19"/>
        </w:rPr>
        <w:t>Authorized staff using the Ask Red Bear cultural and policy assistant (/ask-red-bear) can dictate prompts using their browser microphone. In accordance with executive design principles:</w:t>
        <w:br/>
        <w:t>• Assistive Prompt Input Only: Authorized staff can dictate an Ask Red Bear prompt using the microphone, review and edit the resulting transcription, and then explicitly choose whether to submit the prompt. Speech transcription does not automatically send a request to Ask Red Bear.</w:t>
        <w:br/>
        <w:t>• Independent Infrastructure: The speech engine is hosted within CRBCL's application infrastructure using local Whisper/faster-whisper. The current speech implementation does not require an OpenAI, Google, Azure, or AWS speech-recognition account.</w:t>
        <w:br/>
        <w:t>• Preserves Existing Text: If staff have typed a prefix (e.g. 'Testing Ask Red Bear input. '), the transcript is cleanly appended after the existing text.</w:t>
        <w:br/>
        <w:t>• Zero Auto-Submission: Completing dictation NEVER presses Send, NEVER executes a query, and NEVER creates a conversation automatically. Staff retain absolute control over whether and when to submit the prompt.</w:t>
        <w:br/>
        <w:t>• Production Verification: Confirmed live by CRBCL end-user testing and validated via live Railway backend endpoint (/api/v1/ask-red-bear/transcribe) and synthetic browser automation.</w:t>
      </w:r>
    </w:p>
    <w:p>
      <w:pPr>
        <w:keepNext/>
        <w:spacing w:before="240" w:after="80"/>
      </w:pPr>
      <w:r>
        <w:rPr>
          <w:rFonts w:ascii="Calibri" w:hAnsi="Calibri"/>
          <w:b/>
          <w:color w:val="881337"/>
          <w:sz w:val="24"/>
        </w:rPr>
        <w:t>C. Case Note Addendum Speech-to-Text (LIVE VERIFIED)</w:t>
      </w:r>
    </w:p>
    <w:p>
      <w:pPr>
        <w:spacing w:before="0" w:after="80" w:line="276" w:lineRule="auto"/>
      </w:pPr>
      <w:r>
        <w:rPr>
          <w:rFonts w:ascii="Calibri" w:hAnsi="Calibri"/>
          <w:color w:val="334155"/>
          <w:sz w:val="19"/>
        </w:rPr>
        <w:t>On October 5, 2026, the technical team successfully conducted positive-path live verification of Addendum speech-to-text dictation against an existing locked case note on the live Railway production backend. Key findings:</w:t>
        <w:br/>
        <w:t>• Validated Target Association: Submitting audio for an addendum requires explicit note_id and case_id parameters. The backend verifies that the target note exists, is locked/finalized, belongs to the case, and the caseworker holds case_note.addendum authority.</w:t>
        <w:br/>
        <w:t>• Positive-Path Live Test: Synthetic test audio ('This is a synthetic CRBCL Addendum speech verification test. No community or client information is included.') was transmitted to /api/v1/cases/{case_id}/notes/transcribe with purpose='addendum' and note_id.</w:t>
        <w:br/>
        <w:t>• Live Response: Returned HTTP 200 OK in 10.96s with accurate transcription and strict privacy headers ('Cache-Control: no-store, private', 'Pragma: no-cache').</w:t>
        <w:br/>
        <w:t>• Zero Database Mutation: Verification confirmed that the addendums collection count before transcription (0) matched the count after transcription (0). Zero database records were created or modified solely by speech transcription.</w:t>
      </w:r>
    </w:p>
    <w:p>
      <w:pPr>
        <w:keepNext/>
        <w:spacing w:before="240" w:after="80"/>
      </w:pPr>
      <w:r>
        <w:rPr>
          <w:rFonts w:ascii="Calibri" w:hAnsi="Calibri"/>
          <w:b/>
          <w:color w:val="881337"/>
          <w:sz w:val="24"/>
        </w:rPr>
        <w:t>D. Ask Red Bear AI Answer Generation (STUBBED / NOT LIVE)</w:t>
      </w:r>
    </w:p>
    <w:p>
      <w:pPr>
        <w:spacing w:before="0" w:after="80" w:line="276" w:lineRule="auto"/>
      </w:pPr>
      <w:r>
        <w:rPr>
          <w:rFonts w:ascii="Calibri" w:hAnsi="Calibri"/>
          <w:color w:val="334155"/>
          <w:sz w:val="19"/>
        </w:rPr>
        <w:t>It is vital to maintain the clear architectural distinction between Ask Red Bear SPEECH INPUT and Ask Red Bear AI ANSWER GENERATION:</w:t>
        <w:br/>
        <w:t>• Speech-to-text converts voice audio to text strings. It is fully LIVE VERIFIED on production infrastructure.</w:t>
        <w:br/>
        <w:t>• Ask Red Bear AI answer generation is the downstream process of answering caseworker queries. In the current production deployment, this capability runs against a synthetic offline provider (FakeAiProvider / FakeClaude35Sonnet) and is disabled by default (CRBCL_AI_ENABLED=False).</w:t>
        <w:br/>
        <w:t>• No commercial Large Language Model (LLM) — including OpenAI ChatGPT, Google Gemini, Anthropic Claude, or Azure OpenAI — is connected, configured, or authorized to process CRBCL case data.</w:t>
        <w:br/>
        <w:t>• Classification: Ask Red Bear Speech Input is LIVE VERIFIED; Ask Red Bear AI Answer Generation remains STUBBED / NOT LIVE.</w:t>
      </w:r>
    </w:p>
    <w:p>
      <w:pPr>
        <w:keepNext/>
        <w:spacing w:before="240" w:after="80"/>
      </w:pPr>
      <w:r>
        <w:rPr>
          <w:rFonts w:ascii="Calibri" w:hAnsi="Calibri"/>
          <w:b/>
          <w:color w:val="881337"/>
          <w:sz w:val="24"/>
        </w:rPr>
        <w:t>E. Privacy, Transience &amp; Data Sovereignty Architecture</w:t>
      </w:r>
    </w:p>
    <w:p>
      <w:pPr>
        <w:spacing w:before="0" w:after="80" w:line="276" w:lineRule="auto"/>
      </w:pPr>
      <w:r>
        <w:rPr>
          <w:rFonts w:ascii="Calibri" w:hAnsi="Calibri"/>
          <w:color w:val="334155"/>
          <w:sz w:val="19"/>
        </w:rPr>
        <w:t>To protect Indigenous data sovereignty and client privacy under the Miyo Pimatisowin Act:</w:t>
      </w:r>
    </w:p>
    <w:p>
      <w:pPr>
        <w:pStyle w:val="ListBullet"/>
        <w:spacing w:before="0" w:after="50" w:line="276" w:lineRule="auto"/>
      </w:pPr>
      <w:r>
        <w:rPr>
          <w:rFonts w:ascii="Calibri" w:hAnsi="Calibri"/>
          <w:b/>
          <w:color w:val="0F172A"/>
          <w:sz w:val="19"/>
        </w:rPr>
        <w:t>Transient In-Memory Processing:</w:t>
      </w:r>
      <w:r>
        <w:rPr>
          <w:rFonts w:ascii="Calibri" w:hAnsi="Calibri"/>
          <w:color w:val="334155"/>
          <w:sz w:val="19"/>
        </w:rPr>
        <w:t xml:space="preserve"> Raw dictation audio is processed transiently in memory and is not deliberately persisted by the application. Audio is never stored in PostgreSQL database tables or local filesystem caches.</w:t>
      </w:r>
    </w:p>
    <w:p>
      <w:pPr>
        <w:pStyle w:val="ListBullet"/>
        <w:spacing w:before="0" w:after="50" w:line="276" w:lineRule="auto"/>
      </w:pPr>
      <w:r>
        <w:rPr>
          <w:rFonts w:ascii="Calibri" w:hAnsi="Calibri"/>
          <w:b/>
          <w:color w:val="0F172A"/>
          <w:sz w:val="19"/>
        </w:rPr>
        <w:t>No Default Object Storage Retention:</w:t>
      </w:r>
      <w:r>
        <w:rPr>
          <w:rFonts w:ascii="Calibri" w:hAnsi="Calibri"/>
          <w:color w:val="334155"/>
          <w:sz w:val="19"/>
        </w:rPr>
        <w:t xml:space="preserve"> Dictation audio files are not uploaded to AWS S3, MinIO, or cloud object storage buckets by default.</w:t>
      </w:r>
    </w:p>
    <w:p>
      <w:pPr>
        <w:pStyle w:val="ListBullet"/>
        <w:spacing w:before="0" w:after="50" w:line="276" w:lineRule="auto"/>
      </w:pPr>
      <w:r>
        <w:rPr>
          <w:rFonts w:ascii="Calibri" w:hAnsi="Calibri"/>
          <w:b/>
          <w:color w:val="0F172A"/>
          <w:sz w:val="19"/>
        </w:rPr>
        <w:t>Exclusion from Diagnostic Logs:</w:t>
      </w:r>
      <w:r>
        <w:rPr>
          <w:rFonts w:ascii="Calibri" w:hAnsi="Calibri"/>
          <w:color w:val="334155"/>
          <w:sz w:val="19"/>
        </w:rPr>
        <w:t xml:space="preserve"> Raw audio bytes, transcribed narrative text, case note content, and user prompts are strictly excluded from server log files and diagnostic traces.</w:t>
      </w:r>
    </w:p>
    <w:p>
      <w:pPr>
        <w:pStyle w:val="ListBullet"/>
        <w:spacing w:before="0" w:after="50" w:line="276" w:lineRule="auto"/>
      </w:pPr>
      <w:r>
        <w:rPr>
          <w:rFonts w:ascii="Calibri" w:hAnsi="Calibri"/>
          <w:b/>
          <w:color w:val="0F172A"/>
          <w:sz w:val="19"/>
        </w:rPr>
        <w:t>Strict HTTP Privacy Headers:</w:t>
      </w:r>
      <w:r>
        <w:rPr>
          <w:rFonts w:ascii="Calibri" w:hAnsi="Calibri"/>
          <w:color w:val="334155"/>
          <w:sz w:val="19"/>
        </w:rPr>
        <w:t xml:space="preserve"> Transcription endpoints return strict 'Cache-Control: no-store, private' and 'Pragma: no-cache' headers to prevent intermediate browser or proxy caching.</w:t>
      </w:r>
    </w:p>
    <w:p>
      <w:pPr>
        <w:pStyle w:val="ListBullet"/>
        <w:spacing w:before="0" w:after="50" w:line="276" w:lineRule="auto"/>
      </w:pPr>
      <w:r>
        <w:rPr>
          <w:rFonts w:ascii="Calibri" w:hAnsi="Calibri"/>
          <w:b/>
          <w:color w:val="0F172A"/>
          <w:sz w:val="19"/>
        </w:rPr>
        <w:t>Metadata-Only Audit Records:</w:t>
      </w:r>
      <w:r>
        <w:rPr>
          <w:rFonts w:ascii="Calibri" w:hAnsi="Calibri"/>
          <w:color w:val="334155"/>
          <w:sz w:val="19"/>
        </w:rPr>
        <w:t xml:space="preserve"> Immutable audit logs capture non-narrative technical metadata only (actor ID, timestamp, transcription purpose, provider ID, MIME content-type, byte length, and success/failure outcome).</w:t>
      </w:r>
    </w:p>
    <w:p>
      <w:pPr>
        <w:keepNext/>
        <w:spacing w:before="320" w:after="120"/>
      </w:pPr>
      <w:r>
        <w:rPr>
          <w:rFonts w:ascii="Calibri" w:hAnsi="Calibri"/>
          <w:b/>
          <w:color w:val="1E3A8A"/>
          <w:sz w:val="28"/>
        </w:rPr>
        <w:t>14. Speech-to-Text Workflow &amp; Quality Verification Standards</w:t>
      </w:r>
    </w:p>
    <w:p>
      <w:pPr>
        <w:spacing w:before="0" w:after="80" w:line="276" w:lineRule="auto"/>
      </w:pPr>
      <w:r>
        <w:rPr>
          <w:rFonts w:ascii="Calibri" w:hAnsi="Calibri"/>
          <w:color w:val="334155"/>
          <w:sz w:val="19"/>
        </w:rPr>
        <w:t>The 10-step authorized workflow governing both Case Notes and Ask Red Bear speech input:</w:t>
      </w:r>
    </w:p>
    <w:p>
      <w:pPr>
        <w:pStyle w:val="ListBullet"/>
        <w:spacing w:before="0" w:after="50" w:line="276" w:lineRule="auto"/>
      </w:pPr>
      <w:r>
        <w:rPr>
          <w:rFonts w:ascii="Calibri" w:hAnsi="Calibri"/>
          <w:b/>
          <w:color w:val="0F172A"/>
          <w:sz w:val="19"/>
        </w:rPr>
        <w:t>Step 1: Open Context:</w:t>
      </w:r>
      <w:r>
        <w:rPr>
          <w:rFonts w:ascii="Calibri" w:hAnsi="Calibri"/>
          <w:color w:val="334155"/>
          <w:sz w:val="19"/>
        </w:rPr>
        <w:t xml:space="preserve"> An authorized caseworker opens an active Case Note, Addendum, or Ask Red Bear interface.</w:t>
      </w:r>
    </w:p>
    <w:p>
      <w:pPr>
        <w:pStyle w:val="ListBullet"/>
        <w:spacing w:before="0" w:after="50" w:line="276" w:lineRule="auto"/>
      </w:pPr>
      <w:r>
        <w:rPr>
          <w:rFonts w:ascii="Calibri" w:hAnsi="Calibri"/>
          <w:b/>
          <w:color w:val="0F172A"/>
          <w:sz w:val="19"/>
        </w:rPr>
        <w:t>Step 2: Optional Typing:</w:t>
      </w:r>
      <w:r>
        <w:rPr>
          <w:rFonts w:ascii="Calibri" w:hAnsi="Calibri"/>
          <w:color w:val="334155"/>
          <w:sz w:val="19"/>
        </w:rPr>
        <w:t xml:space="preserve"> Staff may type text normally before, during, or after dictation without restriction.</w:t>
      </w:r>
    </w:p>
    <w:p>
      <w:pPr>
        <w:pStyle w:val="ListBullet"/>
        <w:spacing w:before="0" w:after="50" w:line="276" w:lineRule="auto"/>
      </w:pPr>
      <w:r>
        <w:rPr>
          <w:rFonts w:ascii="Calibri" w:hAnsi="Calibri"/>
          <w:b/>
          <w:color w:val="0F172A"/>
          <w:sz w:val="19"/>
        </w:rPr>
        <w:t>Step 3: Initiate Dictation:</w:t>
      </w:r>
      <w:r>
        <w:rPr>
          <w:rFonts w:ascii="Calibri" w:hAnsi="Calibri"/>
          <w:color w:val="334155"/>
          <w:sz w:val="19"/>
        </w:rPr>
        <w:t xml:space="preserve"> Staff clicks the prominent Microphone icon in the input toolbar.</w:t>
      </w:r>
    </w:p>
    <w:p>
      <w:pPr>
        <w:pStyle w:val="ListBullet"/>
        <w:spacing w:before="0" w:after="50" w:line="276" w:lineRule="auto"/>
      </w:pPr>
      <w:r>
        <w:rPr>
          <w:rFonts w:ascii="Calibri" w:hAnsi="Calibri"/>
          <w:b/>
          <w:color w:val="0F172A"/>
          <w:sz w:val="19"/>
        </w:rPr>
        <w:t>Step 4: Visible Recording:</w:t>
      </w:r>
      <w:r>
        <w:rPr>
          <w:rFonts w:ascii="Calibri" w:hAnsi="Calibri"/>
          <w:color w:val="334155"/>
          <w:sz w:val="19"/>
        </w:rPr>
        <w:t xml:space="preserve"> Browser prompts for microphone permission; recording state is visibly indicated with pulse animation and elapsed time.</w:t>
      </w:r>
    </w:p>
    <w:p>
      <w:pPr>
        <w:pStyle w:val="ListBullet"/>
        <w:spacing w:before="0" w:after="50" w:line="276" w:lineRule="auto"/>
      </w:pPr>
      <w:r>
        <w:rPr>
          <w:rFonts w:ascii="Calibri" w:hAnsi="Calibri"/>
          <w:b/>
          <w:color w:val="0F172A"/>
          <w:sz w:val="19"/>
        </w:rPr>
        <w:t>Step 5: User Control:</w:t>
      </w:r>
      <w:r>
        <w:rPr>
          <w:rFonts w:ascii="Calibri" w:hAnsi="Calibri"/>
          <w:color w:val="334155"/>
          <w:sz w:val="19"/>
        </w:rPr>
        <w:t xml:space="preserve"> Staff may click 'Stop' to transcribe or 'Cancel' to discard the audio without sending.</w:t>
      </w:r>
    </w:p>
    <w:p>
      <w:pPr>
        <w:pStyle w:val="ListBullet"/>
        <w:spacing w:before="0" w:after="50" w:line="276" w:lineRule="auto"/>
      </w:pPr>
      <w:r>
        <w:rPr>
          <w:rFonts w:ascii="Calibri" w:hAnsi="Calibri"/>
          <w:b/>
          <w:color w:val="0F172A"/>
          <w:sz w:val="19"/>
        </w:rPr>
        <w:t>Step 6: Secure Transmission:</w:t>
      </w:r>
      <w:r>
        <w:rPr>
          <w:rFonts w:ascii="Calibri" w:hAnsi="Calibri"/>
          <w:color w:val="334155"/>
          <w:sz w:val="19"/>
        </w:rPr>
        <w:t xml:space="preserve"> Audio blob is transmitted via secure HTTPS multipart upload to the backend transcription endpoint.</w:t>
      </w:r>
    </w:p>
    <w:p>
      <w:pPr>
        <w:pStyle w:val="ListBullet"/>
        <w:spacing w:before="0" w:after="50" w:line="276" w:lineRule="auto"/>
      </w:pPr>
      <w:r>
        <w:rPr>
          <w:rFonts w:ascii="Calibri" w:hAnsi="Calibri"/>
          <w:b/>
          <w:color w:val="0F172A"/>
          <w:sz w:val="19"/>
        </w:rPr>
        <w:t>Step 7: Sovereign Processing:</w:t>
      </w:r>
      <w:r>
        <w:rPr>
          <w:rFonts w:ascii="Calibri" w:hAnsi="Calibri"/>
          <w:color w:val="334155"/>
          <w:sz w:val="19"/>
        </w:rPr>
        <w:t xml:space="preserve"> Self-hosted local Whisper processes the audio in-memory and returns the transcribed text string.</w:t>
      </w:r>
    </w:p>
    <w:p>
      <w:pPr>
        <w:pStyle w:val="ListBullet"/>
        <w:spacing w:before="0" w:after="50" w:line="276" w:lineRule="auto"/>
      </w:pPr>
      <w:r>
        <w:rPr>
          <w:rFonts w:ascii="Calibri" w:hAnsi="Calibri"/>
          <w:b/>
          <w:color w:val="0F172A"/>
          <w:sz w:val="19"/>
        </w:rPr>
        <w:t>Step 8: Append to Draft:</w:t>
      </w:r>
      <w:r>
        <w:rPr>
          <w:rFonts w:ascii="Calibri" w:hAnsi="Calibri"/>
          <w:color w:val="334155"/>
          <w:sz w:val="19"/>
        </w:rPr>
        <w:t xml:space="preserve"> The transcript is APPENDED to the existing draft text. Existing typed content is NEVER overwritten.</w:t>
      </w:r>
    </w:p>
    <w:p>
      <w:pPr>
        <w:pStyle w:val="ListBullet"/>
        <w:spacing w:before="0" w:after="50" w:line="276" w:lineRule="auto"/>
      </w:pPr>
      <w:r>
        <w:rPr>
          <w:rFonts w:ascii="Calibri" w:hAnsi="Calibri"/>
          <w:b/>
          <w:color w:val="0F172A"/>
          <w:sz w:val="19"/>
        </w:rPr>
        <w:t>Step 9: Staff Review:</w:t>
      </w:r>
      <w:r>
        <w:rPr>
          <w:rFonts w:ascii="Calibri" w:hAnsi="Calibri"/>
          <w:color w:val="334155"/>
          <w:sz w:val="19"/>
        </w:rPr>
        <w:t xml:space="preserve"> Staff reviews the transcript, edits any terminology or phrasing, and corrects probabilistic recognition errors.</w:t>
      </w:r>
    </w:p>
    <w:p>
      <w:pPr>
        <w:pStyle w:val="ListBullet"/>
        <w:spacing w:before="0" w:after="50" w:line="276" w:lineRule="auto"/>
      </w:pPr>
      <w:r>
        <w:rPr>
          <w:rFonts w:ascii="Calibri" w:hAnsi="Calibri"/>
          <w:b/>
          <w:color w:val="0F172A"/>
          <w:sz w:val="19"/>
        </w:rPr>
        <w:t>Step 10: Explicit Action:</w:t>
      </w:r>
      <w:r>
        <w:rPr>
          <w:rFonts w:ascii="Calibri" w:hAnsi="Calibri"/>
          <w:color w:val="334155"/>
          <w:sz w:val="19"/>
        </w:rPr>
        <w:t xml:space="preserve"> Staff explicitly clicks 'Save Note' or 'Ask / Send'. Transcription NEVER triggers automated submission.</w:t>
      </w:r>
    </w:p>
    <w:p>
      <w:pPr>
        <w:keepNext/>
        <w:spacing w:before="320" w:after="120"/>
      </w:pPr>
      <w:r>
        <w:rPr>
          <w:rFonts w:ascii="Calibri" w:hAnsi="Calibri"/>
          <w:b/>
          <w:color w:val="1E3A8A"/>
          <w:sz w:val="28"/>
        </w:rPr>
        <w:t>15. Resource Unit &amp; Placements</w:t>
      </w:r>
    </w:p>
    <w:p>
      <w:pPr>
        <w:spacing w:before="0" w:after="80" w:line="276" w:lineRule="auto"/>
      </w:pPr>
      <w:r>
        <w:rPr>
          <w:rFonts w:ascii="Calibri" w:hAnsi="Calibri"/>
          <w:color w:val="334155"/>
          <w:sz w:val="19"/>
        </w:rPr>
        <w:t>The Resource Unit workspaces (/resource-team, /placement-homes, /resource-team/recruitment, /placement-matching) manage CRBCL's customary care network, prospective caregiver recruitment, homestudy approvals, and placement capacity.</w:t>
      </w:r>
    </w:p>
    <w:p>
      <w:pPr>
        <w:pStyle w:val="ListBullet"/>
        <w:spacing w:before="0" w:after="50" w:line="276" w:lineRule="auto"/>
      </w:pPr>
      <w:r>
        <w:rPr>
          <w:rFonts w:ascii="Calibri" w:hAnsi="Calibri"/>
          <w:b/>
          <w:color w:val="0F172A"/>
          <w:sz w:val="19"/>
        </w:rPr>
        <w:t>Caregiver Recruitment Pipeline (/resource-team/recruitment):</w:t>
      </w:r>
      <w:r>
        <w:rPr>
          <w:rFonts w:ascii="Calibri" w:hAnsi="Calibri"/>
          <w:color w:val="334155"/>
          <w:sz w:val="19"/>
        </w:rPr>
        <w:t xml:space="preserve"> Prospective caregiver application tracking from initial community inquiry through orientation, homestudy assessment, and formal approval.</w:t>
      </w:r>
    </w:p>
    <w:p>
      <w:pPr>
        <w:pStyle w:val="ListBullet"/>
        <w:spacing w:before="0" w:after="50" w:line="276" w:lineRule="auto"/>
      </w:pPr>
      <w:r>
        <w:rPr>
          <w:rFonts w:ascii="Calibri" w:hAnsi="Calibri"/>
          <w:b/>
          <w:color w:val="0F172A"/>
          <w:sz w:val="19"/>
        </w:rPr>
        <w:t>Placement Homes &amp; Capacity (/placement-homes):</w:t>
      </w:r>
      <w:r>
        <w:rPr>
          <w:rFonts w:ascii="Calibri" w:hAnsi="Calibri"/>
          <w:color w:val="334155"/>
          <w:sz w:val="19"/>
        </w:rPr>
        <w:t xml:space="preserve"> Active customary care and foster homes, approved bed capacity, home safety inspections, annual license renewals, and background clearances.</w:t>
      </w:r>
    </w:p>
    <w:p>
      <w:pPr>
        <w:pStyle w:val="ListBullet"/>
        <w:spacing w:before="0" w:after="50" w:line="276" w:lineRule="auto"/>
      </w:pPr>
      <w:r>
        <w:rPr>
          <w:rFonts w:ascii="Calibri" w:hAnsi="Calibri"/>
          <w:b/>
          <w:color w:val="0F172A"/>
          <w:sz w:val="19"/>
        </w:rPr>
        <w:t>Placement Matching Decision-Support (/placement-matching):</w:t>
      </w:r>
      <w:r>
        <w:rPr>
          <w:rFonts w:ascii="Calibri" w:hAnsi="Calibri"/>
          <w:color w:val="334155"/>
          <w:sz w:val="19"/>
        </w:rPr>
        <w:t xml:space="preserve"> Decision-support tool assisting caseworkers in matching children with available caregivers based on cultural affinity, sibling preservation, band affiliation, and geographic proximity.</w:t>
      </w:r>
    </w:p>
    <w:p>
      <w:pPr>
        <w:spacing w:before="0" w:after="80" w:line="276" w:lineRule="auto"/>
      </w:pPr>
      <w:r>
        <w:rPr>
          <w:rFonts w:ascii="Calibri" w:hAnsi="Calibri"/>
          <w:color w:val="334155"/>
          <w:sz w:val="19"/>
        </w:rPr>
        <w:t>Governance Note: Placement matching algorithms are assistive decision-support tools only. All placement decisions require human caseworker and supervisory approval. Caregiver identities reuse canonical Person profiles to ensure relational consistency.</w:t>
      </w:r>
    </w:p>
    <w:p>
      <w:r>
        <w:br w:type="page"/>
      </w:r>
    </w:p>
    <w:p>
      <w:pPr>
        <w:keepNext/>
        <w:spacing w:before="320" w:after="120"/>
      </w:pPr>
      <w:r>
        <w:rPr>
          <w:rFonts w:ascii="Calibri" w:hAnsi="Calibri"/>
          <w:b/>
          <w:color w:val="1E3A8A"/>
          <w:sz w:val="28"/>
        </w:rPr>
        <w:t>16. Finance &amp; Operational Financial Workflows</w:t>
      </w:r>
    </w:p>
    <w:p>
      <w:pPr>
        <w:spacing w:before="0" w:after="80" w:line="276" w:lineRule="auto"/>
      </w:pPr>
      <w:r>
        <w:rPr>
          <w:rFonts w:ascii="Calibri" w:hAnsi="Calibri"/>
          <w:color w:val="334155"/>
          <w:sz w:val="19"/>
        </w:rPr>
        <w:t>The Finance module (/finance) manages child-specific service purchase requests, per diem caregiver billing, and agency budget line tracking. All monetary calculations enforce strict Decimal/NUMERIC precision in the database.</w:t>
      </w:r>
    </w:p>
    <w:p>
      <w:pPr>
        <w:pStyle w:val="ListBullet"/>
        <w:spacing w:before="0" w:after="50" w:line="276" w:lineRule="auto"/>
      </w:pPr>
      <w:r>
        <w:rPr>
          <w:rFonts w:ascii="Calibri" w:hAnsi="Calibri"/>
          <w:b/>
          <w:color w:val="0F172A"/>
          <w:sz w:val="19"/>
        </w:rPr>
        <w:t>Child Service Requests (/finance/requests):</w:t>
      </w:r>
      <w:r>
        <w:rPr>
          <w:rFonts w:ascii="Calibri" w:hAnsi="Calibri"/>
          <w:color w:val="334155"/>
          <w:sz w:val="19"/>
        </w:rPr>
        <w:t xml:space="preserve"> Formal funding requests for child clothing, dental/medical needs, specialized counseling, or emergency food hampers, requiring supervisory approval.</w:t>
      </w:r>
    </w:p>
    <w:p>
      <w:pPr>
        <w:pStyle w:val="ListBullet"/>
        <w:spacing w:before="0" w:after="50" w:line="276" w:lineRule="auto"/>
      </w:pPr>
      <w:r>
        <w:rPr>
          <w:rFonts w:ascii="Calibri" w:hAnsi="Calibri"/>
          <w:b/>
          <w:color w:val="0F172A"/>
          <w:sz w:val="19"/>
        </w:rPr>
        <w:t>Caregiver Per Diem Invoices (/finance/invoices):</w:t>
      </w:r>
      <w:r>
        <w:rPr>
          <w:rFonts w:ascii="Calibri" w:hAnsi="Calibri"/>
          <w:color w:val="334155"/>
          <w:sz w:val="19"/>
        </w:rPr>
        <w:t xml:space="preserve"> Automated monthly billing calculations for licensed customary care providers based on established agency per diem rate cards.</w:t>
      </w:r>
    </w:p>
    <w:p>
      <w:pPr>
        <w:pStyle w:val="ListBullet"/>
        <w:spacing w:before="0" w:after="50" w:line="276" w:lineRule="auto"/>
      </w:pPr>
      <w:r>
        <w:rPr>
          <w:rFonts w:ascii="Calibri" w:hAnsi="Calibri"/>
          <w:b/>
          <w:color w:val="0F172A"/>
          <w:sz w:val="19"/>
        </w:rPr>
        <w:t>Departmental Budget Lines (/finance/budget-lines):</w:t>
      </w:r>
      <w:r>
        <w:rPr>
          <w:rFonts w:ascii="Calibri" w:hAnsi="Calibri"/>
          <w:color w:val="334155"/>
          <w:sz w:val="19"/>
        </w:rPr>
        <w:t xml:space="preserve"> Program-specific budget tracking allowing finance directors to monitor operational spending against approved annual allocations.</w:t>
      </w:r>
    </w:p>
    <w:p>
      <w:pPr>
        <w:pStyle w:val="ListBullet"/>
        <w:spacing w:before="0" w:after="50" w:line="276" w:lineRule="auto"/>
      </w:pPr>
      <w:r>
        <w:rPr>
          <w:rFonts w:ascii="Calibri" w:hAnsi="Calibri"/>
          <w:b/>
          <w:color w:val="0F172A"/>
          <w:sz w:val="19"/>
        </w:rPr>
        <w:t>Financial Audit Ledger (/finance/ledger):</w:t>
      </w:r>
      <w:r>
        <w:rPr>
          <w:rFonts w:ascii="Calibri" w:hAnsi="Calibri"/>
          <w:color w:val="334155"/>
          <w:sz w:val="19"/>
        </w:rPr>
        <w:t xml:space="preserve"> Double-entry financial audit ledger recording transaction timestamps, actor IDs, and line item allocations.</w:t>
      </w:r>
    </w:p>
    <w:p>
      <w:pPr>
        <w:spacing w:before="0" w:after="80" w:line="276" w:lineRule="auto"/>
      </w:pPr>
      <w:r>
        <w:rPr>
          <w:rFonts w:ascii="Calibri" w:hAnsi="Calibri"/>
          <w:color w:val="334155"/>
          <w:sz w:val="19"/>
        </w:rPr>
        <w:t>Realistic Operational Status: Automated caregiver payroll, live Sage API connectors, and automated Indigenous Services Canada (ISC) reconciliation remain future architectural goals. Current source provides structured export/import workflows rather than live external accounting database links.</w:t>
      </w:r>
    </w:p>
    <w:p>
      <w:pPr>
        <w:keepNext/>
        <w:spacing w:before="320" w:after="120"/>
      </w:pPr>
      <w:r>
        <w:rPr>
          <w:rFonts w:ascii="Calibri" w:hAnsi="Calibri"/>
          <w:b/>
          <w:color w:val="1E3A8A"/>
          <w:sz w:val="28"/>
        </w:rPr>
        <w:t>17. Executive Leadership &amp; CEO Command Centre</w:t>
      </w:r>
    </w:p>
    <w:p>
      <w:pPr>
        <w:spacing w:before="0" w:after="80" w:line="276" w:lineRule="auto"/>
      </w:pPr>
      <w:r>
        <w:rPr>
          <w:rFonts w:ascii="Calibri" w:hAnsi="Calibri"/>
          <w:color w:val="334155"/>
          <w:sz w:val="19"/>
        </w:rPr>
        <w:t>The CEO Command Centre (/ceo) and Executive Director Dashboard (/executive) provide high-level strategic governance views synthesizing cross-agency performance indicators, capital initiatives, and sovereign child welfare metrics.</w:t>
      </w:r>
    </w:p>
    <w:p>
      <w:pPr>
        <w:pStyle w:val="ListBullet"/>
        <w:spacing w:before="0" w:after="50" w:line="276" w:lineRule="auto"/>
      </w:pPr>
      <w:r>
        <w:rPr>
          <w:rFonts w:ascii="Calibri" w:hAnsi="Calibri"/>
          <w:b/>
          <w:color w:val="0F172A"/>
          <w:sz w:val="19"/>
        </w:rPr>
        <w:t>CEO Command Centre (/ceo):</w:t>
      </w:r>
      <w:r>
        <w:rPr>
          <w:rFonts w:ascii="Calibri" w:hAnsi="Calibri"/>
          <w:color w:val="334155"/>
          <w:sz w:val="19"/>
        </w:rPr>
        <w:t xml:space="preserve"> Strategic initiative milestone tracking, major capital allocation projects, community partnership agreements, and sovereign law transition benchmarks.</w:t>
      </w:r>
    </w:p>
    <w:p>
      <w:pPr>
        <w:pStyle w:val="ListBullet"/>
        <w:spacing w:before="0" w:after="50" w:line="276" w:lineRule="auto"/>
      </w:pPr>
      <w:r>
        <w:rPr>
          <w:rFonts w:ascii="Calibri" w:hAnsi="Calibri"/>
          <w:b/>
          <w:color w:val="0F172A"/>
          <w:sz w:val="19"/>
        </w:rPr>
        <w:t>Executive Director Dashboard (/executive):</w:t>
      </w:r>
      <w:r>
        <w:rPr>
          <w:rFonts w:ascii="Calibri" w:hAnsi="Calibri"/>
          <w:color w:val="334155"/>
          <w:sz w:val="19"/>
        </w:rPr>
        <w:t xml:space="preserve"> Agency-wide active caseloads, intake trends, staffing ratios, and cross-departmental operational escalations.</w:t>
      </w:r>
    </w:p>
    <w:p>
      <w:pPr>
        <w:pStyle w:val="ListBullet"/>
        <w:spacing w:before="0" w:after="50" w:line="276" w:lineRule="auto"/>
      </w:pPr>
      <w:r>
        <w:rPr>
          <w:rFonts w:ascii="Calibri" w:hAnsi="Calibri"/>
          <w:b/>
          <w:color w:val="0F172A"/>
          <w:sz w:val="19"/>
        </w:rPr>
        <w:t>Director / Manager Dashboard (/director):</w:t>
      </w:r>
      <w:r>
        <w:rPr>
          <w:rFonts w:ascii="Calibri" w:hAnsi="Calibri"/>
          <w:color w:val="334155"/>
          <w:sz w:val="19"/>
        </w:rPr>
        <w:t xml:space="preserve"> Program-level operational metrics and supervisory workload reviews.</w:t>
      </w:r>
    </w:p>
    <w:p>
      <w:pPr>
        <w:keepNext/>
        <w:spacing w:before="320" w:after="120"/>
      </w:pPr>
      <w:r>
        <w:rPr>
          <w:rFonts w:ascii="Calibri" w:hAnsi="Calibri"/>
          <w:b/>
          <w:color w:val="1E3A8A"/>
          <w:sz w:val="28"/>
        </w:rPr>
        <w:t>18. Board of Governors Governance Portal</w:t>
      </w:r>
    </w:p>
    <w:p>
      <w:pPr>
        <w:spacing w:before="0" w:after="80" w:line="276" w:lineRule="auto"/>
      </w:pPr>
      <w:r>
        <w:rPr>
          <w:rFonts w:ascii="Calibri" w:hAnsi="Calibri"/>
          <w:color w:val="334155"/>
          <w:sz w:val="19"/>
        </w:rPr>
        <w:t>The Board Governance Portal (/board) provides members of the CRBCL Board of Governors with a dedicated, secure environment for reviewing leadership reports and formal decision records.</w:t>
      </w:r>
    </w:p>
    <w:p>
      <w:pPr>
        <w:pStyle w:val="ListBullet"/>
        <w:spacing w:before="0" w:after="50" w:line="276" w:lineRule="auto"/>
      </w:pPr>
      <w:r>
        <w:rPr>
          <w:rFonts w:ascii="Calibri" w:hAnsi="Calibri"/>
          <w:b/>
          <w:color w:val="0F172A"/>
          <w:sz w:val="19"/>
        </w:rPr>
        <w:t>In-Camera Document Packages:</w:t>
      </w:r>
      <w:r>
        <w:rPr>
          <w:rFonts w:ascii="Calibri" w:hAnsi="Calibri"/>
          <w:color w:val="334155"/>
          <w:sz w:val="19"/>
        </w:rPr>
        <w:t xml:space="preserve"> Board packages are published under explicit in-camera publication controls, ensuring sensitive legal deliberations remain confidential.</w:t>
      </w:r>
    </w:p>
    <w:p>
      <w:pPr>
        <w:pStyle w:val="ListBullet"/>
        <w:spacing w:before="0" w:after="50" w:line="276" w:lineRule="auto"/>
      </w:pPr>
      <w:r>
        <w:rPr>
          <w:rFonts w:ascii="Calibri" w:hAnsi="Calibri"/>
          <w:b/>
          <w:color w:val="0F172A"/>
          <w:sz w:val="19"/>
        </w:rPr>
        <w:t>Formal Decision Records:</w:t>
      </w:r>
      <w:r>
        <w:rPr>
          <w:rFonts w:ascii="Calibri" w:hAnsi="Calibri"/>
          <w:color w:val="334155"/>
          <w:sz w:val="19"/>
        </w:rPr>
        <w:t xml:space="preserve"> Formal recording of Board motions, quorum determinations, resolutions, and community sovereignty policies.</w:t>
      </w:r>
    </w:p>
    <w:p>
      <w:pPr>
        <w:pStyle w:val="ListBullet"/>
        <w:spacing w:before="0" w:after="50" w:line="276" w:lineRule="auto"/>
      </w:pPr>
      <w:r>
        <w:rPr>
          <w:rFonts w:ascii="Calibri" w:hAnsi="Calibri"/>
          <w:b/>
          <w:color w:val="0F172A"/>
          <w:sz w:val="19"/>
        </w:rPr>
        <w:t>Strict Operational Separation:</w:t>
      </w:r>
      <w:r>
        <w:rPr>
          <w:rFonts w:ascii="Calibri" w:hAnsi="Calibri"/>
          <w:color w:val="334155"/>
          <w:sz w:val="19"/>
        </w:rPr>
        <w:t xml:space="preserve"> In accordance with governance best practices, Board members have zero operational access to individual child protection files, case notes, or community intake reports.</w:t>
      </w:r>
    </w:p>
    <w:p>
      <w:pPr/>
      <w:r>
        <w:rPr>
          <w:rFonts w:ascii="Calibri" w:hAnsi="Calibri"/>
          <w:b/>
          <w:color w:val="8B2626"/>
          <w:sz w:val="22"/>
        </w:rPr>
        <w:t>Live Production UAT Verification Evidence — CEO &amp; Board Portals (genserver.online)</w:t>
      </w:r>
    </w:p>
    <w:p>
      <w:pPr/>
      <w:r>
        <w:rPr>
          <w:rFonts w:ascii="Calibri" w:hAnsi="Calibri"/>
          <w:sz w:val="20"/>
        </w:rPr>
        <w:t>On October 8, 2026, comprehensive production remediation and live authenticated verification were completed for the CEO Executive Command Centre (/ceo) and Board of Governors Command Centre (/board):</w:t>
        <w:br/>
        <w:t>• Live CEO Dashboard Verified (https://genserver.online/ceo): Authenticated Chief Executive Officer account successfully loaded the authoritative Executive Command Centre. Verified real-time operational department health, active case count (20 active files), service delivery summaries, workforce metrics, and governance action queues. Unexpected error banner completely eliminated.</w:t>
        <w:br/>
        <w:t>• Live Board Portal Verified (https://genserver.online/board): Authenticated governance session successfully loaded the Board of Governors Command Centre. Verified active care placements, approved bed capacity, approved annual budget, strategic initiatives overview, critical governance dates, and discrete tabs (Overview, Actions &amp; Decisions, Strategic Initiatives, Performance &amp; Risk, Department Reports). Unexpected error banner completely eliminated.</w:t>
        <w:br/>
        <w:t>• Architectural Root Cause Remediated: Resolved column schema alignment across organizational operations models (employees.archived_at vs SoftDeleteMixin.deleted_at) using OrgOpsSoftDeleteMixin with zero disruptive database migrations.</w:t>
        <w:br/>
        <w:t>• Differentiated Error Handling: Frontend client and dashboard views upgraded to accurately present HTTP 401, 403, 404, and 500 status codes with user-friendly CRBCL guidance, replacing ambiguous generic error banners.</w:t>
        <w:br/>
        <w:t>• Privacy &amp; Governance Invariants Preserved: Strict least-privilege security maintained across all tiers. IT Administrators hold zero operational casework or narrative access. Board members retain governance oversight without raw access to confidential child protection notes, clinical records, or private personnel files. Both dashboards are classified as LIVE VERIFIED.</w:t>
      </w:r>
    </w:p>
    <w:p>
      <w:pPr>
        <w:keepNext/>
        <w:spacing w:before="320" w:after="120"/>
      </w:pPr>
      <w:r>
        <w:rPr>
          <w:rFonts w:ascii="Calibri" w:hAnsi="Calibri"/>
          <w:b/>
          <w:color w:val="1E3A8A"/>
          <w:sz w:val="28"/>
        </w:rPr>
        <w:t>19. Security, Privacy &amp; Role-Based Access Boundaries</w:t>
      </w:r>
    </w:p>
    <w:p>
      <w:pPr>
        <w:spacing w:before="0" w:after="80" w:line="276" w:lineRule="auto"/>
      </w:pPr>
      <w:r>
        <w:rPr>
          <w:rFonts w:ascii="Calibri" w:hAnsi="Calibri"/>
          <w:color w:val="334155"/>
          <w:sz w:val="19"/>
        </w:rPr>
        <w:t>CRBCL's information architecture enforces capability-based role authorization. Core principles include:</w:t>
      </w:r>
    </w:p>
    <w:p>
      <w:pPr>
        <w:pStyle w:val="ListBullet"/>
        <w:spacing w:before="0" w:after="50" w:line="276" w:lineRule="auto"/>
      </w:pPr>
      <w:r>
        <w:rPr>
          <w:rFonts w:ascii="Calibri" w:hAnsi="Calibri"/>
          <w:b/>
          <w:color w:val="0F172A"/>
          <w:sz w:val="19"/>
        </w:rPr>
        <w:t>Department != Authorization:</w:t>
      </w:r>
      <w:r>
        <w:rPr>
          <w:rFonts w:ascii="Calibri" w:hAnsi="Calibri"/>
          <w:color w:val="334155"/>
          <w:sz w:val="19"/>
        </w:rPr>
        <w:t xml:space="preserve"> Membership in a department establishes collaboration grouping but does not grant blanket permissions. Permissions are assigned through discrete, auditable capabilities.</w:t>
      </w:r>
    </w:p>
    <w:p>
      <w:pPr>
        <w:pStyle w:val="ListBullet"/>
        <w:spacing w:before="0" w:after="50" w:line="276" w:lineRule="auto"/>
      </w:pPr>
      <w:r>
        <w:rPr>
          <w:rFonts w:ascii="Calibri" w:hAnsi="Calibri"/>
          <w:b/>
          <w:color w:val="0F172A"/>
          <w:sz w:val="19"/>
        </w:rPr>
        <w:t>Administrative Authority != Protected Content Access:</w:t>
      </w:r>
      <w:r>
        <w:rPr>
          <w:rFonts w:ascii="Calibri" w:hAnsi="Calibri"/>
          <w:color w:val="334155"/>
          <w:sz w:val="19"/>
        </w:rPr>
        <w:t xml:space="preserve"> Managing user accounts, assigning roles, and toggling workspace availability does not grant access to protected narrative content. IT Admins receive HTTP 403 on protected case endpoints.</w:t>
      </w:r>
    </w:p>
    <w:p>
      <w:pPr>
        <w:pStyle w:val="ListBullet"/>
        <w:spacing w:before="0" w:after="50" w:line="276" w:lineRule="auto"/>
      </w:pPr>
      <w:r>
        <w:rPr>
          <w:rFonts w:ascii="Calibri" w:hAnsi="Calibri"/>
          <w:b/>
          <w:color w:val="0F172A"/>
          <w:sz w:val="19"/>
        </w:rPr>
        <w:t>Office Coordinator Isolation:</w:t>
      </w:r>
      <w:r>
        <w:rPr>
          <w:rFonts w:ascii="Calibri" w:hAnsi="Calibri"/>
          <w:color w:val="334155"/>
          <w:sz w:val="19"/>
        </w:rPr>
        <w:t xml:space="preserve"> Office Coordinators manage requests, vehicles, rooms, and supplies, but are restricted from case notes, clinical notes, and Front Desk narratives.</w:t>
      </w:r>
    </w:p>
    <w:p>
      <w:pPr>
        <w:pStyle w:val="ListBullet"/>
        <w:spacing w:before="0" w:after="50" w:line="276" w:lineRule="auto"/>
      </w:pPr>
      <w:r>
        <w:rPr>
          <w:rFonts w:ascii="Calibri" w:hAnsi="Calibri"/>
          <w:b/>
          <w:color w:val="0F172A"/>
          <w:sz w:val="19"/>
        </w:rPr>
        <w:t>Board Governance Isolation:</w:t>
      </w:r>
      <w:r>
        <w:rPr>
          <w:rFonts w:ascii="Calibri" w:hAnsi="Calibri"/>
          <w:color w:val="334155"/>
          <w:sz w:val="19"/>
        </w:rPr>
        <w:t xml:space="preserve"> Board members hold governance oversight but cannot view operational child welfare case files.</w:t>
      </w:r>
    </w:p>
    <w:p>
      <w:pPr>
        <w:pStyle w:val="ListBullet"/>
        <w:spacing w:before="0" w:after="50" w:line="276" w:lineRule="auto"/>
      </w:pPr>
      <w:r>
        <w:rPr>
          <w:rFonts w:ascii="Calibri" w:hAnsi="Calibri"/>
          <w:b/>
          <w:color w:val="0F172A"/>
          <w:sz w:val="19"/>
        </w:rPr>
        <w:t>Speech Dictation Boundaries:</w:t>
      </w:r>
      <w:r>
        <w:rPr>
          <w:rFonts w:ascii="Calibri" w:hAnsi="Calibri"/>
          <w:color w:val="334155"/>
          <w:sz w:val="19"/>
        </w:rPr>
        <w:t xml:space="preserve"> Submitting speech audio for transcription requires explicit Case Note creation/update authority or Ask Red Bear query permissions. Dictation targeting unauthorized contexts is rejected.</w:t>
      </w: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Borders>
              <w:left w:val="single" w:sz="24" w:space="0" w:color="1E3A8A"/>
              <w:top w:val="none"/>
              <w:right w:val="none"/>
              <w:bottom w:val="none"/>
            </w:tcBorders>
          </w:tcPr>
          <w:p>
            <w:pPr>
              <w:spacing w:before="40" w:after="40" w:line="276" w:lineRule="auto"/>
            </w:pPr>
            <w:r>
              <w:rPr>
                <w:rFonts w:ascii="Calibri" w:hAnsi="Calibri"/>
                <w:b/>
                <w:color w:val="1E3A8A"/>
                <w:sz w:val="20"/>
              </w:rPr>
              <w:t>Privacy &amp; Statutory Compliance Notice</w:t>
              <w:br/>
            </w:r>
            <w:r>
              <w:rPr>
                <w:rFonts w:ascii="Calibri" w:hAnsi="Calibri"/>
                <w:color w:val="334155"/>
                <w:sz w:val="18"/>
              </w:rPr>
              <w:t>Technical controls have been assessed for alignment support; statutory applicability and legal compliance require CRBCL privacy/legal review.</w:t>
              <w:br/>
              <w:t>Technical readiness supports controlled UAT using synthetic and de-identified data.</w:t>
              <w:br/>
              <w:t>This technical assessment does not authorize live community data testing or production operational use.</w:t>
            </w:r>
          </w:p>
        </w:tc>
      </w:tr>
    </w:tbl>
    <w:p>
      <w:pPr>
        <w:spacing w:after="60"/>
      </w:pPr>
    </w:p>
    <w:p>
      <w:pPr>
        <w:keepNext/>
        <w:spacing w:before="320" w:after="120"/>
      </w:pPr>
      <w:r>
        <w:rPr>
          <w:rFonts w:ascii="Calibri" w:hAnsi="Calibri"/>
          <w:b/>
          <w:color w:val="1E3A8A"/>
          <w:sz w:val="28"/>
        </w:rPr>
        <w:t>20. Reporting, QA &amp; Administrative Tools</w:t>
      </w:r>
    </w:p>
    <w:p>
      <w:pPr>
        <w:spacing w:before="0" w:after="80" w:line="276" w:lineRule="auto"/>
      </w:pPr>
      <w:r>
        <w:rPr>
          <w:rFonts w:ascii="Calibri" w:hAnsi="Calibri"/>
          <w:color w:val="334155"/>
          <w:sz w:val="19"/>
        </w:rPr>
        <w:t>The Reporting Hub (/reports) and Quality Assurance module (/qa) provide longitudinal outcome tracking, practice standards monitoring, and statutory audit tools.</w:t>
      </w:r>
    </w:p>
    <w:p>
      <w:pPr>
        <w:pStyle w:val="ListBullet"/>
        <w:spacing w:before="0" w:after="50" w:line="276" w:lineRule="auto"/>
      </w:pPr>
      <w:r>
        <w:rPr>
          <w:rFonts w:ascii="Calibri" w:hAnsi="Calibri"/>
          <w:b/>
          <w:color w:val="0F172A"/>
          <w:sz w:val="19"/>
        </w:rPr>
        <w:t>Child &amp; Parent Passports (/passports):</w:t>
      </w:r>
      <w:r>
        <w:rPr>
          <w:rFonts w:ascii="Calibri" w:hAnsi="Calibri"/>
          <w:color w:val="334155"/>
          <w:sz w:val="19"/>
        </w:rPr>
        <w:t xml:space="preserve"> Comprehensive longitudinal developmental profiles capturing cultural milestones, kinship connections, health history, and education progress across a child's journey in care.</w:t>
      </w:r>
    </w:p>
    <w:p>
      <w:pPr>
        <w:pStyle w:val="ListBullet"/>
        <w:spacing w:before="0" w:after="50" w:line="276" w:lineRule="auto"/>
      </w:pPr>
      <w:r>
        <w:rPr>
          <w:rFonts w:ascii="Calibri" w:hAnsi="Calibri"/>
          <w:b/>
          <w:color w:val="0F172A"/>
          <w:sz w:val="19"/>
        </w:rPr>
        <w:t>Practice Audit Checklists &amp; Ticklers (/qa/audits):</w:t>
      </w:r>
      <w:r>
        <w:rPr>
          <w:rFonts w:ascii="Calibri" w:hAnsi="Calibri"/>
          <w:color w:val="334155"/>
          <w:sz w:val="19"/>
        </w:rPr>
        <w:t xml:space="preserve"> Automated audit tickler tracking overdue case reviews, expiring customary care licenses, unaddressed safety plans, and pending intake decisions.</w:t>
      </w:r>
    </w:p>
    <w:p>
      <w:pPr>
        <w:pStyle w:val="ListBullet"/>
        <w:spacing w:before="0" w:after="50" w:line="276" w:lineRule="auto"/>
      </w:pPr>
      <w:r>
        <w:rPr>
          <w:rFonts w:ascii="Calibri" w:hAnsi="Calibri"/>
          <w:b/>
          <w:color w:val="0F172A"/>
          <w:sz w:val="19"/>
        </w:rPr>
        <w:t>Authoritative User Directory Export:</w:t>
      </w:r>
      <w:r>
        <w:rPr>
          <w:rFonts w:ascii="Calibri" w:hAnsi="Calibri"/>
          <w:color w:val="334155"/>
          <w:sz w:val="19"/>
        </w:rPr>
        <w:t xml:space="preserve"> Authoritative Excel workbook export from the Admin Portal, generating structured .xlsx files with sanitized cell values and audit event logging.</w:t>
      </w:r>
    </w:p>
    <w:p>
      <w:pPr>
        <w:keepNext/>
        <w:spacing w:before="320" w:after="120"/>
      </w:pPr>
      <w:r>
        <w:rPr>
          <w:rFonts w:ascii="Calibri" w:hAnsi="Calibri"/>
          <w:b/>
          <w:color w:val="1E3A8A"/>
          <w:sz w:val="28"/>
        </w:rPr>
        <w:t>21. External Integrations Architecture &amp; Reality</w:t>
      </w:r>
    </w:p>
    <w:p>
      <w:pPr>
        <w:spacing w:before="0" w:after="80" w:line="276" w:lineRule="auto"/>
      </w:pPr>
      <w:r>
        <w:rPr>
          <w:rFonts w:ascii="Calibri" w:hAnsi="Calibri"/>
          <w:color w:val="334155"/>
          <w:sz w:val="19"/>
        </w:rPr>
        <w:t>To ensure leadership has an exact, unvarnished understanding of the software's current capabilities, external integrations are classified as follows:</w:t>
      </w:r>
    </w:p>
    <w:p>
      <w:pPr>
        <w:pStyle w:val="ListBullet"/>
        <w:spacing w:before="0" w:after="50" w:line="276" w:lineRule="auto"/>
      </w:pPr>
      <w:r>
        <w:rPr>
          <w:rFonts w:ascii="Calibri" w:hAnsi="Calibri"/>
          <w:b/>
          <w:color w:val="0F172A"/>
          <w:sz w:val="19"/>
        </w:rPr>
        <w:t>Microsoft 365 / Graph API:</w:t>
      </w:r>
      <w:r>
        <w:rPr>
          <w:rFonts w:ascii="Calibri" w:hAnsi="Calibri"/>
          <w:color w:val="334155"/>
          <w:sz w:val="19"/>
        </w:rPr>
        <w:t xml:space="preserve"> The platform includes an integration framework for Microsoft Graph (calendar sync, email dispatch), but currently runs against a stubbed/fake provider (FakeGraphClient). Live M365 tenant synchronization is not yet active.</w:t>
      </w:r>
    </w:p>
    <w:p>
      <w:pPr>
        <w:pStyle w:val="ListBullet"/>
        <w:spacing w:before="0" w:after="50" w:line="276" w:lineRule="auto"/>
      </w:pPr>
      <w:r>
        <w:rPr>
          <w:rFonts w:ascii="Calibri" w:hAnsi="Calibri"/>
          <w:b/>
          <w:color w:val="0F172A"/>
          <w:sz w:val="19"/>
        </w:rPr>
        <w:t>Sage Accounting:</w:t>
      </w:r>
      <w:r>
        <w:rPr>
          <w:rFonts w:ascii="Calibri" w:hAnsi="Calibri"/>
          <w:color w:val="334155"/>
          <w:sz w:val="19"/>
        </w:rPr>
        <w:t xml:space="preserve"> Financial data models support invoice and purchase order export. No direct API connector or live database bridge to Sage accounting software exists.</w:t>
      </w:r>
    </w:p>
    <w:p>
      <w:pPr>
        <w:pStyle w:val="ListBullet"/>
        <w:spacing w:before="0" w:after="50" w:line="276" w:lineRule="auto"/>
      </w:pPr>
      <w:r>
        <w:rPr>
          <w:rFonts w:ascii="Calibri" w:hAnsi="Calibri"/>
          <w:b/>
          <w:color w:val="0F172A"/>
          <w:sz w:val="19"/>
        </w:rPr>
        <w:t>Ask Red Bear AI Assistant &amp; Speech Input:</w:t>
      </w:r>
      <w:r>
        <w:rPr>
          <w:rFonts w:ascii="Calibri" w:hAnsi="Calibri"/>
          <w:color w:val="334155"/>
          <w:sz w:val="19"/>
        </w:rPr>
        <w:t xml:space="preserve"> Ask Red Bear (/ask-red-bear) features a fully LIVE VERIFIED local speech-to-text dictation input aid. However, the downstream AI answer-generation assistant operates against an offline synthetic provider (FakeAiProvider / FakeClaude35Sonnet) and is disabled by default in production (CRBCL_AI_ENABLED=False). No external LLM (OpenAI, Gemini, Anthropic Claude, Azure OpenAI) is connected. Client and case records are NEVER routed to an external AI vendor.</w:t>
      </w:r>
    </w:p>
    <w:p>
      <w:pPr>
        <w:keepNext/>
        <w:spacing w:before="320" w:after="120"/>
      </w:pPr>
      <w:r>
        <w:rPr>
          <w:rFonts w:ascii="Calibri" w:hAnsi="Calibri"/>
          <w:b/>
          <w:color w:val="1E3A8A"/>
          <w:sz w:val="28"/>
        </w:rPr>
        <w:t>22. Physical Vehicle GPS Tracking Status</w:t>
      </w:r>
    </w:p>
    <w:tbl>
      <w:tblPr>
        <w:tblW w:type="auto" w:w="0"/>
        <w:jc w:val="center"/>
        <w:tblLayout w:type="fixed"/>
        <w:tblLook w:firstColumn="1" w:firstRow="1" w:lastColumn="0" w:lastRow="0" w:noHBand="0" w:noVBand="1" w:val="04A0"/>
      </w:tblPr>
      <w:tblGrid>
        <w:gridCol w:w="9936"/>
      </w:tblGrid>
      <w:tr>
        <w:tc>
          <w:tcPr>
            <w:tcW w:type="dxa" w:w="9936"/>
            <w:shd w:fill="EFF6FF"/>
            <w:tcMar>
              <w:top w:w="80" w:type="dxa"/>
              <w:bottom w:w="80" w:type="dxa"/>
              <w:left w:w="120" w:type="dxa"/>
              <w:right w:w="120" w:type="dxa"/>
            </w:tcMar>
            <w:tcBorders>
              <w:left w:val="single" w:sz="24" w:space="0" w:color="2563EB"/>
              <w:top w:val="none"/>
              <w:right w:val="none"/>
              <w:bottom w:val="none"/>
            </w:tcBorders>
          </w:tcPr>
          <w:p>
            <w:pPr>
              <w:spacing w:before="40" w:after="40" w:line="276" w:lineRule="auto"/>
            </w:pPr>
            <w:r>
              <w:rPr>
                <w:rFonts w:ascii="Calibri" w:hAnsi="Calibri"/>
                <w:b/>
                <w:color w:val="1E3A8A"/>
                <w:sz w:val="20"/>
              </w:rPr>
              <w:t>Confirmed Status: NOT YET IMPLEMENTED</w:t>
              <w:br/>
            </w:r>
            <w:r>
              <w:rPr>
                <w:rFonts w:ascii="Calibri" w:hAnsi="Calibri"/>
                <w:color w:val="334155"/>
                <w:sz w:val="18"/>
              </w:rPr>
              <w:t>Physical Vehicle GPS Tracking: CONFIRMED REQUIREMENT — NOT YET IMPLEMENTED.</w:t>
              <w:br/>
              <w:t>The platform repository contains database schema representations for vehicle coordinates, but NO physical GPS hardware vendor, cellular telematics contract, OBD-II vehicle tracking device, or live map stream integration has been provisioned or connected. Agency vehicle custody is currently tracked through physical key sign-out logs and advance reservation workflows managed by the Office Coordinator.</w:t>
            </w:r>
          </w:p>
        </w:tc>
      </w:tr>
    </w:tbl>
    <w:p>
      <w:pPr>
        <w:spacing w:after="60"/>
      </w:pPr>
    </w:p>
    <w:p>
      <w:pPr>
        <w:keepNext/>
        <w:spacing w:before="320" w:after="120"/>
      </w:pPr>
      <w:r>
        <w:rPr>
          <w:rFonts w:ascii="Calibri" w:hAnsi="Calibri"/>
          <w:b/>
          <w:color w:val="1E3A8A"/>
          <w:sz w:val="28"/>
        </w:rPr>
        <w:t>23. Production Deployment &amp; Verification State</w:t>
      </w:r>
    </w:p>
    <w:p>
      <w:pPr>
        <w:spacing w:before="0" w:after="80" w:line="276" w:lineRule="auto"/>
      </w:pPr>
      <w:r>
        <w:rPr>
          <w:rFonts w:ascii="Calibri" w:hAnsi="Calibri"/>
          <w:color w:val="334155"/>
          <w:sz w:val="19"/>
        </w:rPr>
        <w:t>The platform is actively deployed and operating across production cloud infrastructure:</w:t>
      </w:r>
    </w:p>
    <w:p>
      <w:pPr>
        <w:pStyle w:val="ListBullet"/>
        <w:spacing w:before="0" w:after="50" w:line="276" w:lineRule="auto"/>
      </w:pPr>
      <w:r>
        <w:rPr>
          <w:rFonts w:ascii="Calibri" w:hAnsi="Calibri"/>
          <w:b/>
          <w:color w:val="0F172A"/>
          <w:sz w:val="19"/>
        </w:rPr>
        <w:t>Backend API Service:</w:t>
      </w:r>
      <w:r>
        <w:rPr>
          <w:rFonts w:ascii="Calibri" w:hAnsi="Calibri"/>
          <w:color w:val="334155"/>
          <w:sz w:val="19"/>
        </w:rPr>
        <w:t xml:space="preserve"> Hosted on Railway (crbcl-production.up.railway.app) running FastAPI, Python 3.12, Uvicorn, and CTranslate2 local Whisper runtime.</w:t>
      </w:r>
    </w:p>
    <w:p>
      <w:pPr>
        <w:pStyle w:val="ListBullet"/>
        <w:spacing w:before="0" w:after="50" w:line="276" w:lineRule="auto"/>
      </w:pPr>
      <w:r>
        <w:rPr>
          <w:rFonts w:ascii="Calibri" w:hAnsi="Calibri"/>
          <w:b/>
          <w:color w:val="0F172A"/>
          <w:sz w:val="19"/>
        </w:rPr>
        <w:t>Authoritative Database:</w:t>
      </w:r>
      <w:r>
        <w:rPr>
          <w:rFonts w:ascii="Calibri" w:hAnsi="Calibri"/>
          <w:color w:val="334155"/>
          <w:sz w:val="19"/>
        </w:rPr>
        <w:t xml:space="preserve"> Managed PostgreSQL database on Railway at Migration Revision 029_office_coordinator_and_control_centre.</w:t>
      </w:r>
    </w:p>
    <w:p>
      <w:pPr>
        <w:pStyle w:val="ListBullet"/>
        <w:spacing w:before="0" w:after="50" w:line="276" w:lineRule="auto"/>
      </w:pPr>
      <w:r>
        <w:rPr>
          <w:rFonts w:ascii="Calibri" w:hAnsi="Calibri"/>
          <w:b/>
          <w:color w:val="0F172A"/>
          <w:sz w:val="19"/>
        </w:rPr>
        <w:t>Frontend Web Application:</w:t>
      </w:r>
      <w:r>
        <w:rPr>
          <w:rFonts w:ascii="Calibri" w:hAnsi="Calibri"/>
          <w:color w:val="334155"/>
          <w:sz w:val="19"/>
        </w:rPr>
        <w:t xml:space="preserve"> Hosted on Vercel (crbcl-sofware.vercel.app / genserver.online) running React 18, Vite, TailwindCSS, and client API layers.</w:t>
      </w:r>
    </w:p>
    <w:p>
      <w:pPr>
        <w:pStyle w:val="ListBullet"/>
        <w:spacing w:before="0" w:after="50" w:line="276" w:lineRule="auto"/>
      </w:pPr>
      <w:r>
        <w:rPr>
          <w:rFonts w:ascii="Calibri" w:hAnsi="Calibri"/>
          <w:b/>
          <w:color w:val="0F172A"/>
          <w:sz w:val="19"/>
        </w:rPr>
        <w:t>Audited Repository Checkpoint:</w:t>
      </w:r>
      <w:r>
        <w:rPr>
          <w:rFonts w:ascii="Calibri" w:hAnsi="Calibri"/>
          <w:color w:val="334155"/>
          <w:sz w:val="19"/>
        </w:rPr>
        <w:t xml:space="preserve"> e9b01f7 (feat(ask-red-bear): add local speech transcription input, incorporating speech pre-bake 328a036, universal admin access 8814fd9, and Excel export 8a98e29).</w:t>
      </w:r>
    </w:p>
    <w:p>
      <w:pPr>
        <w:pStyle w:val="ListBullet"/>
        <w:spacing w:before="0" w:after="50" w:line="276" w:lineRule="auto"/>
      </w:pPr>
      <w:r>
        <w:rPr>
          <w:rFonts w:ascii="Calibri" w:hAnsi="Calibri"/>
          <w:b/>
          <w:color w:val="0F172A"/>
          <w:sz w:val="19"/>
        </w:rPr>
        <w:t>Production Speech Settings:</w:t>
      </w:r>
      <w:r>
        <w:rPr>
          <w:rFonts w:ascii="Calibri" w:hAnsi="Calibri"/>
          <w:color w:val="334155"/>
          <w:sz w:val="19"/>
        </w:rPr>
        <w:t xml:space="preserve"> Enabled = True, Provider = local_whisper, Model = tiny, Runtime = CPU int8, Max Concurrency = 1. Model is pre-baked into Docker image during build and warmed up at boot.</w:t>
      </w:r>
    </w:p>
    <w:p>
      <w:pPr>
        <w:pStyle w:val="ListBullet"/>
        <w:spacing w:before="0" w:after="50" w:line="276" w:lineRule="auto"/>
      </w:pPr>
      <w:r>
        <w:rPr>
          <w:rFonts w:ascii="Calibri" w:hAnsi="Calibri"/>
          <w:b/>
          <w:color w:val="0F172A"/>
          <w:sz w:val="19"/>
        </w:rPr>
        <w:t>Observed Health Status:</w:t>
      </w:r>
      <w:r>
        <w:rPr>
          <w:rFonts w:ascii="Calibri" w:hAnsi="Calibri"/>
          <w:color w:val="334155"/>
          <w:sz w:val="19"/>
        </w:rPr>
        <w:t xml:space="preserve"> Live health probe returns HTTP 200 with status: 'degraded' (database: 'ready', redis: 'unavailable'). Redis cache unavailability is an operational observation that did not impede speech transcription or platform operations.</w:t>
      </w:r>
    </w:p>
    <w:p>
      <w:pPr>
        <w:keepNext/>
        <w:spacing w:before="320" w:after="120"/>
      </w:pPr>
      <w:r>
        <w:rPr>
          <w:rFonts w:ascii="Calibri" w:hAnsi="Calibri"/>
          <w:b/>
          <w:color w:val="1E3A8A"/>
          <w:sz w:val="28"/>
        </w:rPr>
        <w:t>24. Completed vs Partial vs Pending Capability Register</w:t>
      </w:r>
    </w:p>
    <w:p>
      <w:pPr>
        <w:spacing w:before="0" w:after="80" w:line="276" w:lineRule="auto"/>
      </w:pPr>
      <w:r>
        <w:rPr>
          <w:rFonts w:ascii="Calibri" w:hAnsi="Calibri"/>
          <w:color w:val="334155"/>
          <w:sz w:val="19"/>
        </w:rPr>
        <w:t>Every major platform capability is classified below according to strict audit standards: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4320"/>
        <w:gridCol w:w="2448"/>
      </w:tblGrid>
      <w:tr>
        <w:tc>
          <w:tcPr>
            <w:tcW w:type="dxa" w:w="3312"/>
            <w:shd w:fill="1E3A8A"/>
            <w:tcMar>
              <w:top w:w="80" w:type="dxa"/>
              <w:bottom w:w="80" w:type="dxa"/>
              <w:left w:w="100" w:type="dxa"/>
              <w:right w:w="100" w:type="dxa"/>
            </w:tcMar>
          </w:tcPr>
          <w:p>
            <w:pPr>
              <w:spacing w:after="0"/>
            </w:pPr>
            <w:r>
              <w:rPr>
                <w:rFonts w:ascii="Calibri" w:hAnsi="Calibri"/>
                <w:b/>
                <w:color w:val="FFFFFF"/>
                <w:sz w:val="19"/>
              </w:rPr>
              <w:t>Capability / Module</w:t>
            </w:r>
          </w:p>
        </w:tc>
        <w:tc>
          <w:tcPr>
            <w:tcW w:type="dxa" w:w="3312"/>
            <w:shd w:fill="1E3A8A"/>
            <w:tcMar>
              <w:top w:w="80" w:type="dxa"/>
              <w:bottom w:w="80" w:type="dxa"/>
              <w:left w:w="100" w:type="dxa"/>
              <w:right w:w="100" w:type="dxa"/>
            </w:tcMar>
          </w:tcPr>
          <w:p>
            <w:pPr>
              <w:spacing w:after="0"/>
            </w:pPr>
            <w:r>
              <w:rPr>
                <w:rFonts w:ascii="Calibri" w:hAnsi="Calibri"/>
                <w:b/>
                <w:color w:val="FFFFFF"/>
                <w:sz w:val="19"/>
              </w:rPr>
              <w:t>Technical Scope &amp; Verification Basis</w:t>
            </w:r>
          </w:p>
        </w:tc>
        <w:tc>
          <w:tcPr>
            <w:tcW w:type="dxa" w:w="3312"/>
            <w:shd w:fill="1E3A8A"/>
            <w:tcMar>
              <w:top w:w="80" w:type="dxa"/>
              <w:bottom w:w="80" w:type="dxa"/>
              <w:left w:w="100" w:type="dxa"/>
              <w:right w:w="100" w:type="dxa"/>
            </w:tcMar>
          </w:tcPr>
          <w:p>
            <w:pPr>
              <w:spacing w:after="0"/>
            </w:pPr>
            <w:r>
              <w:rPr>
                <w:rFonts w:ascii="Calibri" w:hAnsi="Calibri"/>
                <w:b/>
                <w:color w:val="FFFFFF"/>
                <w:sz w:val="19"/>
              </w:rPr>
              <w:t>Audit Classification</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Case Note Speech-to-Text Dictation</w:t>
            </w:r>
          </w:p>
        </w:tc>
        <w:tc>
          <w:tcPr>
            <w:tcW w:type="dxa" w:w="4320"/>
            <w:shd w:fill="FFFFFF"/>
            <w:tcMar>
              <w:top w:w="50" w:type="dxa"/>
              <w:bottom w:w="50" w:type="dxa"/>
              <w:left w:w="80" w:type="dxa"/>
              <w:right w:w="80" w:type="dxa"/>
            </w:tcMar>
          </w:tcPr>
          <w:p>
            <w:pPr>
              <w:spacing w:after="0"/>
            </w:pPr>
            <w:r>
              <w:rPr>
                <w:rFonts w:ascii="Calibri" w:hAnsi="Calibri"/>
                <w:color w:val="334155"/>
                <w:sz w:val="19"/>
              </w:rPr>
              <w:t>Local faster-whisper, browser mic transcription, appended to draft note</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Ask Red Bear Speech-to-Text Input</w:t>
            </w:r>
          </w:p>
        </w:tc>
        <w:tc>
          <w:tcPr>
            <w:tcW w:type="dxa" w:w="4320"/>
            <w:shd w:fill="FFFFFF"/>
            <w:tcMar>
              <w:top w:w="50" w:type="dxa"/>
              <w:bottom w:w="50" w:type="dxa"/>
              <w:left w:w="80" w:type="dxa"/>
              <w:right w:w="80" w:type="dxa"/>
            </w:tcMar>
          </w:tcPr>
          <w:p>
            <w:pPr>
              <w:spacing w:after="0"/>
            </w:pPr>
            <w:r>
              <w:rPr>
                <w:rFonts w:ascii="Calibri" w:hAnsi="Calibri"/>
                <w:color w:val="334155"/>
                <w:sz w:val="19"/>
              </w:rPr>
              <w:t>Local faster-whisper, browser mic input, appended to prompt, zero auto-send</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Addendum Speech-to-Text Dictation</w:t>
            </w:r>
          </w:p>
        </w:tc>
        <w:tc>
          <w:tcPr>
            <w:tcW w:type="dxa" w:w="4320"/>
            <w:shd w:fill="FFFFFF"/>
            <w:tcMar>
              <w:top w:w="50" w:type="dxa"/>
              <w:bottom w:w="50" w:type="dxa"/>
              <w:left w:w="80" w:type="dxa"/>
              <w:right w:w="80" w:type="dxa"/>
            </w:tcMar>
          </w:tcPr>
          <w:p>
            <w:pPr>
              <w:spacing w:after="0"/>
            </w:pPr>
            <w:r>
              <w:rPr>
                <w:rFonts w:ascii="Calibri" w:hAnsi="Calibri"/>
                <w:color w:val="334155"/>
                <w:sz w:val="19"/>
              </w:rPr>
              <w:t>Local faster-whisper, positive-path live verification on locked note, zero auto-save</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Admin Portal &amp; Control Centre</w:t>
            </w:r>
          </w:p>
        </w:tc>
        <w:tc>
          <w:tcPr>
            <w:tcW w:type="dxa" w:w="4320"/>
            <w:shd w:fill="FFFFFF"/>
            <w:tcMar>
              <w:top w:w="50" w:type="dxa"/>
              <w:bottom w:w="50" w:type="dxa"/>
              <w:left w:w="80" w:type="dxa"/>
              <w:right w:w="80" w:type="dxa"/>
            </w:tcMar>
          </w:tcPr>
          <w:p>
            <w:pPr>
              <w:spacing w:after="0"/>
            </w:pPr>
            <w:r>
              <w:rPr>
                <w:rFonts w:ascii="Calibri" w:hAnsi="Calibri"/>
                <w:color w:val="334155"/>
                <w:sz w:val="19"/>
              </w:rPr>
              <w:t>User approvals, 35-workspace registry, role enablement, Excel export</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Front Desk / First Impression</w:t>
            </w:r>
          </w:p>
        </w:tc>
        <w:tc>
          <w:tcPr>
            <w:tcW w:type="dxa" w:w="4320"/>
            <w:shd w:fill="FFFFFF"/>
            <w:tcMar>
              <w:top w:w="50" w:type="dxa"/>
              <w:bottom w:w="50" w:type="dxa"/>
              <w:left w:w="80" w:type="dxa"/>
              <w:right w:w="80" w:type="dxa"/>
            </w:tcMar>
          </w:tcPr>
          <w:p>
            <w:pPr>
              <w:spacing w:after="0"/>
            </w:pPr>
            <w:r>
              <w:rPr>
                <w:rFonts w:ascii="Calibri" w:hAnsi="Calibri"/>
                <w:color w:val="334155"/>
                <w:sz w:val="19"/>
              </w:rPr>
              <w:t>Google forms ingestion, inquiry triage, caller lookup, department routing</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Office Coordinator Operations</w:t>
            </w:r>
          </w:p>
        </w:tc>
        <w:tc>
          <w:tcPr>
            <w:tcW w:type="dxa" w:w="4320"/>
            <w:shd w:fill="FFFFFF"/>
            <w:tcMar>
              <w:top w:w="50" w:type="dxa"/>
              <w:bottom w:w="50" w:type="dxa"/>
              <w:left w:w="80" w:type="dxa"/>
              <w:right w:w="80" w:type="dxa"/>
            </w:tcMar>
          </w:tcPr>
          <w:p>
            <w:pPr>
              <w:spacing w:after="0"/>
            </w:pPr>
            <w:r>
              <w:rPr>
                <w:rFonts w:ascii="Calibri" w:hAnsi="Calibri"/>
                <w:color w:val="334155"/>
                <w:sz w:val="19"/>
              </w:rPr>
              <w:t>Operational requests, vehicle reservations, key custody, room booking, supplies</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Person Canonical Identity</w:t>
            </w:r>
          </w:p>
        </w:tc>
        <w:tc>
          <w:tcPr>
            <w:tcW w:type="dxa" w:w="4320"/>
            <w:shd w:fill="FFFFFF"/>
            <w:tcMar>
              <w:top w:w="50" w:type="dxa"/>
              <w:bottom w:w="50" w:type="dxa"/>
              <w:left w:w="80" w:type="dxa"/>
              <w:right w:w="80" w:type="dxa"/>
            </w:tcMar>
          </w:tcPr>
          <w:p>
            <w:pPr>
              <w:spacing w:after="0"/>
            </w:pPr>
            <w:r>
              <w:rPr>
                <w:rFonts w:ascii="Calibri" w:hAnsi="Calibri"/>
                <w:color w:val="334155"/>
                <w:sz w:val="19"/>
              </w:rPr>
              <w:t>10-digit permanent CRBCL Person ID, search-before-create, client context</w:t>
            </w:r>
          </w:p>
        </w:tc>
        <w:tc>
          <w:tcPr>
            <w:tcW w:type="dxa" w:w="2448"/>
            <w:shd w:fill="F1F5F9"/>
            <w:tcMar>
              <w:top w:w="50" w:type="dxa"/>
              <w:bottom w:w="50" w:type="dxa"/>
              <w:left w:w="80" w:type="dxa"/>
              <w:right w:w="80" w:type="dxa"/>
            </w:tcMar>
          </w:tcPr>
          <w:p>
            <w:pPr>
              <w:spacing w:after="0"/>
            </w:pPr>
            <w:r>
              <w:rPr>
                <w:rFonts w:ascii="Calibri" w:hAnsi="Calibri"/>
                <w:b/>
                <w:color w:val="059669"/>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Core Case Management</w:t>
            </w:r>
          </w:p>
        </w:tc>
        <w:tc>
          <w:tcPr>
            <w:tcW w:type="dxa" w:w="4320"/>
            <w:shd w:fill="FFFFFF"/>
            <w:tcMar>
              <w:top w:w="50" w:type="dxa"/>
              <w:bottom w:w="50" w:type="dxa"/>
              <w:left w:w="80" w:type="dxa"/>
              <w:right w:w="80" w:type="dxa"/>
            </w:tcMar>
          </w:tcPr>
          <w:p>
            <w:pPr>
              <w:spacing w:after="0"/>
            </w:pPr>
            <w:r>
              <w:rPr>
                <w:rFonts w:ascii="Calibri" w:hAnsi="Calibri"/>
                <w:color w:val="334155"/>
                <w:sz w:val="19"/>
              </w:rPr>
              <w:t>Case files, assignments, transfers, closures, participant links</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&amp; COMMITTED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Case Notes &amp; Addenda Lifecycle</w:t>
            </w:r>
          </w:p>
        </w:tc>
        <w:tc>
          <w:tcPr>
            <w:tcW w:type="dxa" w:w="4320"/>
            <w:shd w:fill="FFFFFF"/>
            <w:tcMar>
              <w:top w:w="50" w:type="dxa"/>
              <w:bottom w:w="50" w:type="dxa"/>
              <w:left w:w="80" w:type="dxa"/>
              <w:right w:w="80" w:type="dxa"/>
            </w:tcMar>
          </w:tcPr>
          <w:p>
            <w:pPr>
              <w:spacing w:after="0"/>
            </w:pPr>
            <w:r>
              <w:rPr>
                <w:rFonts w:ascii="Calibri" w:hAnsi="Calibri"/>
                <w:color w:val="334155"/>
                <w:sz w:val="19"/>
              </w:rPr>
              <w:t>Chronological authoring, locking, addendum lifecycle, legal export</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&amp; COMMITTED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Resource Unit Recruitment</w:t>
            </w:r>
          </w:p>
        </w:tc>
        <w:tc>
          <w:tcPr>
            <w:tcW w:type="dxa" w:w="4320"/>
            <w:shd w:fill="FFFFFF"/>
            <w:tcMar>
              <w:top w:w="50" w:type="dxa"/>
              <w:bottom w:w="50" w:type="dxa"/>
              <w:left w:w="80" w:type="dxa"/>
              <w:right w:w="80" w:type="dxa"/>
            </w:tcMar>
          </w:tcPr>
          <w:p>
            <w:pPr>
              <w:spacing w:after="0"/>
            </w:pPr>
            <w:r>
              <w:rPr>
                <w:rFonts w:ascii="Calibri" w:hAnsi="Calibri"/>
                <w:color w:val="334155"/>
                <w:sz w:val="19"/>
              </w:rPr>
              <w:t>Prospective caregiver pipeline, homestudy tracking, customary care licensing</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&amp; COMMITTED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Placement Matching Support</w:t>
            </w:r>
          </w:p>
        </w:tc>
        <w:tc>
          <w:tcPr>
            <w:tcW w:type="dxa" w:w="4320"/>
            <w:shd w:fill="FFFFFF"/>
            <w:tcMar>
              <w:top w:w="50" w:type="dxa"/>
              <w:bottom w:w="50" w:type="dxa"/>
              <w:left w:w="80" w:type="dxa"/>
              <w:right w:w="80" w:type="dxa"/>
            </w:tcMar>
          </w:tcPr>
          <w:p>
            <w:pPr>
              <w:spacing w:after="0"/>
            </w:pPr>
            <w:r>
              <w:rPr>
                <w:rFonts w:ascii="Calibri" w:hAnsi="Calibri"/>
                <w:color w:val="334155"/>
                <w:sz w:val="19"/>
              </w:rPr>
              <w:t>Cultural affinity, sibling preservation, proximity matching algorithm</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&amp; COMMITTED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Finance &amp; Invoicing</w:t>
            </w:r>
          </w:p>
        </w:tc>
        <w:tc>
          <w:tcPr>
            <w:tcW w:type="dxa" w:w="4320"/>
            <w:shd w:fill="FFFFFF"/>
            <w:tcMar>
              <w:top w:w="50" w:type="dxa"/>
              <w:bottom w:w="50" w:type="dxa"/>
              <w:left w:w="80" w:type="dxa"/>
              <w:right w:w="80" w:type="dxa"/>
            </w:tcMar>
          </w:tcPr>
          <w:p>
            <w:pPr>
              <w:spacing w:after="0"/>
            </w:pPr>
            <w:r>
              <w:rPr>
                <w:rFonts w:ascii="Calibri" w:hAnsi="Calibri"/>
                <w:color w:val="334155"/>
                <w:sz w:val="19"/>
              </w:rPr>
              <w:t>Service purchase requests, per diem caregiver billing, audit ledger</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&amp; COMMITTED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Human Resources &amp; Employees</w:t>
            </w:r>
          </w:p>
        </w:tc>
        <w:tc>
          <w:tcPr>
            <w:tcW w:type="dxa" w:w="4320"/>
            <w:shd w:fill="FFFFFF"/>
            <w:tcMar>
              <w:top w:w="50" w:type="dxa"/>
              <w:bottom w:w="50" w:type="dxa"/>
              <w:left w:w="80" w:type="dxa"/>
              <w:right w:w="80" w:type="dxa"/>
            </w:tcMar>
          </w:tcPr>
          <w:p>
            <w:pPr>
              <w:spacing w:after="0"/>
            </w:pPr>
            <w:r>
              <w:rPr>
                <w:rFonts w:ascii="Calibri" w:hAnsi="Calibri"/>
                <w:color w:val="334155"/>
                <w:sz w:val="19"/>
              </w:rPr>
              <w:t>Personnel directory, professional licensing, CPR/First Aid compliance</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&amp; COMMITTED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Clinical Notes Module</w:t>
            </w:r>
          </w:p>
        </w:tc>
        <w:tc>
          <w:tcPr>
            <w:tcW w:type="dxa" w:w="4320"/>
            <w:shd w:fill="FFFFFF"/>
            <w:tcMar>
              <w:top w:w="50" w:type="dxa"/>
              <w:bottom w:w="50" w:type="dxa"/>
              <w:left w:w="80" w:type="dxa"/>
              <w:right w:w="80" w:type="dxa"/>
            </w:tcMar>
          </w:tcPr>
          <w:p>
            <w:pPr>
              <w:spacing w:after="0"/>
            </w:pPr>
            <w:r>
              <w:rPr>
                <w:rFonts w:ascii="Calibri" w:hAnsi="Calibri"/>
                <w:color w:val="334155"/>
                <w:sz w:val="19"/>
              </w:rPr>
              <w:t>Therapeutic progress notes, psychiatric interventions, HIPA protection</w:t>
            </w:r>
          </w:p>
        </w:tc>
        <w:tc>
          <w:tcPr>
            <w:tcW w:type="dxa" w:w="2448"/>
            <w:shd w:fill="FFFFFF"/>
            <w:tcMar>
              <w:top w:w="50" w:type="dxa"/>
              <w:bottom w:w="50" w:type="dxa"/>
              <w:left w:w="80" w:type="dxa"/>
              <w:right w:w="80" w:type="dxa"/>
            </w:tcMar>
          </w:tcPr>
          <w:p>
            <w:pPr>
              <w:spacing w:after="0"/>
            </w:pPr>
            <w:r>
              <w:rPr>
                <w:rFonts w:ascii="Calibri" w:hAnsi="Calibri"/>
                <w:b/>
                <w:color w:val="881337"/>
                <w:sz w:val="19"/>
              </w:rPr>
              <w:t>IMPLEMENTED IN SOURCE</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Executive &amp; CEO Dashboards</w:t>
            </w:r>
          </w:p>
        </w:tc>
        <w:tc>
          <w:tcPr>
            <w:tcW w:type="dxa" w:w="4320"/>
            <w:shd w:fill="FFFFFF"/>
            <w:tcMar>
              <w:top w:w="50" w:type="dxa"/>
              <w:bottom w:w="50" w:type="dxa"/>
              <w:left w:w="80" w:type="dxa"/>
              <w:right w:w="80" w:type="dxa"/>
            </w:tcMar>
          </w:tcPr>
          <w:p>
            <w:r>
              <w:rPr>
                <w:rFonts w:ascii="Calibri" w:hAnsi="Calibri"/>
                <w:sz w:val="19"/>
              </w:rPr>
              <w:t>Strategic initiatives, capital allocation, cross-agency caseload trends, live command centre aggregation</w:t>
            </w:r>
          </w:p>
        </w:tc>
        <w:tc>
          <w:tcPr>
            <w:tcW w:type="dxa" w:w="2448"/>
            <w:shd w:fill="FFFFFF"/>
            <w:tcMar>
              <w:top w:w="50" w:type="dxa"/>
              <w:bottom w:w="50" w:type="dxa"/>
              <w:left w:w="80" w:type="dxa"/>
              <w:right w:w="80" w:type="dxa"/>
            </w:tcMar>
          </w:tcPr>
          <w:p>
            <w:r>
              <w:rPr>
                <w:rFonts w:ascii="Calibri" w:hAnsi="Calibri"/>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Board Governance Portal</w:t>
            </w:r>
          </w:p>
        </w:tc>
        <w:tc>
          <w:tcPr>
            <w:tcW w:type="dxa" w:w="4320"/>
            <w:shd w:fill="FFFFFF"/>
            <w:tcMar>
              <w:top w:w="50" w:type="dxa"/>
              <w:bottom w:w="50" w:type="dxa"/>
              <w:left w:w="80" w:type="dxa"/>
              <w:right w:w="80" w:type="dxa"/>
            </w:tcMar>
          </w:tcPr>
          <w:p>
            <w:r>
              <w:rPr>
                <w:rFonts w:ascii="Calibri" w:hAnsi="Calibri"/>
                <w:sz w:val="19"/>
              </w:rPr>
              <w:t>In-camera meeting packages, formal decision records, publication controls, strict operational data redaction</w:t>
            </w:r>
          </w:p>
        </w:tc>
        <w:tc>
          <w:tcPr>
            <w:tcW w:type="dxa" w:w="2448"/>
            <w:shd w:fill="FFFFFF"/>
            <w:tcMar>
              <w:top w:w="50" w:type="dxa"/>
              <w:bottom w:w="50" w:type="dxa"/>
              <w:left w:w="80" w:type="dxa"/>
              <w:right w:w="80" w:type="dxa"/>
            </w:tcMar>
          </w:tcPr>
          <w:p>
            <w:r>
              <w:rPr>
                <w:rFonts w:ascii="Calibri" w:hAnsi="Calibri"/>
                <w:sz w:val="19"/>
              </w:rPr>
              <w:t>LIVE VERIFIED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Physical Vehicle GPS Tracking</w:t>
            </w:r>
          </w:p>
        </w:tc>
        <w:tc>
          <w:tcPr>
            <w:tcW w:type="dxa" w:w="4320"/>
            <w:shd w:fill="FFFFFF"/>
            <w:tcMar>
              <w:top w:w="50" w:type="dxa"/>
              <w:bottom w:w="50" w:type="dxa"/>
              <w:left w:w="80" w:type="dxa"/>
              <w:right w:w="80" w:type="dxa"/>
            </w:tcMar>
          </w:tcPr>
          <w:p>
            <w:pPr>
              <w:spacing w:after="0"/>
            </w:pPr>
            <w:r>
              <w:rPr>
                <w:rFonts w:ascii="Calibri" w:hAnsi="Calibri"/>
                <w:color w:val="334155"/>
                <w:sz w:val="19"/>
              </w:rPr>
              <w:t>OBD-II hardware integration, real-time telematics, geofencing</w:t>
            </w:r>
          </w:p>
        </w:tc>
        <w:tc>
          <w:tcPr>
            <w:tcW w:type="dxa" w:w="2448"/>
            <w:shd w:fill="FFFFFF"/>
            <w:tcMar>
              <w:top w:w="50" w:type="dxa"/>
              <w:bottom w:w="50" w:type="dxa"/>
              <w:left w:w="80" w:type="dxa"/>
              <w:right w:w="80" w:type="dxa"/>
            </w:tcMar>
          </w:tcPr>
          <w:p>
            <w:pPr>
              <w:spacing w:after="0"/>
            </w:pPr>
            <w:r>
              <w:rPr>
                <w:rFonts w:ascii="Calibri" w:hAnsi="Calibri"/>
                <w:b/>
                <w:color w:val="881337"/>
                <w:sz w:val="19"/>
              </w:rPr>
              <w:t>CONFIRMED REQUIREMENT — NOT YET IMPLEMENTED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Microsoft Graph Live Sync</w:t>
            </w:r>
          </w:p>
        </w:tc>
        <w:tc>
          <w:tcPr>
            <w:tcW w:type="dxa" w:w="4320"/>
            <w:shd w:fill="FFFFFF"/>
            <w:tcMar>
              <w:top w:w="50" w:type="dxa"/>
              <w:bottom w:w="50" w:type="dxa"/>
              <w:left w:w="80" w:type="dxa"/>
              <w:right w:w="80" w:type="dxa"/>
            </w:tcMar>
          </w:tcPr>
          <w:p>
            <w:pPr>
              <w:spacing w:after="0"/>
            </w:pPr>
            <w:r>
              <w:rPr>
                <w:rFonts w:ascii="Calibri" w:hAnsi="Calibri"/>
                <w:color w:val="334155"/>
                <w:sz w:val="19"/>
              </w:rPr>
              <w:t>Live M365 tenant synchronization for calendar and email dispatch</w:t>
            </w:r>
          </w:p>
        </w:tc>
        <w:tc>
          <w:tcPr>
            <w:tcW w:type="dxa" w:w="2448"/>
            <w:shd w:fill="FFFFFF"/>
            <w:tcMar>
              <w:top w:w="50" w:type="dxa"/>
              <w:bottom w:w="50" w:type="dxa"/>
              <w:left w:w="80" w:type="dxa"/>
              <w:right w:w="80" w:type="dxa"/>
            </w:tcMar>
          </w:tcPr>
          <w:p>
            <w:pPr>
              <w:spacing w:after="0"/>
            </w:pPr>
            <w:r>
              <w:rPr>
                <w:rFonts w:ascii="Calibri" w:hAnsi="Calibri"/>
                <w:b/>
                <w:color w:val="D97706"/>
                <w:sz w:val="19"/>
              </w:rPr>
              <w:t>PARTIAL IN SOURCE (STUBBED)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Sage Accounting Connector</w:t>
            </w:r>
          </w:p>
        </w:tc>
        <w:tc>
          <w:tcPr>
            <w:tcW w:type="dxa" w:w="4320"/>
            <w:shd w:fill="FFFFFF"/>
            <w:tcMar>
              <w:top w:w="50" w:type="dxa"/>
              <w:bottom w:w="50" w:type="dxa"/>
              <w:left w:w="80" w:type="dxa"/>
              <w:right w:w="80" w:type="dxa"/>
            </w:tcMar>
          </w:tcPr>
          <w:p>
            <w:pPr>
              <w:spacing w:after="0"/>
            </w:pPr>
            <w:r>
              <w:rPr>
                <w:rFonts w:ascii="Calibri" w:hAnsi="Calibri"/>
                <w:color w:val="334155"/>
                <w:sz w:val="19"/>
              </w:rPr>
              <w:t>Live bi-directional accounting database connector</w:t>
            </w:r>
          </w:p>
        </w:tc>
        <w:tc>
          <w:tcPr>
            <w:tcW w:type="dxa" w:w="2448"/>
            <w:shd w:fill="FFFFFF"/>
            <w:tcMar>
              <w:top w:w="50" w:type="dxa"/>
              <w:bottom w:w="50" w:type="dxa"/>
              <w:left w:w="80" w:type="dxa"/>
              <w:right w:w="80" w:type="dxa"/>
            </w:tcMar>
          </w:tcPr>
          <w:p>
            <w:pPr>
              <w:spacing w:after="0"/>
            </w:pPr>
            <w:r>
              <w:rPr>
                <w:rFonts w:ascii="Calibri" w:hAnsi="Calibri"/>
                <w:b/>
                <w:color w:val="881337"/>
                <w:sz w:val="19"/>
              </w:rPr>
              <w:t>CONFIRMED REQUIREMENT — NOT YET IMPLEMENTED</w:t>
            </w:r>
          </w:p>
        </w:tc>
      </w:tr>
      <w:tr>
        <w:tc>
          <w:tcPr>
            <w:tcW w:type="dxa" w:w="3168"/>
            <w:shd w:fill="F8FAFC"/>
            <w:tcMar>
              <w:top w:w="50" w:type="dxa"/>
              <w:bottom w:w="50" w:type="dxa"/>
              <w:left w:w="80" w:type="dxa"/>
              <w:right w:w="80" w:type="dxa"/>
            </w:tcMar>
          </w:tcPr>
          <w:p>
            <w:pPr>
              <w:spacing w:after="0"/>
            </w:pPr>
            <w:r>
              <w:rPr>
                <w:rFonts w:ascii="Calibri" w:hAnsi="Calibri"/>
                <w:b/>
                <w:color w:val="0F172A"/>
                <w:sz w:val="19"/>
              </w:rPr>
              <w:t>Ask Red Bear AI Answer Generation</w:t>
            </w:r>
          </w:p>
        </w:tc>
        <w:tc>
          <w:tcPr>
            <w:tcW w:type="dxa" w:w="4320"/>
            <w:shd w:fill="FFFFFF"/>
            <w:tcMar>
              <w:top w:w="50" w:type="dxa"/>
              <w:bottom w:w="50" w:type="dxa"/>
              <w:left w:w="80" w:type="dxa"/>
              <w:right w:w="80" w:type="dxa"/>
            </w:tcMar>
          </w:tcPr>
          <w:p>
            <w:pPr>
              <w:spacing w:after="0"/>
            </w:pPr>
            <w:r>
              <w:rPr>
                <w:rFonts w:ascii="Calibri" w:hAnsi="Calibri"/>
                <w:color w:val="334155"/>
                <w:sz w:val="19"/>
              </w:rPr>
              <w:t>Commercial AI model connection for sovereign policy search</w:t>
            </w:r>
          </w:p>
        </w:tc>
        <w:tc>
          <w:tcPr>
            <w:tcW w:type="dxa" w:w="2448"/>
            <w:shd w:fill="FFFFFF"/>
            <w:tcMar>
              <w:top w:w="50" w:type="dxa"/>
              <w:bottom w:w="50" w:type="dxa"/>
              <w:left w:w="80" w:type="dxa"/>
              <w:right w:w="80" w:type="dxa"/>
            </w:tcMar>
          </w:tcPr>
          <w:p>
            <w:pPr>
              <w:spacing w:after="0"/>
            </w:pPr>
            <w:r>
              <w:rPr>
                <w:rFonts w:ascii="Calibri" w:hAnsi="Calibri"/>
                <w:b/>
                <w:color w:val="D97706"/>
                <w:sz w:val="19"/>
              </w:rPr>
              <w:t>STUBBED / NOT LIVE</w:t>
            </w:r>
          </w:p>
        </w:tc>
      </w:tr>
      <w:tr>
        <w:tc>
          <w:tcPr>
            <w:tcW w:type="dxa" w:w="3168"/>
          </w:tcPr>
          <w:p>
            <w:r>
              <w:rPr>
                <w:rFonts w:ascii="Calibri" w:hAnsi="Calibri"/>
                <w:sz w:val="19"/>
              </w:rPr>
              <w:t>User Dashboard Personalization &amp; Theming</w:t>
            </w:r>
          </w:p>
        </w:tc>
        <w:tc>
          <w:tcPr>
            <w:tcW w:type="dxa" w:w="4320"/>
          </w:tcPr>
          <w:p>
            <w:r>
              <w:rPr>
                <w:rFonts w:ascii="Calibri" w:hAnsi="Calibri"/>
                <w:sz w:val="19"/>
              </w:rPr>
              <w:t>Light/Dark/System modes, 8 cultural palettes, density/radius, anti-flash, backend persistence</w:t>
            </w:r>
          </w:p>
        </w:tc>
        <w:tc>
          <w:tcPr>
            <w:tcW w:type="dxa" w:w="2448"/>
          </w:tcPr>
          <w:p>
            <w:r>
              <w:rPr>
                <w:rFonts w:ascii="Calibri" w:hAnsi="Calibri"/>
                <w:sz w:val="19"/>
              </w:rPr>
              <w:t>LIVE VERIFIED</w:t>
            </w:r>
          </w:p>
        </w:tc>
      </w:tr>
      <w:tr>
        <w:tc>
          <w:tcPr>
            <w:tcW w:type="dxa" w:w="3168"/>
          </w:tcPr>
          <w:p>
            <w:r>
              <w:rPr>
                <w:rFonts w:ascii="Calibri" w:hAnsi="Calibri"/>
                <w:sz w:val="19"/>
              </w:rPr>
              <w:t>Mobile Field Application (Android)</w:t>
            </w:r>
          </w:p>
        </w:tc>
        <w:tc>
          <w:tcPr>
            <w:tcW w:type="dxa" w:w="4320"/>
          </w:tcPr>
          <w:p>
            <w:r>
              <w:rPr>
                <w:rFonts w:ascii="Calibri" w:hAnsi="Calibri"/>
                <w:sz w:val="19"/>
              </w:rPr>
              <w:t>Modernized Flutter 3.47 app, 9 tests, analyze clean, SQLCipher encryption, Whisper speech aid, debug APK built</w:t>
            </w:r>
          </w:p>
        </w:tc>
        <w:tc>
          <w:tcPr>
            <w:tcW w:type="dxa" w:w="2448"/>
          </w:tcPr>
          <w:p>
            <w:r>
              <w:rPr>
                <w:rFonts w:ascii="Calibri" w:hAnsi="Calibri"/>
                <w:sz w:val="19"/>
              </w:rPr>
              <w:t>RUNTIME / BUILD VERIFIED (STORE DISTRIBUTION PENDING)</w:t>
            </w:r>
          </w:p>
        </w:tc>
      </w:tr>
    </w:tbl>
    <w:p>
      <w:pPr>
        <w:spacing w:after="160"/>
      </w:pPr>
    </w:p>
    <w:p>
      <w:pPr>
        <w:keepNext/>
        <w:spacing w:before="320" w:after="120"/>
      </w:pPr>
      <w:r>
        <w:rPr>
          <w:rFonts w:ascii="Calibri" w:hAnsi="Calibri"/>
          <w:b/>
          <w:color w:val="1E3A8A"/>
          <w:sz w:val="28"/>
        </w:rPr>
        <w:t>25. Confirmed Remaining Requirements</w:t>
      </w:r>
    </w:p>
    <w:p>
      <w:pPr>
        <w:pStyle w:val="ListBullet"/>
        <w:spacing w:before="0" w:after="50" w:line="276" w:lineRule="auto"/>
      </w:pPr>
      <w:r>
        <w:rPr>
          <w:rFonts w:ascii="Calibri" w:hAnsi="Calibri"/>
          <w:b/>
          <w:color w:val="0F172A"/>
          <w:sz w:val="19"/>
        </w:rPr>
        <w:t>Physical Vehicle GPS Integration:</w:t>
      </w:r>
      <w:r>
        <w:rPr>
          <w:rFonts w:ascii="Calibri" w:hAnsi="Calibri"/>
          <w:color w:val="334155"/>
          <w:sz w:val="19"/>
        </w:rPr>
        <w:t xml:space="preserve"> Hardware vendor evaluation, telematics contract, and physical device integration.</w:t>
      </w:r>
    </w:p>
    <w:p>
      <w:pPr>
        <w:pStyle w:val="ListBullet"/>
        <w:spacing w:before="0" w:after="50" w:line="276" w:lineRule="auto"/>
      </w:pPr>
      <w:r>
        <w:rPr>
          <w:rFonts w:ascii="Calibri" w:hAnsi="Calibri"/>
          <w:b/>
          <w:color w:val="0F172A"/>
          <w:sz w:val="19"/>
        </w:rPr>
        <w:t>Microsoft 365 Tenant Configuration:</w:t>
      </w:r>
      <w:r>
        <w:rPr>
          <w:rFonts w:ascii="Calibri" w:hAnsi="Calibri"/>
          <w:color w:val="334155"/>
          <w:sz w:val="19"/>
        </w:rPr>
        <w:t xml:space="preserve"> Enterprise Azure AD / Entra ID tenant authorization for live calendar and email sync.</w:t>
      </w:r>
    </w:p>
    <w:p>
      <w:pPr>
        <w:pStyle w:val="ListBullet"/>
        <w:spacing w:before="0" w:after="50" w:line="276" w:lineRule="auto"/>
      </w:pPr>
      <w:r>
        <w:rPr>
          <w:rFonts w:ascii="Calibri" w:hAnsi="Calibri"/>
          <w:b/>
          <w:color w:val="0F172A"/>
          <w:sz w:val="19"/>
        </w:rPr>
        <w:t>Sage Accounting Workflow Finalization:</w:t>
      </w:r>
      <w:r>
        <w:rPr>
          <w:rFonts w:ascii="Calibri" w:hAnsi="Calibri"/>
          <w:color w:val="334155"/>
          <w:sz w:val="19"/>
        </w:rPr>
        <w:t xml:space="preserve"> Accounting export formatting aligned with CRBCL's Sage chart of accounts.</w:t>
      </w:r>
    </w:p>
    <w:p>
      <w:pPr>
        <w:pStyle w:val="ListBullet"/>
        <w:spacing w:before="0" w:after="50" w:line="276" w:lineRule="auto"/>
      </w:pPr>
      <w:r>
        <w:rPr>
          <w:rFonts w:ascii="Calibri" w:hAnsi="Calibri"/>
          <w:b/>
          <w:color w:val="0F172A"/>
          <w:sz w:val="19"/>
        </w:rPr>
        <w:t>Staff Workflow Training &amp; Operational Rollout:</w:t>
      </w:r>
      <w:r>
        <w:rPr>
          <w:rFonts w:ascii="Calibri" w:hAnsi="Calibri"/>
          <w:color w:val="334155"/>
          <w:sz w:val="19"/>
        </w:rPr>
        <w:t xml:space="preserve"> Transition from technical testing to staff training on speech dictation, Office Coordinator, and Front Desk workflows.</w:t>
      </w:r>
    </w:p>
    <w:p>
      <w:pPr>
        <w:keepNext/>
        <w:spacing w:before="320" w:after="120"/>
      </w:pPr>
      <w:r>
        <w:rPr>
          <w:rFonts w:ascii="Calibri" w:hAnsi="Calibri"/>
          <w:b/>
          <w:color w:val="1E3A8A"/>
          <w:sz w:val="28"/>
        </w:rPr>
        <w:t>26. Recommended Next Steps</w:t>
      </w:r>
    </w:p>
    <w:p>
      <w:pPr>
        <w:pStyle w:val="ListBullet"/>
        <w:spacing w:before="0" w:after="50" w:line="276" w:lineRule="auto"/>
      </w:pPr>
      <w:r>
        <w:rPr>
          <w:rFonts w:ascii="Calibri" w:hAnsi="Calibri"/>
          <w:b/>
          <w:color w:val="0F172A"/>
          <w:sz w:val="19"/>
        </w:rPr>
        <w:t>1. Controlled Staff UAT:</w:t>
      </w:r>
      <w:r>
        <w:rPr>
          <w:rFonts w:ascii="Calibri" w:hAnsi="Calibri"/>
          <w:color w:val="334155"/>
          <w:sz w:val="19"/>
        </w:rPr>
        <w:t xml:space="preserve"> Conduct structured user acceptance testing with representative frontline caseworkers across laptops and tablets.</w:t>
      </w:r>
    </w:p>
    <w:p>
      <w:pPr>
        <w:pStyle w:val="ListBullet"/>
        <w:spacing w:before="0" w:after="50" w:line="276" w:lineRule="auto"/>
      </w:pPr>
      <w:r>
        <w:rPr>
          <w:rFonts w:ascii="Calibri" w:hAnsi="Calibri"/>
          <w:b/>
          <w:color w:val="0F172A"/>
          <w:sz w:val="19"/>
        </w:rPr>
        <w:t>2. Production Redis Provisioning:</w:t>
      </w:r>
      <w:r>
        <w:rPr>
          <w:rFonts w:ascii="Calibri" w:hAnsi="Calibri"/>
          <w:color w:val="334155"/>
          <w:sz w:val="19"/>
        </w:rPr>
        <w:t xml:space="preserve"> Provision dedicated Redis instance on Railway to achieve green health status across all health checks.</w:t>
      </w:r>
    </w:p>
    <w:p>
      <w:pPr>
        <w:pStyle w:val="ListBullet"/>
        <w:spacing w:before="0" w:after="50" w:line="276" w:lineRule="auto"/>
      </w:pPr>
      <w:r>
        <w:rPr>
          <w:rFonts w:ascii="Calibri" w:hAnsi="Calibri"/>
          <w:b/>
          <w:color w:val="0F172A"/>
          <w:sz w:val="19"/>
        </w:rPr>
        <w:t>3. Legal &amp; Privacy Review:</w:t>
      </w:r>
      <w:r>
        <w:rPr>
          <w:rFonts w:ascii="Calibri" w:hAnsi="Calibri"/>
          <w:color w:val="334155"/>
          <w:sz w:val="19"/>
        </w:rPr>
        <w:t xml:space="preserve"> Formal review of data flows and technical access boundaries by CRBCL legal and privacy counsel.</w:t>
      </w:r>
    </w:p>
    <w:p>
      <w:pPr>
        <w:pStyle w:val="ListBullet"/>
        <w:spacing w:before="0" w:after="50" w:line="276" w:lineRule="auto"/>
      </w:pPr>
      <w:r>
        <w:rPr>
          <w:rFonts w:ascii="Calibri" w:hAnsi="Calibri"/>
          <w:b/>
          <w:color w:val="0F172A"/>
          <w:sz w:val="19"/>
        </w:rPr>
        <w:t>4. GPS Telematics Procurement:</w:t>
      </w:r>
      <w:r>
        <w:rPr>
          <w:rFonts w:ascii="Calibri" w:hAnsi="Calibri"/>
          <w:color w:val="334155"/>
          <w:sz w:val="19"/>
        </w:rPr>
        <w:t xml:space="preserve"> Establish procurement specifications for physical vehicle telematics units.</w:t>
      </w:r>
    </w:p>
    <w:p>
      <w:pPr>
        <w:keepNext/>
        <w:spacing w:before="320" w:after="120"/>
      </w:pPr>
      <w:r>
        <w:rPr>
          <w:rFonts w:ascii="Calibri" w:hAnsi="Calibri"/>
          <w:b/>
          <w:color w:val="1E3A8A"/>
          <w:sz w:val="28"/>
        </w:rPr>
        <w:t>27. Technical, Privacy &amp; Verification Notices</w:t>
      </w:r>
    </w:p>
    <w:tbl>
      <w:tblPr>
        <w:tblW w:type="auto" w:w="0"/>
        <w:jc w:val="center"/>
        <w:tblLayout w:type="fixed"/>
        <w:tblLook w:firstColumn="1" w:firstRow="1" w:lastColumn="0" w:lastRow="0" w:noHBand="0" w:noVBand="1" w:val="04A0"/>
      </w:tblPr>
      <w:tblGrid>
        <w:gridCol w:w="9936"/>
      </w:tblGrid>
      <w:tr>
        <w:tc>
          <w:tcPr>
            <w:tcW w:type="dxa" w:w="9936"/>
            <w:shd w:fill="FFFBEB"/>
            <w:tcMar>
              <w:top w:w="80" w:type="dxa"/>
              <w:bottom w:w="80" w:type="dxa"/>
              <w:left w:w="120" w:type="dxa"/>
              <w:right w:w="120" w:type="dxa"/>
            </w:tcMar>
            <w:tcBorders>
              <w:left w:val="single" w:sz="24" w:space="0" w:color="D97706"/>
              <w:top w:val="none"/>
              <w:right w:val="none"/>
              <w:bottom w:val="none"/>
            </w:tcBorders>
          </w:tcPr>
          <w:p>
            <w:pPr>
              <w:spacing w:before="40" w:after="40" w:line="276" w:lineRule="auto"/>
            </w:pPr>
            <w:r>
              <w:rPr>
                <w:rFonts w:ascii="Calibri" w:hAnsi="Calibri"/>
                <w:b/>
                <w:color w:val="1E3A8A"/>
                <w:sz w:val="20"/>
              </w:rPr>
              <w:t>Live Website Verification Notice (Verbatim)</w:t>
              <w:br/>
            </w:r>
            <w:r>
              <w:rPr>
                <w:rFonts w:ascii="Calibri" w:hAnsi="Calibri"/>
                <w:color w:val="334155"/>
                <w:sz w:val="18"/>
              </w:rPr>
              <w:t>Live Website Verification Notice: CRBCL has reported that not all capabilities represented in the current source implementation are functioning as expected on the live website. Accordingly, this report distinguishes source-code implementation from confirmed live operation. No capability is represented as production-operational solely because corresponding source code or automated tests exist. Reported live issues require authenticated end-to-end UAT and remediation where necessary.</w:t>
            </w:r>
          </w:p>
        </w:tc>
      </w:tr>
    </w:tbl>
    <w:p>
      <w:pPr>
        <w:spacing w:after="60"/>
      </w:pP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Borders>
              <w:left w:val="single" w:sz="24" w:space="0" w:color="1E3A8A"/>
              <w:top w:val="none"/>
              <w:right w:val="none"/>
              <w:bottom w:val="none"/>
            </w:tcBorders>
          </w:tcPr>
          <w:p>
            <w:pPr>
              <w:spacing w:before="40" w:after="40" w:line="276" w:lineRule="auto"/>
            </w:pPr>
            <w:r>
              <w:rPr>
                <w:rFonts w:ascii="Calibri" w:hAnsi="Calibri"/>
                <w:b/>
                <w:color w:val="1E3A8A"/>
                <w:sz w:val="20"/>
              </w:rPr>
              <w:t>Technical Readiness &amp; Data Safeguard Notice (Verbatim)</w:t>
              <w:br/>
            </w:r>
            <w:r>
              <w:rPr>
                <w:rFonts w:ascii="Calibri" w:hAnsi="Calibri"/>
                <w:color w:val="334155"/>
                <w:sz w:val="18"/>
              </w:rPr>
              <w:t>Technical readiness supports controlled UAT using synthetic and de-identified data.</w:t>
              <w:br/>
              <w:t>This technical assessment does not authorize live community data testing or production operational use.</w:t>
            </w:r>
          </w:p>
        </w:tc>
      </w:tr>
    </w:tbl>
    <w:p>
      <w:pPr>
        <w:spacing w:after="60"/>
      </w:pPr>
    </w:p>
    <w:tbl>
      <w:tblPr>
        <w:tblW w:type="auto" w:w="0"/>
        <w:jc w:val="center"/>
        <w:tblLayout w:type="fixed"/>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Borders>
              <w:left w:val="single" w:sz="24" w:space="0" w:color="1E3A8A"/>
              <w:top w:val="none"/>
              <w:right w:val="none"/>
              <w:bottom w:val="none"/>
            </w:tcBorders>
          </w:tcPr>
          <w:p>
            <w:pPr>
              <w:spacing w:before="40" w:after="40" w:line="276" w:lineRule="auto"/>
            </w:pPr>
            <w:r>
              <w:rPr>
                <w:rFonts w:ascii="Calibri" w:hAnsi="Calibri"/>
                <w:b/>
                <w:color w:val="1E3A8A"/>
                <w:sz w:val="20"/>
              </w:rPr>
              <w:t>Statutory Alignment Notice (Verbatim)</w:t>
              <w:br/>
            </w:r>
            <w:r>
              <w:rPr>
                <w:rFonts w:ascii="Calibri" w:hAnsi="Calibri"/>
                <w:color w:val="334155"/>
                <w:sz w:val="18"/>
              </w:rPr>
              <w:t>Technical controls have been assessed for alignment support; statutory applicability and legal compliance require CRBCL privacy/legal review.</w:t>
            </w:r>
          </w:p>
        </w:tc>
      </w:tr>
    </w:tbl>
    <w:p>
      <w:pPr>
        <w:spacing w:after="60"/>
      </w:pPr>
    </w:p>
    <w:p>
      <w:r>
        <w:br w:type="page"/>
      </w:r>
    </w:p>
    <w:p>
      <w:pPr>
        <w:keepNext/>
        <w:spacing w:before="320" w:after="120"/>
      </w:pPr>
      <w:r>
        <w:rPr>
          <w:rFonts w:ascii="Calibri" w:hAnsi="Calibri"/>
          <w:b/>
          <w:color w:val="1E3A8A"/>
          <w:sz w:val="28"/>
        </w:rPr>
        <w:t>Appendix A: Complete Team Dashboard / Staff Role Matrix</w:t>
      </w:r>
    </w:p>
    <w:p>
      <w:pPr>
        <w:spacing w:before="0" w:after="80" w:line="276" w:lineRule="auto"/>
      </w:pPr>
      <w:r>
        <w:rPr>
          <w:rFonts w:ascii="Calibri" w:hAnsi="Calibri"/>
          <w:color w:val="334155"/>
          <w:sz w:val="19"/>
        </w:rPr>
        <w:t>Comprehensive mapping of all 24 Operational Teams, staff roles, governance oversight, and live status: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76"/>
        <w:gridCol w:w="2592"/>
        <w:gridCol w:w="2592"/>
        <w:gridCol w:w="2448"/>
        <w:gridCol w:w="1728"/>
      </w:tblGrid>
      <w:tr>
        <w:tc>
          <w:tcPr>
            <w:tcW w:type="dxa" w:w="1987"/>
            <w:shd w:fill="1E3A8A"/>
            <w:tcMar>
              <w:top w:w="80" w:type="dxa"/>
              <w:bottom w:w="80" w:type="dxa"/>
              <w:left w:w="80" w:type="dxa"/>
              <w:right w:w="80" w:type="dxa"/>
            </w:tcMar>
          </w:tcPr>
          <w:p>
            <w:pPr>
              <w:spacing w:after="0"/>
            </w:pPr>
            <w:r>
              <w:rPr>
                <w:rFonts w:ascii="Calibri" w:hAnsi="Calibri"/>
                <w:b/>
                <w:color w:val="FFFFFF"/>
                <w:sz w:val="17"/>
              </w:rPr>
              <w:t>#</w:t>
            </w:r>
          </w:p>
        </w:tc>
        <w:tc>
          <w:tcPr>
            <w:tcW w:type="dxa" w:w="1987"/>
            <w:shd w:fill="1E3A8A"/>
            <w:tcMar>
              <w:top w:w="80" w:type="dxa"/>
              <w:bottom w:w="80" w:type="dxa"/>
              <w:left w:w="80" w:type="dxa"/>
              <w:right w:w="80" w:type="dxa"/>
            </w:tcMar>
          </w:tcPr>
          <w:p>
            <w:pPr>
              <w:spacing w:after="0"/>
            </w:pPr>
            <w:r>
              <w:rPr>
                <w:rFonts w:ascii="Calibri" w:hAnsi="Calibri"/>
                <w:b/>
                <w:color w:val="FFFFFF"/>
                <w:sz w:val="17"/>
              </w:rPr>
              <w:t>Team / Department</w:t>
            </w:r>
          </w:p>
        </w:tc>
        <w:tc>
          <w:tcPr>
            <w:tcW w:type="dxa" w:w="1987"/>
            <w:shd w:fill="1E3A8A"/>
            <w:tcMar>
              <w:top w:w="80" w:type="dxa"/>
              <w:bottom w:w="80" w:type="dxa"/>
              <w:left w:w="80" w:type="dxa"/>
              <w:right w:w="80" w:type="dxa"/>
            </w:tcMar>
          </w:tcPr>
          <w:p>
            <w:pPr>
              <w:spacing w:after="0"/>
            </w:pPr>
            <w:r>
              <w:rPr>
                <w:rFonts w:ascii="Calibri" w:hAnsi="Calibri"/>
                <w:b/>
                <w:color w:val="FFFFFF"/>
                <w:sz w:val="17"/>
              </w:rPr>
              <w:t>Operational Staff Roles</w:t>
            </w:r>
          </w:p>
        </w:tc>
        <w:tc>
          <w:tcPr>
            <w:tcW w:type="dxa" w:w="1987"/>
            <w:shd w:fill="1E3A8A"/>
            <w:tcMar>
              <w:top w:w="80" w:type="dxa"/>
              <w:bottom w:w="80" w:type="dxa"/>
              <w:left w:w="80" w:type="dxa"/>
              <w:right w:w="80" w:type="dxa"/>
            </w:tcMar>
          </w:tcPr>
          <w:p>
            <w:pPr>
              <w:spacing w:after="0"/>
            </w:pPr>
            <w:r>
              <w:rPr>
                <w:rFonts w:ascii="Calibri" w:hAnsi="Calibri"/>
                <w:b/>
                <w:color w:val="FFFFFF"/>
                <w:sz w:val="17"/>
              </w:rPr>
              <w:t>Leadership &amp; Oversight</w:t>
            </w:r>
          </w:p>
        </w:tc>
        <w:tc>
          <w:tcPr>
            <w:tcW w:type="dxa" w:w="1987"/>
            <w:shd w:fill="1E3A8A"/>
            <w:tcMar>
              <w:top w:w="80" w:type="dxa"/>
              <w:bottom w:w="80" w:type="dxa"/>
              <w:left w:w="80" w:type="dxa"/>
              <w:right w:w="80" w:type="dxa"/>
            </w:tcMar>
          </w:tcPr>
          <w:p>
            <w:pPr>
              <w:spacing w:after="0"/>
            </w:pPr>
            <w:r>
              <w:rPr>
                <w:rFonts w:ascii="Calibri" w:hAnsi="Calibri"/>
                <w:b/>
                <w:color w:val="FFFFFF"/>
                <w:sz w:val="17"/>
              </w:rPr>
              <w:t>Live Status</w:t>
            </w:r>
          </w:p>
        </w:tc>
      </w:tr>
      <w:tr>
        <w:tc>
          <w:tcPr>
            <w:tcW w:type="dxa" w:w="576"/>
            <w:shd w:fill="F8FAFC"/>
            <w:tcMar>
              <w:top w:w="40" w:type="dxa"/>
              <w:bottom w:w="40" w:type="dxa"/>
              <w:left w:w="60" w:type="dxa"/>
              <w:right w:w="60" w:type="dxa"/>
            </w:tcMar>
          </w:tcPr>
          <w:p>
            <w:r>
              <w:rPr>
                <w:sz w:val="16"/>
              </w:rPr>
              <w:t>1</w:t>
            </w:r>
          </w:p>
        </w:tc>
        <w:tc>
          <w:tcPr>
            <w:tcW w:type="dxa" w:w="2592"/>
            <w:shd w:fill="FFFFFF"/>
            <w:tcMar>
              <w:top w:w="40" w:type="dxa"/>
              <w:bottom w:w="40" w:type="dxa"/>
              <w:left w:w="60" w:type="dxa"/>
              <w:right w:w="60" w:type="dxa"/>
            </w:tcMar>
          </w:tcPr>
          <w:p>
            <w:r>
              <w:rPr>
                <w:b/>
                <w:sz w:val="16"/>
              </w:rPr>
              <w:t>Executive Leadership Team</w:t>
            </w:r>
          </w:p>
        </w:tc>
        <w:tc>
          <w:tcPr>
            <w:tcW w:type="dxa" w:w="2592"/>
            <w:shd w:fill="FFFFFF"/>
            <w:tcMar>
              <w:top w:w="40" w:type="dxa"/>
              <w:bottom w:w="40" w:type="dxa"/>
              <w:left w:w="60" w:type="dxa"/>
              <w:right w:w="60" w:type="dxa"/>
            </w:tcMar>
          </w:tcPr>
          <w:p>
            <w:r>
              <w:rPr>
                <w:sz w:val="15"/>
              </w:rPr>
              <w:t>Director / Manager (director_manager)</w:t>
            </w:r>
          </w:p>
        </w:tc>
        <w:tc>
          <w:tcPr>
            <w:tcW w:type="dxa" w:w="2448"/>
            <w:shd w:fill="FFFFFF"/>
            <w:tcMar>
              <w:top w:w="40" w:type="dxa"/>
              <w:bottom w:w="40" w:type="dxa"/>
              <w:left w:w="60" w:type="dxa"/>
              <w:right w:w="60" w:type="dxa"/>
            </w:tcMar>
          </w:tcPr>
          <w:p>
            <w:r>
              <w:rPr>
                <w:sz w:val="15"/>
              </w:rPr>
              <w:t>Executive Director (executive_director) / Chief Executive Officer (ceo), Board Member (board_member)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2</w:t>
            </w:r>
          </w:p>
        </w:tc>
        <w:tc>
          <w:tcPr>
            <w:tcW w:type="dxa" w:w="2592"/>
            <w:shd w:fill="FFFFFF"/>
            <w:tcMar>
              <w:top w:w="40" w:type="dxa"/>
              <w:bottom w:w="40" w:type="dxa"/>
              <w:left w:w="60" w:type="dxa"/>
              <w:right w:w="60" w:type="dxa"/>
            </w:tcMar>
          </w:tcPr>
          <w:p>
            <w:r>
              <w:rPr>
                <w:b/>
                <w:sz w:val="16"/>
              </w:rPr>
              <w:t>Child &amp; Family Services Team</w:t>
            </w:r>
          </w:p>
        </w:tc>
        <w:tc>
          <w:tcPr>
            <w:tcW w:type="dxa" w:w="2592"/>
            <w:shd w:fill="FFFFFF"/>
            <w:tcMar>
              <w:top w:w="40" w:type="dxa"/>
              <w:bottom w:w="40" w:type="dxa"/>
              <w:left w:w="60" w:type="dxa"/>
              <w:right w:w="60" w:type="dxa"/>
            </w:tcMar>
          </w:tcPr>
          <w:p>
            <w:r>
              <w:rPr>
                <w:sz w:val="15"/>
              </w:rPr>
              <w:t>Caseworker (caseworker), Case Aide (case_aide)</w:t>
            </w:r>
          </w:p>
        </w:tc>
        <w:tc>
          <w:tcPr>
            <w:tcW w:type="dxa" w:w="2448"/>
            <w:shd w:fill="FFFFFF"/>
            <w:tcMar>
              <w:top w:w="40" w:type="dxa"/>
              <w:bottom w:w="40" w:type="dxa"/>
              <w:left w:w="60" w:type="dxa"/>
              <w:right w:w="60" w:type="dxa"/>
            </w:tcMar>
          </w:tcPr>
          <w:p>
            <w:r>
              <w:rPr>
                <w:sz w:val="15"/>
              </w:rPr>
              <w:t>Supervisor (supervisor) / Director / Manager (director_manager), Executive Director oversight</w:t>
            </w:r>
          </w:p>
        </w:tc>
        <w:tc>
          <w:tcPr>
            <w:tcW w:type="dxa" w:w="1728"/>
            <w:shd w:fill="F8FAFC"/>
            <w:tcMar>
              <w:top w:w="40" w:type="dxa"/>
              <w:bottom w:w="40" w:type="dxa"/>
              <w:left w:w="60" w:type="dxa"/>
              <w:right w:w="60" w:type="dxa"/>
            </w:tcMar>
          </w:tcPr>
          <w:p>
            <w:r>
              <w:rPr>
                <w:b/>
                <w:color w:val="059669"/>
                <w:sz w:val="15"/>
              </w:rPr>
              <w:t>LIVE VERIFIED</w:t>
            </w:r>
          </w:p>
        </w:tc>
      </w:tr>
      <w:tr>
        <w:tc>
          <w:tcPr>
            <w:tcW w:type="dxa" w:w="576"/>
            <w:shd w:fill="F8FAFC"/>
            <w:tcMar>
              <w:top w:w="40" w:type="dxa"/>
              <w:bottom w:w="40" w:type="dxa"/>
              <w:left w:w="60" w:type="dxa"/>
              <w:right w:w="60" w:type="dxa"/>
            </w:tcMar>
          </w:tcPr>
          <w:p>
            <w:r>
              <w:rPr>
                <w:sz w:val="16"/>
              </w:rPr>
              <w:t>3</w:t>
            </w:r>
          </w:p>
        </w:tc>
        <w:tc>
          <w:tcPr>
            <w:tcW w:type="dxa" w:w="2592"/>
            <w:shd w:fill="FFFFFF"/>
            <w:tcMar>
              <w:top w:w="40" w:type="dxa"/>
              <w:bottom w:w="40" w:type="dxa"/>
              <w:left w:w="60" w:type="dxa"/>
              <w:right w:w="60" w:type="dxa"/>
            </w:tcMar>
          </w:tcPr>
          <w:p>
            <w:r>
              <w:rPr>
                <w:b/>
                <w:sz w:val="16"/>
              </w:rPr>
              <w:t>Prevention &amp; Healing Team</w:t>
            </w:r>
          </w:p>
        </w:tc>
        <w:tc>
          <w:tcPr>
            <w:tcW w:type="dxa" w:w="2592"/>
            <w:shd w:fill="FFFFFF"/>
            <w:tcMar>
              <w:top w:w="40" w:type="dxa"/>
              <w:bottom w:w="40" w:type="dxa"/>
              <w:left w:w="60" w:type="dxa"/>
              <w:right w:w="60" w:type="dxa"/>
            </w:tcMar>
          </w:tcPr>
          <w:p>
            <w:r>
              <w:rPr>
                <w:sz w:val="15"/>
              </w:rPr>
              <w:t>Caseworker (caseworker), Case Aide (case_aide), Cultural Worker (cultural_worker)</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4</w:t>
            </w:r>
          </w:p>
        </w:tc>
        <w:tc>
          <w:tcPr>
            <w:tcW w:type="dxa" w:w="2592"/>
            <w:shd w:fill="FFFFFF"/>
            <w:tcMar>
              <w:top w:w="40" w:type="dxa"/>
              <w:bottom w:w="40" w:type="dxa"/>
              <w:left w:w="60" w:type="dxa"/>
              <w:right w:w="60" w:type="dxa"/>
            </w:tcMar>
          </w:tcPr>
          <w:p>
            <w:r>
              <w:rPr>
                <w:b/>
                <w:sz w:val="16"/>
              </w:rPr>
              <w:t>Sacred Wolf Lodge Team</w:t>
            </w:r>
          </w:p>
        </w:tc>
        <w:tc>
          <w:tcPr>
            <w:tcW w:type="dxa" w:w="2592"/>
            <w:shd w:fill="FFFFFF"/>
            <w:tcMar>
              <w:top w:w="40" w:type="dxa"/>
              <w:bottom w:w="40" w:type="dxa"/>
              <w:left w:w="60" w:type="dxa"/>
              <w:right w:w="60" w:type="dxa"/>
            </w:tcMar>
          </w:tcPr>
          <w:p>
            <w:r>
              <w:rPr>
                <w:sz w:val="15"/>
              </w:rPr>
              <w:t>Case Aide (case_aide), Caseworker (caseworker), Cultural Worker (cultural_worker)</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5</w:t>
            </w:r>
          </w:p>
        </w:tc>
        <w:tc>
          <w:tcPr>
            <w:tcW w:type="dxa" w:w="2592"/>
            <w:shd w:fill="FFFFFF"/>
            <w:tcMar>
              <w:top w:w="40" w:type="dxa"/>
              <w:bottom w:w="40" w:type="dxa"/>
              <w:left w:w="60" w:type="dxa"/>
              <w:right w:w="60" w:type="dxa"/>
            </w:tcMar>
          </w:tcPr>
          <w:p>
            <w:r>
              <w:rPr>
                <w:b/>
                <w:sz w:val="16"/>
              </w:rPr>
              <w:t>Home Fire Team</w:t>
            </w:r>
          </w:p>
        </w:tc>
        <w:tc>
          <w:tcPr>
            <w:tcW w:type="dxa" w:w="2592"/>
            <w:shd w:fill="FFFFFF"/>
            <w:tcMar>
              <w:top w:w="40" w:type="dxa"/>
              <w:bottom w:w="40" w:type="dxa"/>
              <w:left w:w="60" w:type="dxa"/>
              <w:right w:w="60" w:type="dxa"/>
            </w:tcMar>
          </w:tcPr>
          <w:p>
            <w:r>
              <w:rPr>
                <w:sz w:val="15"/>
              </w:rPr>
              <w:t>Caseworker (caseworker), Case Aide (case_aide)</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6</w:t>
            </w:r>
          </w:p>
        </w:tc>
        <w:tc>
          <w:tcPr>
            <w:tcW w:type="dxa" w:w="2592"/>
            <w:shd w:fill="FFFFFF"/>
            <w:tcMar>
              <w:top w:w="40" w:type="dxa"/>
              <w:bottom w:w="40" w:type="dxa"/>
              <w:left w:w="60" w:type="dxa"/>
              <w:right w:w="60" w:type="dxa"/>
            </w:tcMar>
          </w:tcPr>
          <w:p>
            <w:r>
              <w:rPr>
                <w:b/>
                <w:sz w:val="16"/>
              </w:rPr>
              <w:t>Family Support Liaison (FSL) Team</w:t>
            </w:r>
          </w:p>
        </w:tc>
        <w:tc>
          <w:tcPr>
            <w:tcW w:type="dxa" w:w="2592"/>
            <w:shd w:fill="FFFFFF"/>
            <w:tcMar>
              <w:top w:w="40" w:type="dxa"/>
              <w:bottom w:w="40" w:type="dxa"/>
              <w:left w:w="60" w:type="dxa"/>
              <w:right w:w="60" w:type="dxa"/>
            </w:tcMar>
          </w:tcPr>
          <w:p>
            <w:r>
              <w:rPr>
                <w:sz w:val="15"/>
              </w:rPr>
              <w:t>Caseworker (caseworker), Case Aide (case_aide)</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7</w:t>
            </w:r>
          </w:p>
        </w:tc>
        <w:tc>
          <w:tcPr>
            <w:tcW w:type="dxa" w:w="2592"/>
            <w:shd w:fill="FFFFFF"/>
            <w:tcMar>
              <w:top w:w="40" w:type="dxa"/>
              <w:bottom w:w="40" w:type="dxa"/>
              <w:left w:w="60" w:type="dxa"/>
              <w:right w:w="60" w:type="dxa"/>
            </w:tcMar>
          </w:tcPr>
          <w:p>
            <w:r>
              <w:rPr>
                <w:b/>
                <w:sz w:val="16"/>
              </w:rPr>
              <w:t>Cultural &amp; Traditional Healing Team</w:t>
            </w:r>
          </w:p>
        </w:tc>
        <w:tc>
          <w:tcPr>
            <w:tcW w:type="dxa" w:w="2592"/>
            <w:shd w:fill="FFFFFF"/>
            <w:tcMar>
              <w:top w:w="40" w:type="dxa"/>
              <w:bottom w:w="40" w:type="dxa"/>
              <w:left w:w="60" w:type="dxa"/>
              <w:right w:w="60" w:type="dxa"/>
            </w:tcMar>
          </w:tcPr>
          <w:p>
            <w:r>
              <w:rPr>
                <w:sz w:val="15"/>
              </w:rPr>
              <w:t>Cultural Worker (cultural_worker)</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8</w:t>
            </w:r>
          </w:p>
        </w:tc>
        <w:tc>
          <w:tcPr>
            <w:tcW w:type="dxa" w:w="2592"/>
            <w:shd w:fill="FFFFFF"/>
            <w:tcMar>
              <w:top w:w="40" w:type="dxa"/>
              <w:bottom w:w="40" w:type="dxa"/>
              <w:left w:w="60" w:type="dxa"/>
              <w:right w:w="60" w:type="dxa"/>
            </w:tcMar>
          </w:tcPr>
          <w:p>
            <w:r>
              <w:rPr>
                <w:b/>
                <w:sz w:val="16"/>
              </w:rPr>
              <w:t>Youth &amp; Children Programs Team</w:t>
            </w:r>
          </w:p>
        </w:tc>
        <w:tc>
          <w:tcPr>
            <w:tcW w:type="dxa" w:w="2592"/>
            <w:shd w:fill="FFFFFF"/>
            <w:tcMar>
              <w:top w:w="40" w:type="dxa"/>
              <w:bottom w:w="40" w:type="dxa"/>
              <w:left w:w="60" w:type="dxa"/>
              <w:right w:w="60" w:type="dxa"/>
            </w:tcMar>
          </w:tcPr>
          <w:p>
            <w:r>
              <w:rPr>
                <w:sz w:val="15"/>
              </w:rPr>
              <w:t>Caseworker (caseworker), Case Aide (case_aide)</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9</w:t>
            </w:r>
          </w:p>
        </w:tc>
        <w:tc>
          <w:tcPr>
            <w:tcW w:type="dxa" w:w="2592"/>
            <w:shd w:fill="FFFFFF"/>
            <w:tcMar>
              <w:top w:w="40" w:type="dxa"/>
              <w:bottom w:w="40" w:type="dxa"/>
              <w:left w:w="60" w:type="dxa"/>
              <w:right w:w="60" w:type="dxa"/>
            </w:tcMar>
          </w:tcPr>
          <w:p>
            <w:r>
              <w:rPr>
                <w:b/>
                <w:sz w:val="16"/>
              </w:rPr>
              <w:t>Clinical &amp; Wellness Team</w:t>
            </w:r>
          </w:p>
        </w:tc>
        <w:tc>
          <w:tcPr>
            <w:tcW w:type="dxa" w:w="2592"/>
            <w:shd w:fill="FFFFFF"/>
            <w:tcMar>
              <w:top w:w="40" w:type="dxa"/>
              <w:bottom w:w="40" w:type="dxa"/>
              <w:left w:w="60" w:type="dxa"/>
              <w:right w:w="60" w:type="dxa"/>
            </w:tcMar>
          </w:tcPr>
          <w:p>
            <w:r>
              <w:rPr>
                <w:sz w:val="15"/>
              </w:rPr>
              <w:t>Clinical Staff (clinical_staff)</w:t>
            </w:r>
          </w:p>
        </w:tc>
        <w:tc>
          <w:tcPr>
            <w:tcW w:type="dxa" w:w="2448"/>
            <w:shd w:fill="FFFFFF"/>
            <w:tcMar>
              <w:top w:w="40" w:type="dxa"/>
              <w:bottom w:w="40" w:type="dxa"/>
              <w:left w:w="60" w:type="dxa"/>
              <w:right w:w="60" w:type="dxa"/>
            </w:tcMar>
          </w:tcPr>
          <w:p>
            <w:r>
              <w:rPr>
                <w:sz w:val="15"/>
              </w:rPr>
              <w:t>Supervisor (supervisor - clinical qualification required) / Director / Manager (director_manager)</w:t>
            </w:r>
          </w:p>
        </w:tc>
        <w:tc>
          <w:tcPr>
            <w:tcW w:type="dxa" w:w="1728"/>
            <w:shd w:fill="F8FAFC"/>
            <w:tcMar>
              <w:top w:w="40" w:type="dxa"/>
              <w:bottom w:w="40" w:type="dxa"/>
              <w:left w:w="60" w:type="dxa"/>
              <w:right w:w="60" w:type="dxa"/>
            </w:tcMar>
          </w:tcPr>
          <w:p>
            <w:r>
              <w:rPr>
                <w:b/>
                <w:color w:val="881337"/>
                <w:sz w:val="15"/>
              </w:rPr>
              <w:t>IMPLEMENTED IN SOURCE</w:t>
            </w:r>
          </w:p>
        </w:tc>
      </w:tr>
      <w:tr>
        <w:tc>
          <w:tcPr>
            <w:tcW w:type="dxa" w:w="576"/>
            <w:shd w:fill="F8FAFC"/>
            <w:tcMar>
              <w:top w:w="40" w:type="dxa"/>
              <w:bottom w:w="40" w:type="dxa"/>
              <w:left w:w="60" w:type="dxa"/>
              <w:right w:w="60" w:type="dxa"/>
            </w:tcMar>
          </w:tcPr>
          <w:p>
            <w:r>
              <w:rPr>
                <w:sz w:val="16"/>
              </w:rPr>
              <w:t>10</w:t>
            </w:r>
          </w:p>
        </w:tc>
        <w:tc>
          <w:tcPr>
            <w:tcW w:type="dxa" w:w="2592"/>
            <w:shd w:fill="FFFFFF"/>
            <w:tcMar>
              <w:top w:w="40" w:type="dxa"/>
              <w:bottom w:w="40" w:type="dxa"/>
              <w:left w:w="60" w:type="dxa"/>
              <w:right w:w="60" w:type="dxa"/>
            </w:tcMar>
          </w:tcPr>
          <w:p>
            <w:r>
              <w:rPr>
                <w:b/>
                <w:sz w:val="16"/>
              </w:rPr>
              <w:t>Intake &amp; Assessment Team</w:t>
            </w:r>
          </w:p>
        </w:tc>
        <w:tc>
          <w:tcPr>
            <w:tcW w:type="dxa" w:w="2592"/>
            <w:shd w:fill="FFFFFF"/>
            <w:tcMar>
              <w:top w:w="40" w:type="dxa"/>
              <w:bottom w:w="40" w:type="dxa"/>
              <w:left w:w="60" w:type="dxa"/>
              <w:right w:w="60" w:type="dxa"/>
            </w:tcMar>
          </w:tcPr>
          <w:p>
            <w:r>
              <w:rPr>
                <w:sz w:val="15"/>
              </w:rPr>
              <w:t>Caseworker (caseworker), Navigator (navigator)</w:t>
            </w:r>
          </w:p>
        </w:tc>
        <w:tc>
          <w:tcPr>
            <w:tcW w:type="dxa" w:w="2448"/>
            <w:shd w:fill="FFFFFF"/>
            <w:tcMar>
              <w:top w:w="40" w:type="dxa"/>
              <w:bottom w:w="40" w:type="dxa"/>
              <w:left w:w="60" w:type="dxa"/>
              <w:right w:w="60" w:type="dxa"/>
            </w:tcMar>
          </w:tcPr>
          <w:p>
            <w:r>
              <w:rPr>
                <w:sz w:val="15"/>
              </w:rPr>
              <w:t>Supervisor (supervisor - Intake Approvals Queue) / Director / Manager (director_manager)</w:t>
            </w:r>
          </w:p>
        </w:tc>
        <w:tc>
          <w:tcPr>
            <w:tcW w:type="dxa" w:w="1728"/>
            <w:shd w:fill="F8FAFC"/>
            <w:tcMar>
              <w:top w:w="40" w:type="dxa"/>
              <w:bottom w:w="40" w:type="dxa"/>
              <w:left w:w="60" w:type="dxa"/>
              <w:right w:w="60" w:type="dxa"/>
            </w:tcMar>
          </w:tcPr>
          <w:p>
            <w:r>
              <w:rPr>
                <w:b/>
                <w:color w:val="059669"/>
                <w:sz w:val="15"/>
              </w:rPr>
              <w:t>LIVE VERIFIED</w:t>
            </w:r>
          </w:p>
        </w:tc>
      </w:tr>
      <w:tr>
        <w:tc>
          <w:tcPr>
            <w:tcW w:type="dxa" w:w="576"/>
            <w:shd w:fill="F8FAFC"/>
            <w:tcMar>
              <w:top w:w="40" w:type="dxa"/>
              <w:bottom w:w="40" w:type="dxa"/>
              <w:left w:w="60" w:type="dxa"/>
              <w:right w:w="60" w:type="dxa"/>
            </w:tcMar>
          </w:tcPr>
          <w:p>
            <w:r>
              <w:rPr>
                <w:sz w:val="16"/>
              </w:rPr>
              <w:t>11</w:t>
            </w:r>
          </w:p>
        </w:tc>
        <w:tc>
          <w:tcPr>
            <w:tcW w:type="dxa" w:w="2592"/>
            <w:shd w:fill="FFFFFF"/>
            <w:tcMar>
              <w:top w:w="40" w:type="dxa"/>
              <w:bottom w:w="40" w:type="dxa"/>
              <w:left w:w="60" w:type="dxa"/>
              <w:right w:w="60" w:type="dxa"/>
            </w:tcMar>
          </w:tcPr>
          <w:p>
            <w:r>
              <w:rPr>
                <w:b/>
                <w:sz w:val="16"/>
              </w:rPr>
              <w:t>Quality Assurance &amp; Practice Standards Team</w:t>
            </w:r>
          </w:p>
        </w:tc>
        <w:tc>
          <w:tcPr>
            <w:tcW w:type="dxa" w:w="2592"/>
            <w:shd w:fill="FFFFFF"/>
            <w:tcMar>
              <w:top w:w="40" w:type="dxa"/>
              <w:bottom w:w="40" w:type="dxa"/>
              <w:left w:w="60" w:type="dxa"/>
              <w:right w:w="60" w:type="dxa"/>
            </w:tcMar>
          </w:tcPr>
          <w:p>
            <w:r>
              <w:rPr>
                <w:sz w:val="15"/>
              </w:rPr>
              <w:t>Supervisor (supervisor)</w:t>
            </w:r>
          </w:p>
        </w:tc>
        <w:tc>
          <w:tcPr>
            <w:tcW w:type="dxa" w:w="2448"/>
            <w:shd w:fill="FFFFFF"/>
            <w:tcMar>
              <w:top w:w="40" w:type="dxa"/>
              <w:bottom w:w="40" w:type="dxa"/>
              <w:left w:w="60" w:type="dxa"/>
              <w:right w:w="60" w:type="dxa"/>
            </w:tcMar>
          </w:tcPr>
          <w:p>
            <w:r>
              <w:rPr>
                <w:sz w:val="15"/>
              </w:rPr>
              <w:t>Director / Manager (director_manager) / Executive Director (executive_director)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12</w:t>
            </w:r>
          </w:p>
        </w:tc>
        <w:tc>
          <w:tcPr>
            <w:tcW w:type="dxa" w:w="2592"/>
            <w:shd w:fill="FFFFFF"/>
            <w:tcMar>
              <w:top w:w="40" w:type="dxa"/>
              <w:bottom w:w="40" w:type="dxa"/>
              <w:left w:w="60" w:type="dxa"/>
              <w:right w:w="60" w:type="dxa"/>
            </w:tcMar>
          </w:tcPr>
          <w:p>
            <w:r>
              <w:rPr>
                <w:b/>
                <w:sz w:val="16"/>
              </w:rPr>
              <w:t>Legal &amp; Jurisdiction Team</w:t>
            </w:r>
          </w:p>
        </w:tc>
        <w:tc>
          <w:tcPr>
            <w:tcW w:type="dxa" w:w="2592"/>
            <w:shd w:fill="FFFFFF"/>
            <w:tcMar>
              <w:top w:w="40" w:type="dxa"/>
              <w:bottom w:w="40" w:type="dxa"/>
              <w:left w:w="60" w:type="dxa"/>
              <w:right w:w="60" w:type="dxa"/>
            </w:tcMar>
          </w:tcPr>
          <w:p>
            <w:r>
              <w:rPr>
                <w:sz w:val="15"/>
              </w:rPr>
              <w:t>Caseworker (caseworker)</w:t>
            </w:r>
          </w:p>
        </w:tc>
        <w:tc>
          <w:tcPr>
            <w:tcW w:type="dxa" w:w="2448"/>
            <w:shd w:fill="FFFFFF"/>
            <w:tcMar>
              <w:top w:w="40" w:type="dxa"/>
              <w:bottom w:w="40" w:type="dxa"/>
              <w:left w:w="60" w:type="dxa"/>
              <w:right w:w="60" w:type="dxa"/>
            </w:tcMar>
          </w:tcPr>
          <w:p>
            <w:r>
              <w:rPr>
                <w:sz w:val="15"/>
              </w:rPr>
              <w:t>Supervisor (supervisor) / Director / Manager (director_manager), Executive Director oversight</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13</w:t>
            </w:r>
          </w:p>
        </w:tc>
        <w:tc>
          <w:tcPr>
            <w:tcW w:type="dxa" w:w="2592"/>
            <w:shd w:fill="FFFFFF"/>
            <w:tcMar>
              <w:top w:w="40" w:type="dxa"/>
              <w:bottom w:w="40" w:type="dxa"/>
              <w:left w:w="60" w:type="dxa"/>
              <w:right w:w="60" w:type="dxa"/>
            </w:tcMar>
          </w:tcPr>
          <w:p>
            <w:r>
              <w:rPr>
                <w:b/>
                <w:sz w:val="16"/>
              </w:rPr>
              <w:t>Human Resources Team</w:t>
            </w:r>
          </w:p>
        </w:tc>
        <w:tc>
          <w:tcPr>
            <w:tcW w:type="dxa" w:w="2592"/>
            <w:shd w:fill="FFFFFF"/>
            <w:tcMar>
              <w:top w:w="40" w:type="dxa"/>
              <w:bottom w:w="40" w:type="dxa"/>
              <w:left w:w="60" w:type="dxa"/>
              <w:right w:w="60" w:type="dxa"/>
            </w:tcMar>
          </w:tcPr>
          <w:p>
            <w:r>
              <w:rPr>
                <w:sz w:val="15"/>
              </w:rPr>
              <w:t>HR Staff (hr_staff)</w:t>
            </w:r>
          </w:p>
        </w:tc>
        <w:tc>
          <w:tcPr>
            <w:tcW w:type="dxa" w:w="2448"/>
            <w:shd w:fill="FFFFFF"/>
            <w:tcMar>
              <w:top w:w="40" w:type="dxa"/>
              <w:bottom w:w="40" w:type="dxa"/>
              <w:left w:w="60" w:type="dxa"/>
              <w:right w:w="60" w:type="dxa"/>
            </w:tcMar>
          </w:tcPr>
          <w:p>
            <w:r>
              <w:rPr>
                <w:sz w:val="15"/>
              </w:rPr>
              <w:t>Director / Manager (director_manager) / Executive Director &amp; CEO (strategic oversight; not operational HR members)</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14</w:t>
            </w:r>
          </w:p>
        </w:tc>
        <w:tc>
          <w:tcPr>
            <w:tcW w:type="dxa" w:w="2592"/>
            <w:shd w:fill="FFFFFF"/>
            <w:tcMar>
              <w:top w:w="40" w:type="dxa"/>
              <w:bottom w:w="40" w:type="dxa"/>
              <w:left w:w="60" w:type="dxa"/>
              <w:right w:w="60" w:type="dxa"/>
            </w:tcMar>
          </w:tcPr>
          <w:p>
            <w:r>
              <w:rPr>
                <w:b/>
                <w:sz w:val="16"/>
              </w:rPr>
              <w:t>Finance &amp; Administration Team</w:t>
            </w:r>
          </w:p>
        </w:tc>
        <w:tc>
          <w:tcPr>
            <w:tcW w:type="dxa" w:w="2592"/>
            <w:shd w:fill="FFFFFF"/>
            <w:tcMar>
              <w:top w:w="40" w:type="dxa"/>
              <w:bottom w:w="40" w:type="dxa"/>
              <w:left w:w="60" w:type="dxa"/>
              <w:right w:w="60" w:type="dxa"/>
            </w:tcMar>
          </w:tcPr>
          <w:p>
            <w:r>
              <w:rPr>
                <w:sz w:val="15"/>
              </w:rPr>
              <w:t>Finance Staff (finance_staff)</w:t>
            </w:r>
          </w:p>
        </w:tc>
        <w:tc>
          <w:tcPr>
            <w:tcW w:type="dxa" w:w="2448"/>
            <w:shd w:fill="FFFFFF"/>
            <w:tcMar>
              <w:top w:w="40" w:type="dxa"/>
              <w:bottom w:w="40" w:type="dxa"/>
              <w:left w:w="60" w:type="dxa"/>
              <w:right w:w="60" w:type="dxa"/>
            </w:tcMar>
          </w:tcPr>
          <w:p>
            <w:r>
              <w:rPr>
                <w:sz w:val="15"/>
              </w:rPr>
              <w:t>Director / Manager (director_manager) / Executive Director &amp; CEO (capital allocation &amp; executive sign-off)</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15</w:t>
            </w:r>
          </w:p>
        </w:tc>
        <w:tc>
          <w:tcPr>
            <w:tcW w:type="dxa" w:w="2592"/>
            <w:shd w:fill="FFFFFF"/>
            <w:tcMar>
              <w:top w:w="40" w:type="dxa"/>
              <w:bottom w:w="40" w:type="dxa"/>
              <w:left w:w="60" w:type="dxa"/>
              <w:right w:w="60" w:type="dxa"/>
            </w:tcMar>
          </w:tcPr>
          <w:p>
            <w:r>
              <w:rPr>
                <w:b/>
                <w:sz w:val="16"/>
              </w:rPr>
              <w:t>Information Technology &amp; Innovation Team</w:t>
            </w:r>
          </w:p>
        </w:tc>
        <w:tc>
          <w:tcPr>
            <w:tcW w:type="dxa" w:w="2592"/>
            <w:shd w:fill="FFFFFF"/>
            <w:tcMar>
              <w:top w:w="40" w:type="dxa"/>
              <w:bottom w:w="40" w:type="dxa"/>
              <w:left w:w="60" w:type="dxa"/>
              <w:right w:w="60" w:type="dxa"/>
            </w:tcMar>
          </w:tcPr>
          <w:p>
            <w:r>
              <w:rPr>
                <w:sz w:val="15"/>
              </w:rPr>
              <w:t>IT Administrator (it_admin)</w:t>
            </w:r>
          </w:p>
        </w:tc>
        <w:tc>
          <w:tcPr>
            <w:tcW w:type="dxa" w:w="2448"/>
            <w:shd w:fill="FFFFFF"/>
            <w:tcMar>
              <w:top w:w="40" w:type="dxa"/>
              <w:bottom w:w="40" w:type="dxa"/>
              <w:left w:w="60" w:type="dxa"/>
              <w:right w:w="60" w:type="dxa"/>
            </w:tcMar>
          </w:tcPr>
          <w:p>
            <w:r>
              <w:rPr>
                <w:sz w:val="15"/>
              </w:rPr>
              <w:t>Director / Manager (director_manager) / Executive Director &amp; CEO oversight</w:t>
            </w:r>
          </w:p>
        </w:tc>
        <w:tc>
          <w:tcPr>
            <w:tcW w:type="dxa" w:w="1728"/>
            <w:shd w:fill="F8FAFC"/>
            <w:tcMar>
              <w:top w:w="40" w:type="dxa"/>
              <w:bottom w:w="40" w:type="dxa"/>
              <w:left w:w="60" w:type="dxa"/>
              <w:right w:w="60" w:type="dxa"/>
            </w:tcMar>
          </w:tcPr>
          <w:p>
            <w:r>
              <w:rPr>
                <w:b/>
                <w:color w:val="059669"/>
                <w:sz w:val="15"/>
              </w:rPr>
              <w:t>LIVE VERIFIED</w:t>
            </w:r>
          </w:p>
        </w:tc>
      </w:tr>
      <w:tr>
        <w:tc>
          <w:tcPr>
            <w:tcW w:type="dxa" w:w="576"/>
            <w:shd w:fill="F8FAFC"/>
            <w:tcMar>
              <w:top w:w="40" w:type="dxa"/>
              <w:bottom w:w="40" w:type="dxa"/>
              <w:left w:w="60" w:type="dxa"/>
              <w:right w:w="60" w:type="dxa"/>
            </w:tcMar>
          </w:tcPr>
          <w:p>
            <w:r>
              <w:rPr>
                <w:sz w:val="16"/>
              </w:rPr>
              <w:t>16</w:t>
            </w:r>
          </w:p>
        </w:tc>
        <w:tc>
          <w:tcPr>
            <w:tcW w:type="dxa" w:w="2592"/>
            <w:shd w:fill="FFFFFF"/>
            <w:tcMar>
              <w:top w:w="40" w:type="dxa"/>
              <w:bottom w:w="40" w:type="dxa"/>
              <w:left w:w="60" w:type="dxa"/>
              <w:right w:w="60" w:type="dxa"/>
            </w:tcMar>
          </w:tcPr>
          <w:p>
            <w:r>
              <w:rPr>
                <w:b/>
                <w:sz w:val="16"/>
              </w:rPr>
              <w:t>Communications &amp; Community Engagement Team</w:t>
            </w:r>
          </w:p>
        </w:tc>
        <w:tc>
          <w:tcPr>
            <w:tcW w:type="dxa" w:w="2592"/>
            <w:shd w:fill="FFFFFF"/>
            <w:tcMar>
              <w:top w:w="40" w:type="dxa"/>
              <w:bottom w:w="40" w:type="dxa"/>
              <w:left w:w="60" w:type="dxa"/>
              <w:right w:w="60" w:type="dxa"/>
            </w:tcMar>
          </w:tcPr>
          <w:p>
            <w:r>
              <w:rPr>
                <w:sz w:val="15"/>
              </w:rPr>
              <w:t>Caseworker (caseworker)</w:t>
            </w:r>
          </w:p>
        </w:tc>
        <w:tc>
          <w:tcPr>
            <w:tcW w:type="dxa" w:w="2448"/>
            <w:shd w:fill="FFFFFF"/>
            <w:tcMar>
              <w:top w:w="40" w:type="dxa"/>
              <w:bottom w:w="40" w:type="dxa"/>
              <w:left w:w="60" w:type="dxa"/>
              <w:right w:w="60" w:type="dxa"/>
            </w:tcMar>
          </w:tcPr>
          <w:p>
            <w:r>
              <w:rPr>
                <w:sz w:val="15"/>
              </w:rPr>
              <w:t>Director / Manager (director_manager) / CEO &amp; Executive Director (final public release approval)</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17</w:t>
            </w:r>
          </w:p>
        </w:tc>
        <w:tc>
          <w:tcPr>
            <w:tcW w:type="dxa" w:w="2592"/>
            <w:shd w:fill="FFFFFF"/>
            <w:tcMar>
              <w:top w:w="40" w:type="dxa"/>
              <w:bottom w:w="40" w:type="dxa"/>
              <w:left w:w="60" w:type="dxa"/>
              <w:right w:w="60" w:type="dxa"/>
            </w:tcMar>
          </w:tcPr>
          <w:p>
            <w:r>
              <w:rPr>
                <w:b/>
                <w:sz w:val="16"/>
              </w:rPr>
              <w:t>Training &amp; Professional Development Team</w:t>
            </w:r>
          </w:p>
        </w:tc>
        <w:tc>
          <w:tcPr>
            <w:tcW w:type="dxa" w:w="2592"/>
            <w:shd w:fill="FFFFFF"/>
            <w:tcMar>
              <w:top w:w="40" w:type="dxa"/>
              <w:bottom w:w="40" w:type="dxa"/>
              <w:left w:w="60" w:type="dxa"/>
              <w:right w:w="60" w:type="dxa"/>
            </w:tcMar>
          </w:tcPr>
          <w:p>
            <w:r>
              <w:rPr>
                <w:sz w:val="15"/>
              </w:rPr>
              <w:t>HR Staff (hr_staff)</w:t>
            </w:r>
          </w:p>
        </w:tc>
        <w:tc>
          <w:tcPr>
            <w:tcW w:type="dxa" w:w="2448"/>
            <w:shd w:fill="FFFFFF"/>
            <w:tcMar>
              <w:top w:w="40" w:type="dxa"/>
              <w:bottom w:w="40" w:type="dxa"/>
              <w:left w:w="60" w:type="dxa"/>
              <w:right w:w="60" w:type="dxa"/>
            </w:tcMar>
          </w:tcPr>
          <w:p>
            <w:r>
              <w:rPr>
                <w:sz w:val="15"/>
              </w:rPr>
              <w:t>Director / Manager (director_manager) / Executive Director oversight</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18</w:t>
            </w:r>
          </w:p>
        </w:tc>
        <w:tc>
          <w:tcPr>
            <w:tcW w:type="dxa" w:w="2592"/>
            <w:shd w:fill="FFFFFF"/>
            <w:tcMar>
              <w:top w:w="40" w:type="dxa"/>
              <w:bottom w:w="40" w:type="dxa"/>
              <w:left w:w="60" w:type="dxa"/>
              <w:right w:w="60" w:type="dxa"/>
            </w:tcMar>
          </w:tcPr>
          <w:p>
            <w:r>
              <w:rPr>
                <w:b/>
                <w:sz w:val="16"/>
              </w:rPr>
              <w:t>Research, Data &amp; Reporting Team</w:t>
            </w:r>
          </w:p>
        </w:tc>
        <w:tc>
          <w:tcPr>
            <w:tcW w:type="dxa" w:w="2592"/>
            <w:shd w:fill="FFFFFF"/>
            <w:tcMar>
              <w:top w:w="40" w:type="dxa"/>
              <w:bottom w:w="40" w:type="dxa"/>
              <w:left w:w="60" w:type="dxa"/>
              <w:right w:w="60" w:type="dxa"/>
            </w:tcMar>
          </w:tcPr>
          <w:p>
            <w:r>
              <w:rPr>
                <w:sz w:val="15"/>
              </w:rPr>
              <w:t>IT Administrator (it_admin)</w:t>
            </w:r>
          </w:p>
        </w:tc>
        <w:tc>
          <w:tcPr>
            <w:tcW w:type="dxa" w:w="2448"/>
            <w:shd w:fill="FFFFFF"/>
            <w:tcMar>
              <w:top w:w="40" w:type="dxa"/>
              <w:bottom w:w="40" w:type="dxa"/>
              <w:left w:w="60" w:type="dxa"/>
              <w:right w:w="60" w:type="dxa"/>
            </w:tcMar>
          </w:tcPr>
          <w:p>
            <w:r>
              <w:rPr>
                <w:sz w:val="15"/>
              </w:rPr>
              <w:t>Director / Manager (director_manager) / CEO &amp; Executive Director oversight</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19</w:t>
            </w:r>
          </w:p>
        </w:tc>
        <w:tc>
          <w:tcPr>
            <w:tcW w:type="dxa" w:w="2592"/>
            <w:shd w:fill="FFFFFF"/>
            <w:tcMar>
              <w:top w:w="40" w:type="dxa"/>
              <w:bottom w:w="40" w:type="dxa"/>
              <w:left w:w="60" w:type="dxa"/>
              <w:right w:w="60" w:type="dxa"/>
            </w:tcMar>
          </w:tcPr>
          <w:p>
            <w:r>
              <w:rPr>
                <w:b/>
                <w:sz w:val="16"/>
              </w:rPr>
              <w:t>Navigation Team</w:t>
            </w:r>
          </w:p>
        </w:tc>
        <w:tc>
          <w:tcPr>
            <w:tcW w:type="dxa" w:w="2592"/>
            <w:shd w:fill="FFFFFF"/>
            <w:tcMar>
              <w:top w:w="40" w:type="dxa"/>
              <w:bottom w:w="40" w:type="dxa"/>
              <w:left w:w="60" w:type="dxa"/>
              <w:right w:w="60" w:type="dxa"/>
            </w:tcMar>
          </w:tcPr>
          <w:p>
            <w:r>
              <w:rPr>
                <w:sz w:val="15"/>
              </w:rPr>
              <w:t>Navigator (navigator)</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20</w:t>
            </w:r>
          </w:p>
        </w:tc>
        <w:tc>
          <w:tcPr>
            <w:tcW w:type="dxa" w:w="2592"/>
            <w:shd w:fill="FFFFFF"/>
            <w:tcMar>
              <w:top w:w="40" w:type="dxa"/>
              <w:bottom w:w="40" w:type="dxa"/>
              <w:left w:w="60" w:type="dxa"/>
              <w:right w:w="60" w:type="dxa"/>
            </w:tcMar>
          </w:tcPr>
          <w:p>
            <w:r>
              <w:rPr>
                <w:b/>
                <w:sz w:val="16"/>
              </w:rPr>
              <w:t>Growing Up Well (Social Worker - Intervention) Team</w:t>
            </w:r>
          </w:p>
        </w:tc>
        <w:tc>
          <w:tcPr>
            <w:tcW w:type="dxa" w:w="2592"/>
            <w:shd w:fill="FFFFFF"/>
            <w:tcMar>
              <w:top w:w="40" w:type="dxa"/>
              <w:bottom w:w="40" w:type="dxa"/>
              <w:left w:w="60" w:type="dxa"/>
              <w:right w:w="60" w:type="dxa"/>
            </w:tcMar>
          </w:tcPr>
          <w:p>
            <w:r>
              <w:rPr>
                <w:sz w:val="15"/>
              </w:rPr>
              <w:t>Caseworker (caseworker), Case Aide (case_aide)</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21</w:t>
            </w:r>
          </w:p>
        </w:tc>
        <w:tc>
          <w:tcPr>
            <w:tcW w:type="dxa" w:w="2592"/>
            <w:shd w:fill="FFFFFF"/>
            <w:tcMar>
              <w:top w:w="40" w:type="dxa"/>
              <w:bottom w:w="40" w:type="dxa"/>
              <w:left w:w="60" w:type="dxa"/>
              <w:right w:w="60" w:type="dxa"/>
            </w:tcMar>
          </w:tcPr>
          <w:p>
            <w:r>
              <w:rPr>
                <w:b/>
                <w:sz w:val="16"/>
              </w:rPr>
              <w:t>Culture Team</w:t>
            </w:r>
          </w:p>
        </w:tc>
        <w:tc>
          <w:tcPr>
            <w:tcW w:type="dxa" w:w="2592"/>
            <w:shd w:fill="FFFFFF"/>
            <w:tcMar>
              <w:top w:w="40" w:type="dxa"/>
              <w:bottom w:w="40" w:type="dxa"/>
              <w:left w:w="60" w:type="dxa"/>
              <w:right w:w="60" w:type="dxa"/>
            </w:tcMar>
          </w:tcPr>
          <w:p>
            <w:r>
              <w:rPr>
                <w:sz w:val="15"/>
              </w:rPr>
              <w:t>Cultural Worker (cultural_worker)</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22</w:t>
            </w:r>
          </w:p>
        </w:tc>
        <w:tc>
          <w:tcPr>
            <w:tcW w:type="dxa" w:w="2592"/>
            <w:shd w:fill="FFFFFF"/>
            <w:tcMar>
              <w:top w:w="40" w:type="dxa"/>
              <w:bottom w:w="40" w:type="dxa"/>
              <w:left w:w="60" w:type="dxa"/>
              <w:right w:w="60" w:type="dxa"/>
            </w:tcMar>
          </w:tcPr>
          <w:p>
            <w:r>
              <w:rPr>
                <w:b/>
                <w:sz w:val="16"/>
              </w:rPr>
              <w:t>Post Majority (Young Adult) Team</w:t>
            </w:r>
          </w:p>
        </w:tc>
        <w:tc>
          <w:tcPr>
            <w:tcW w:type="dxa" w:w="2592"/>
            <w:shd w:fill="FFFFFF"/>
            <w:tcMar>
              <w:top w:w="40" w:type="dxa"/>
              <w:bottom w:w="40" w:type="dxa"/>
              <w:left w:w="60" w:type="dxa"/>
              <w:right w:w="60" w:type="dxa"/>
            </w:tcMar>
          </w:tcPr>
          <w:p>
            <w:r>
              <w:rPr>
                <w:sz w:val="15"/>
              </w:rPr>
              <w:t>Caseworker (caseworker), Case Aide (case_aide)</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881337"/>
                <w:sz w:val="15"/>
              </w:rPr>
              <w:t>IMPLEMENTED &amp; COMMITTED</w:t>
            </w:r>
          </w:p>
        </w:tc>
      </w:tr>
      <w:tr>
        <w:tc>
          <w:tcPr>
            <w:tcW w:type="dxa" w:w="576"/>
            <w:shd w:fill="F8FAFC"/>
            <w:tcMar>
              <w:top w:w="40" w:type="dxa"/>
              <w:bottom w:w="40" w:type="dxa"/>
              <w:left w:w="60" w:type="dxa"/>
              <w:right w:w="60" w:type="dxa"/>
            </w:tcMar>
          </w:tcPr>
          <w:p>
            <w:r>
              <w:rPr>
                <w:sz w:val="16"/>
              </w:rPr>
              <w:t>23</w:t>
            </w:r>
          </w:p>
        </w:tc>
        <w:tc>
          <w:tcPr>
            <w:tcW w:type="dxa" w:w="2592"/>
            <w:shd w:fill="FFFFFF"/>
            <w:tcMar>
              <w:top w:w="40" w:type="dxa"/>
              <w:bottom w:w="40" w:type="dxa"/>
              <w:left w:w="60" w:type="dxa"/>
              <w:right w:w="60" w:type="dxa"/>
            </w:tcMar>
          </w:tcPr>
          <w:p>
            <w:r>
              <w:rPr>
                <w:b/>
                <w:sz w:val="16"/>
              </w:rPr>
              <w:t>Office Coordination &amp; Facilities Team</w:t>
            </w:r>
          </w:p>
        </w:tc>
        <w:tc>
          <w:tcPr>
            <w:tcW w:type="dxa" w:w="2592"/>
            <w:shd w:fill="FFFFFF"/>
            <w:tcMar>
              <w:top w:w="40" w:type="dxa"/>
              <w:bottom w:w="40" w:type="dxa"/>
              <w:left w:w="60" w:type="dxa"/>
              <w:right w:w="60" w:type="dxa"/>
            </w:tcMar>
          </w:tcPr>
          <w:p>
            <w:r>
              <w:rPr>
                <w:sz w:val="15"/>
              </w:rPr>
              <w:t>Office Coordinator (office_coordinator)</w:t>
            </w:r>
          </w:p>
        </w:tc>
        <w:tc>
          <w:tcPr>
            <w:tcW w:type="dxa" w:w="2448"/>
            <w:shd w:fill="FFFFFF"/>
            <w:tcMar>
              <w:top w:w="40" w:type="dxa"/>
              <w:bottom w:w="40" w:type="dxa"/>
              <w:left w:w="60" w:type="dxa"/>
              <w:right w:w="60" w:type="dxa"/>
            </w:tcMar>
          </w:tcPr>
          <w:p>
            <w:r>
              <w:rPr>
                <w:sz w:val="15"/>
              </w:rPr>
              <w:t>Director / Manager (director_manager) / Executive Director oversight</w:t>
            </w:r>
          </w:p>
        </w:tc>
        <w:tc>
          <w:tcPr>
            <w:tcW w:type="dxa" w:w="1728"/>
            <w:shd w:fill="F8FAFC"/>
            <w:tcMar>
              <w:top w:w="40" w:type="dxa"/>
              <w:bottom w:w="40" w:type="dxa"/>
              <w:left w:w="60" w:type="dxa"/>
              <w:right w:w="60" w:type="dxa"/>
            </w:tcMar>
          </w:tcPr>
          <w:p>
            <w:r>
              <w:rPr>
                <w:b/>
                <w:color w:val="059669"/>
                <w:sz w:val="15"/>
              </w:rPr>
              <w:t>LIVE VERIFIED</w:t>
            </w:r>
          </w:p>
        </w:tc>
      </w:tr>
      <w:tr>
        <w:tc>
          <w:tcPr>
            <w:tcW w:type="dxa" w:w="576"/>
            <w:shd w:fill="F8FAFC"/>
            <w:tcMar>
              <w:top w:w="40" w:type="dxa"/>
              <w:bottom w:w="40" w:type="dxa"/>
              <w:left w:w="60" w:type="dxa"/>
              <w:right w:w="60" w:type="dxa"/>
            </w:tcMar>
          </w:tcPr>
          <w:p>
            <w:r>
              <w:rPr>
                <w:sz w:val="16"/>
              </w:rPr>
              <w:t>24</w:t>
            </w:r>
          </w:p>
        </w:tc>
        <w:tc>
          <w:tcPr>
            <w:tcW w:type="dxa" w:w="2592"/>
            <w:shd w:fill="FFFFFF"/>
            <w:tcMar>
              <w:top w:w="40" w:type="dxa"/>
              <w:bottom w:w="40" w:type="dxa"/>
              <w:left w:w="60" w:type="dxa"/>
              <w:right w:w="60" w:type="dxa"/>
            </w:tcMar>
          </w:tcPr>
          <w:p>
            <w:r>
              <w:rPr>
                <w:b/>
                <w:sz w:val="16"/>
              </w:rPr>
              <w:t>Front Desk / First Impression Team</w:t>
            </w:r>
          </w:p>
        </w:tc>
        <w:tc>
          <w:tcPr>
            <w:tcW w:type="dxa" w:w="2592"/>
            <w:shd w:fill="FFFFFF"/>
            <w:tcMar>
              <w:top w:w="40" w:type="dxa"/>
              <w:bottom w:w="40" w:type="dxa"/>
              <w:left w:w="60" w:type="dxa"/>
              <w:right w:w="60" w:type="dxa"/>
            </w:tcMar>
          </w:tcPr>
          <w:p>
            <w:r>
              <w:rPr>
                <w:sz w:val="15"/>
              </w:rPr>
              <w:t>Front Desk (front_desk)</w:t>
            </w:r>
          </w:p>
        </w:tc>
        <w:tc>
          <w:tcPr>
            <w:tcW w:type="dxa" w:w="2448"/>
            <w:shd w:fill="FFFFFF"/>
            <w:tcMar>
              <w:top w:w="40" w:type="dxa"/>
              <w:bottom w:w="40" w:type="dxa"/>
              <w:left w:w="60" w:type="dxa"/>
              <w:right w:w="60" w:type="dxa"/>
            </w:tcMar>
          </w:tcPr>
          <w:p>
            <w:r>
              <w:rPr>
                <w:sz w:val="15"/>
              </w:rPr>
              <w:t>Supervisor (supervisor) / Director / Manager (director_manager)</w:t>
            </w:r>
          </w:p>
        </w:tc>
        <w:tc>
          <w:tcPr>
            <w:tcW w:type="dxa" w:w="1728"/>
            <w:shd w:fill="F8FAFC"/>
            <w:tcMar>
              <w:top w:w="40" w:type="dxa"/>
              <w:bottom w:w="40" w:type="dxa"/>
              <w:left w:w="60" w:type="dxa"/>
              <w:right w:w="60" w:type="dxa"/>
            </w:tcMar>
          </w:tcPr>
          <w:p>
            <w:r>
              <w:rPr>
                <w:b/>
                <w:color w:val="059669"/>
                <w:sz w:val="15"/>
              </w:rPr>
              <w:t>LIVE VERIFIED</w:t>
            </w:r>
          </w:p>
        </w:tc>
      </w:tr>
    </w:tbl>
    <w:p>
      <w:pPr>
        <w:spacing w:after="160"/>
      </w:pPr>
    </w:p>
    <w:p>
      <w:pPr>
        <w:keepNext/>
        <w:spacing w:before="320" w:after="120"/>
      </w:pPr>
      <w:r>
        <w:rPr>
          <w:rFonts w:ascii="Calibri" w:hAnsi="Calibri"/>
          <w:b/>
          <w:color w:val="1E3A8A"/>
          <w:sz w:val="28"/>
        </w:rPr>
        <w:t>Appendix B: Major Platform Workspaces &amp; Routes</w:t>
      </w:r>
    </w:p>
    <w:p>
      <w:pPr>
        <w:pStyle w:val="ListBullet"/>
        <w:spacing w:before="0" w:after="50" w:line="276" w:lineRule="auto"/>
      </w:pPr>
      <w:r>
        <w:rPr>
          <w:rFonts w:ascii="Calibri" w:hAnsi="Calibri"/>
          <w:b/>
          <w:color w:val="0F172A"/>
          <w:sz w:val="19"/>
        </w:rPr>
        <w:t>Universal Staff Workspaces:</w:t>
      </w:r>
      <w:r>
        <w:rPr>
          <w:rFonts w:ascii="Calibri" w:hAnsi="Calibri"/>
          <w:color w:val="334155"/>
          <w:sz w:val="19"/>
        </w:rPr>
        <w:t xml:space="preserve"> Staff Dashboard (/) • My Schedule (/schedule) • Team Calendar (/schedule/team) • Ask Red Bear (/ask-red-bear) • Terminology (/terminology)</w:t>
      </w:r>
    </w:p>
    <w:p>
      <w:pPr>
        <w:pStyle w:val="ListBullet"/>
        <w:spacing w:before="0" w:after="50" w:line="276" w:lineRule="auto"/>
      </w:pPr>
      <w:r>
        <w:rPr>
          <w:rFonts w:ascii="Calibri" w:hAnsi="Calibri"/>
          <w:b/>
          <w:color w:val="0F172A"/>
          <w:sz w:val="19"/>
        </w:rPr>
        <w:t>Intake &amp; Reception:</w:t>
      </w:r>
      <w:r>
        <w:rPr>
          <w:rFonts w:ascii="Calibri" w:hAnsi="Calibri"/>
          <w:color w:val="334155"/>
          <w:sz w:val="19"/>
        </w:rPr>
        <w:t xml:space="preserve"> Front Desk (/front-desk) • System Navigator (/navigator) • Intake List (/intake) • New Intake (/intake/new) • Intake Approvals (/intake/approvals)</w:t>
      </w:r>
    </w:p>
    <w:p>
      <w:pPr>
        <w:pStyle w:val="ListBullet"/>
        <w:spacing w:before="0" w:after="50" w:line="276" w:lineRule="auto"/>
      </w:pPr>
      <w:r>
        <w:rPr>
          <w:rFonts w:ascii="Calibri" w:hAnsi="Calibri"/>
          <w:b/>
          <w:color w:val="0F172A"/>
          <w:sz w:val="19"/>
        </w:rPr>
        <w:t>Case &amp; Client Management:</w:t>
      </w:r>
      <w:r>
        <w:rPr>
          <w:rFonts w:ascii="Calibri" w:hAnsi="Calibri"/>
          <w:color w:val="334155"/>
          <w:sz w:val="19"/>
        </w:rPr>
        <w:t xml:space="preserve"> Cases Registry (/cases) • Case Detail (/cases/:id) • Clients (/clients) • Person Profile (/people/:id) • Families (/families) • Staffing Facilitator (/staffing)</w:t>
      </w:r>
    </w:p>
    <w:p>
      <w:pPr>
        <w:pStyle w:val="ListBullet"/>
        <w:spacing w:before="0" w:after="50" w:line="276" w:lineRule="auto"/>
      </w:pPr>
      <w:r>
        <w:rPr>
          <w:rFonts w:ascii="Calibri" w:hAnsi="Calibri"/>
          <w:b/>
          <w:color w:val="0F172A"/>
          <w:sz w:val="19"/>
        </w:rPr>
        <w:t>Resource Unit &amp; Placements:</w:t>
      </w:r>
      <w:r>
        <w:rPr>
          <w:rFonts w:ascii="Calibri" w:hAnsi="Calibri"/>
          <w:color w:val="334155"/>
          <w:sz w:val="19"/>
        </w:rPr>
        <w:t xml:space="preserve"> Resource Dashboard (/resource-team) • Placement Homes (/placement-homes) • Recruitment Pipeline (/resource-team/recruitment) • Placement Matching (/placement-matching)</w:t>
      </w:r>
    </w:p>
    <w:p>
      <w:pPr>
        <w:pStyle w:val="ListBullet"/>
        <w:spacing w:before="0" w:after="50" w:line="276" w:lineRule="auto"/>
      </w:pPr>
      <w:r>
        <w:rPr>
          <w:rFonts w:ascii="Calibri" w:hAnsi="Calibri"/>
          <w:b/>
          <w:color w:val="0F172A"/>
          <w:sz w:val="19"/>
        </w:rPr>
        <w:t>Operations &amp; Facilities:</w:t>
      </w:r>
      <w:r>
        <w:rPr>
          <w:rFonts w:ascii="Calibri" w:hAnsi="Calibri"/>
          <w:color w:val="334155"/>
          <w:sz w:val="19"/>
        </w:rPr>
        <w:t xml:space="preserve"> Office Coordinator (/office-coordinator) • Fleet Dashboard (/fleet) • Vehicles List (/fleet/vehicles) • Facilities (/facilities) • Housing Units (/housing) • IT Assets (/assets)</w:t>
      </w:r>
    </w:p>
    <w:p>
      <w:pPr>
        <w:pStyle w:val="ListBullet"/>
        <w:spacing w:before="0" w:after="50" w:line="276" w:lineRule="auto"/>
      </w:pPr>
      <w:r>
        <w:rPr>
          <w:rFonts w:ascii="Calibri" w:hAnsi="Calibri"/>
          <w:b/>
          <w:color w:val="0F172A"/>
          <w:sz w:val="19"/>
        </w:rPr>
        <w:t>Human Resources:</w:t>
      </w:r>
      <w:r>
        <w:rPr>
          <w:rFonts w:ascii="Calibri" w:hAnsi="Calibri"/>
          <w:color w:val="334155"/>
          <w:sz w:val="19"/>
        </w:rPr>
        <w:t xml:space="preserve"> HR Dashboard (/hr) • Employee Directory (/employees)</w:t>
      </w:r>
    </w:p>
    <w:p>
      <w:pPr>
        <w:pStyle w:val="ListBullet"/>
        <w:spacing w:before="0" w:after="50" w:line="276" w:lineRule="auto"/>
      </w:pPr>
      <w:r>
        <w:rPr>
          <w:rFonts w:ascii="Calibri" w:hAnsi="Calibri"/>
          <w:b/>
          <w:color w:val="0F172A"/>
          <w:sz w:val="19"/>
        </w:rPr>
        <w:t>Finance &amp; Procurement:</w:t>
      </w:r>
      <w:r>
        <w:rPr>
          <w:rFonts w:ascii="Calibri" w:hAnsi="Calibri"/>
          <w:color w:val="334155"/>
          <w:sz w:val="19"/>
        </w:rPr>
        <w:t xml:space="preserve"> Finance Dashboard (/finance) • Requests (/finance/requests) • Invoices (/finance/invoices) • Rate Cards (/finance/rates) • Budget Lines (/finance/budget-lines) • Ledger (/finance/ledger)</w:t>
      </w:r>
    </w:p>
    <w:p>
      <w:pPr>
        <w:pStyle w:val="ListBullet"/>
        <w:spacing w:before="0" w:after="50" w:line="276" w:lineRule="auto"/>
      </w:pPr>
      <w:r>
        <w:rPr>
          <w:rFonts w:ascii="Calibri" w:hAnsi="Calibri"/>
          <w:b/>
          <w:color w:val="0F172A"/>
          <w:sz w:val="19"/>
        </w:rPr>
        <w:t>Executive &amp; Governance:</w:t>
      </w:r>
      <w:r>
        <w:rPr>
          <w:rFonts w:ascii="Calibri" w:hAnsi="Calibri"/>
          <w:color w:val="334155"/>
          <w:sz w:val="19"/>
        </w:rPr>
        <w:t xml:space="preserve"> CEO Command Centre (/ceo) • Executive Director Dashboard (/executive) • Director / Manager (/director) • Board Governance (/board)</w:t>
      </w:r>
    </w:p>
    <w:p>
      <w:pPr>
        <w:pStyle w:val="ListBullet"/>
        <w:spacing w:before="0" w:after="50" w:line="276" w:lineRule="auto"/>
      </w:pPr>
      <w:r>
        <w:rPr>
          <w:rFonts w:ascii="Calibri" w:hAnsi="Calibri"/>
          <w:b/>
          <w:color w:val="0F172A"/>
          <w:sz w:val="19"/>
        </w:rPr>
        <w:t>Quality &amp; Reporting:</w:t>
      </w:r>
      <w:r>
        <w:rPr>
          <w:rFonts w:ascii="Calibri" w:hAnsi="Calibri"/>
          <w:color w:val="334155"/>
          <w:sz w:val="19"/>
        </w:rPr>
        <w:t xml:space="preserve"> Reporting Hub (/reports) • Report Builder (/reports/builder) • Quality Assurance (/qa) • Child Passports (/passports/child/:id) • Parent Passports (/passports/parent/:id)</w:t>
      </w:r>
    </w:p>
    <w:p>
      <w:pPr>
        <w:pStyle w:val="ListBullet"/>
        <w:spacing w:before="0" w:after="50" w:line="276" w:lineRule="auto"/>
      </w:pPr>
      <w:r>
        <w:rPr>
          <w:rFonts w:ascii="Calibri" w:hAnsi="Calibri"/>
          <w:b/>
          <w:color w:val="0F172A"/>
          <w:sz w:val="19"/>
        </w:rPr>
        <w:t>Master Administration:</w:t>
      </w:r>
      <w:r>
        <w:rPr>
          <w:rFonts w:ascii="Calibri" w:hAnsi="Calibri"/>
          <w:color w:val="334155"/>
          <w:sz w:val="19"/>
        </w:rPr>
        <w:t xml:space="preserve"> Admin &amp; IT Portal (/admin) • Admin Integrations (/admin/integrations) • Admin Terminology (/admin/terminology)</w:t>
      </w:r>
    </w:p>
    <w:p>
      <w:pPr>
        <w:keepNext/>
        <w:spacing w:before="320" w:after="120"/>
      </w:pPr>
      <w:r>
        <w:rPr>
          <w:rFonts w:ascii="Calibri" w:hAnsi="Calibri"/>
          <w:b/>
          <w:color w:val="1E3A8A"/>
          <w:sz w:val="28"/>
        </w:rPr>
        <w:t>Appendix C: Production Verification Evidence Summary</w:t>
      </w:r>
    </w:p>
    <w:p>
      <w:pPr>
        <w:pStyle w:val="ListBullet"/>
        <w:spacing w:before="0" w:after="50" w:line="276" w:lineRule="auto"/>
      </w:pPr>
      <w:r>
        <w:rPr>
          <w:rFonts w:ascii="Calibri" w:hAnsi="Calibri"/>
          <w:b/>
          <w:color w:val="0F172A"/>
          <w:sz w:val="19"/>
        </w:rPr>
        <w:t>Case Note Speech-to-Text Dictation:</w:t>
      </w:r>
      <w:r>
        <w:rPr>
          <w:rFonts w:ascii="Calibri" w:hAnsi="Calibri"/>
          <w:color w:val="334155"/>
          <w:sz w:val="19"/>
        </w:rPr>
        <w:t xml:space="preserve"> Synthetic audio recording transmitted via browser microphone to /api/v1/cases/{id}/notes/transcribe on Railway. Processed by local Whisper (CTranslate2/tiny). Returned transcript appended to draft note in 1.4s. Validated live.</w:t>
      </w:r>
    </w:p>
    <w:p>
      <w:pPr>
        <w:pStyle w:val="ListBullet"/>
        <w:spacing w:before="0" w:after="50" w:line="276" w:lineRule="auto"/>
      </w:pPr>
      <w:r>
        <w:rPr>
          <w:rFonts w:ascii="Calibri" w:hAnsi="Calibri"/>
          <w:b/>
          <w:color w:val="0F172A"/>
          <w:sz w:val="19"/>
        </w:rPr>
        <w:t>Ask Red Bear Speech-to-Text Input:</w:t>
      </w:r>
      <w:r>
        <w:rPr>
          <w:rFonts w:ascii="Calibri" w:hAnsi="Calibri"/>
          <w:color w:val="334155"/>
          <w:sz w:val="19"/>
        </w:rPr>
        <w:t xml:space="preserve"> User-tested and confirmed on live website. Technical verification via /api/v1/ask-red-bear/transcribe confirmed synthetic audio transcribed in 8.8s with privacy headers (Cache-Control: no-store, private). Transcript appended to prompt; zero auto-submission; zero DB mutation. Validated live.</w:t>
      </w:r>
    </w:p>
    <w:p>
      <w:pPr>
        <w:pStyle w:val="ListBullet"/>
        <w:spacing w:before="0" w:after="50" w:line="276" w:lineRule="auto"/>
      </w:pPr>
      <w:r>
        <w:rPr>
          <w:rFonts w:ascii="Calibri" w:hAnsi="Calibri"/>
          <w:b/>
          <w:color w:val="0F172A"/>
          <w:sz w:val="19"/>
        </w:rPr>
        <w:t>Case Note Addendum Speech-to-Text Dictation:</w:t>
      </w:r>
      <w:r>
        <w:rPr>
          <w:rFonts w:ascii="Calibri" w:hAnsi="Calibri"/>
          <w:color w:val="334155"/>
          <w:sz w:val="19"/>
        </w:rPr>
        <w:t xml:space="preserve"> Positive-path live verification completed against locked synthetic case note on live Railway backend. Transcribed in 10.96s with privacy headers. Transcript appended to draft addendum; addendums count (0) unchanged; zero auto-save. Validated live.</w:t>
      </w:r>
    </w:p>
    <w:p>
      <w:pPr>
        <w:pStyle w:val="ListBullet"/>
        <w:spacing w:before="0" w:after="50" w:line="276" w:lineRule="auto"/>
      </w:pPr>
      <w:r>
        <w:rPr>
          <w:rFonts w:ascii="Calibri" w:hAnsi="Calibri"/>
          <w:b/>
          <w:color w:val="0F172A"/>
          <w:sz w:val="19"/>
        </w:rPr>
        <w:t>Admin Dashboard Control Centre:</w:t>
      </w:r>
      <w:r>
        <w:rPr>
          <w:rFonts w:ascii="Calibri" w:hAnsi="Calibri"/>
          <w:color w:val="334155"/>
          <w:sz w:val="19"/>
        </w:rPr>
        <w:t xml:space="preserve"> Navigation to /admin verified. Master Dashboard Control Centre loads 35 canonical workspaces with real-time toggle switches and role assignment dialogs. Zero console errors. Validated live.</w:t>
      </w:r>
    </w:p>
    <w:p>
      <w:pPr>
        <w:pStyle w:val="ListBullet"/>
        <w:spacing w:before="0" w:after="50" w:line="276" w:lineRule="auto"/>
      </w:pPr>
      <w:r>
        <w:rPr>
          <w:rFonts w:ascii="Calibri" w:hAnsi="Calibri"/>
          <w:b/>
          <w:color w:val="0F172A"/>
          <w:sz w:val="19"/>
        </w:rPr>
        <w:t>Excel User Directory Export:</w:t>
      </w:r>
      <w:r>
        <w:rPr>
          <w:rFonts w:ascii="Calibri" w:hAnsi="Calibri"/>
          <w:color w:val="334155"/>
          <w:sz w:val="19"/>
        </w:rPr>
        <w:t xml:space="preserve"> Clicking 'Export Excel' triggers GET /api/v1/users/export. Returns binary .xlsx workbook (magic bytes PK..). Downloaded crbcl-users-export cleanly with zero JSON parsing errors. Validated live.</w:t>
      </w:r>
    </w:p>
    <w:p>
      <w:pPr>
        <w:pStyle w:val="ListBullet"/>
        <w:spacing w:before="0" w:after="50" w:line="276" w:lineRule="auto"/>
      </w:pPr>
      <w:r>
        <w:rPr>
          <w:rFonts w:ascii="Calibri" w:hAnsi="Calibri"/>
          <w:b/>
          <w:color w:val="0F172A"/>
          <w:sz w:val="19"/>
        </w:rPr>
        <w:t>Front Desk Intake Ingestion &amp; Triage:</w:t>
      </w:r>
      <w:r>
        <w:rPr>
          <w:rFonts w:ascii="Calibri" w:hAnsi="Calibri"/>
          <w:color w:val="334155"/>
          <w:sz w:val="19"/>
        </w:rPr>
        <w:t xml:space="preserve"> Ingested test Google Form submission triaged to Intake &amp; Referrals department. Status updated to 'triaged'. Caller search returns matching record. Validated live.</w:t>
      </w:r>
    </w:p>
    <w:p>
      <w:pPr>
        <w:pStyle w:val="ListBullet"/>
        <w:spacing w:before="0" w:after="50" w:line="276" w:lineRule="auto"/>
      </w:pPr>
      <w:r>
        <w:rPr>
          <w:rFonts w:ascii="Calibri" w:hAnsi="Calibri"/>
          <w:b/>
          <w:color w:val="0F172A"/>
          <w:sz w:val="19"/>
        </w:rPr>
        <w:t>Office Coordinator Operations (Migration 029):</w:t>
      </w:r>
      <w:r>
        <w:rPr>
          <w:rFonts w:ascii="Calibri" w:hAnsi="Calibri"/>
          <w:color w:val="334155"/>
          <w:sz w:val="19"/>
        </w:rPr>
        <w:t xml:space="preserve"> Database Migration 029 applied cleanly. Persistent operational request, vehicle reservation, key custody, room booking, and supply tracking tables initialized and verified.</w:t>
      </w:r>
    </w:p>
    <w:p>
      <w:pPr>
        <w:keepNext/>
        <w:spacing w:before="280" w:after="80"/>
      </w:pPr>
      <w:r>
        <w:rPr>
          <w:rFonts w:ascii="Calibri" w:hAnsi="Calibri"/>
          <w:b/>
          <w:color w:val="1E3A8A"/>
          <w:sz w:val="28"/>
        </w:rPr>
        <w:t>28. User Dashboard Personalization &amp; Theming</w:t>
      </w:r>
    </w:p>
    <w:tbl>
      <w:tblPr>
        <w:tblW w:type="auto" w:w="0"/>
        <w:jc w:val="center"/>
        <w:tblLook w:firstColumn="1" w:firstRow="1" w:lastColumn="0" w:lastRow="0" w:noHBand="0" w:noVBand="1" w:val="04A0"/>
      </w:tblPr>
      <w:tblGrid>
        <w:gridCol w:w="9936"/>
      </w:tblGrid>
      <w:tr>
        <w:tc>
          <w:tcPr>
            <w:tcW w:type="dxa" w:w="9936"/>
            <w:shd w:fill="FDF8F8"/>
            <w:tcMar>
              <w:top w:w="120" w:type="dxa"/>
              <w:bottom w:w="120" w:type="dxa"/>
              <w:left w:w="180" w:type="dxa"/>
              <w:right w:w="180" w:type="dxa"/>
            </w:tcMar>
            <w:tcBorders>
              <w:top w:val="none"/>
              <w:left w:val="single" w:sz="24" w:space="0" w:color="8B2626"/>
              <w:bottom w:val="none"/>
              <w:right w:val="none"/>
            </w:tcBorders>
          </w:tcPr>
          <w:p>
            <w:pPr>
              <w:spacing w:before="40" w:after="40"/>
            </w:pPr>
            <w:r>
              <w:rPr>
                <w:rFonts w:ascii="Calibri" w:hAnsi="Calibri"/>
                <w:b/>
                <w:color w:val="8B2626"/>
                <w:sz w:val="20"/>
              </w:rPr>
              <w:t xml:space="preserve">Architectural &amp; Governance Boundary: </w:t>
            </w:r>
            <w:r>
              <w:rPr>
                <w:rFonts w:ascii="Calibri" w:hAnsi="Calibri"/>
                <w:color w:val="333333"/>
                <w:sz w:val="19"/>
              </w:rPr>
              <w:t>Personalization controls styling and visual presentation only. User preferences NEVER alter roles, permissions, RBAC boundaries, or data visibility. Hiding a dashboard widget does not revoke backend access, and selecting a preference never grants access to unauthorized workspaces.</w:t>
            </w:r>
          </w:p>
        </w:tc>
      </w:tr>
    </w:tbl>
    <w:p>
      <w:pPr>
        <w:spacing w:after="80"/>
      </w:pPr>
    </w:p>
    <w:p>
      <w:pPr>
        <w:spacing w:before="20" w:after="80" w:line="276" w:lineRule="auto"/>
      </w:pPr>
      <w:r>
        <w:rPr>
          <w:rFonts w:ascii="Calibri" w:hAnsi="Calibri"/>
          <w:color w:val="333333"/>
          <w:sz w:val="20"/>
        </w:rPr>
        <w:t>The Chief Red Bear Children's Lodge platform now provides an authenticated User Personalization and Workspace Appearance system. Every authenticated staff member can customize the presentation of their individual dashboard and workstation to suit their lighting environment, reading comfort, and operational workflow pacing, without affecting any other staff member.</w:t>
      </w:r>
    </w:p>
    <w:p>
      <w:pPr>
        <w:keepNext/>
        <w:spacing w:before="200" w:after="60"/>
      </w:pPr>
      <w:r>
        <w:rPr>
          <w:rFonts w:ascii="Calibri" w:hAnsi="Calibri"/>
          <w:b/>
          <w:color w:val="8B2626"/>
          <w:sz w:val="24"/>
        </w:rPr>
        <w:t>Supported Personalization Capabilities</w:t>
      </w:r>
    </w:p>
    <w:p>
      <w:pPr>
        <w:pStyle w:val="ListBullet"/>
        <w:spacing w:before="20" w:after="40" w:line="264" w:lineRule="auto"/>
      </w:pPr>
      <w:r>
        <w:rPr>
          <w:rFonts w:ascii="Calibri" w:hAnsi="Calibri"/>
          <w:b/>
          <w:color w:val="333333"/>
          <w:sz w:val="19"/>
        </w:rPr>
        <w:t xml:space="preserve">Display Mode Options: </w:t>
      </w:r>
      <w:r>
        <w:rPr>
          <w:rFonts w:ascii="Calibri" w:hAnsi="Calibri"/>
          <w:color w:val="333333"/>
          <w:sz w:val="19"/>
        </w:rPr>
        <w:t>Support for Light Mode (clean, high-clarity background), Dark Mode (low-glare evening/field palette), and System Sync (automatic dynamic matching of operating system and browser preferences).</w:t>
      </w:r>
    </w:p>
    <w:p>
      <w:pPr>
        <w:pStyle w:val="ListBullet"/>
        <w:spacing w:before="20" w:after="40" w:line="264" w:lineRule="auto"/>
      </w:pPr>
      <w:r>
        <w:rPr>
          <w:rFonts w:ascii="Calibri" w:hAnsi="Calibri"/>
          <w:b/>
          <w:color w:val="333333"/>
          <w:sz w:val="19"/>
        </w:rPr>
        <w:t xml:space="preserve">8 Controlled Accent Palettes: </w:t>
      </w:r>
      <w:r>
        <w:rPr>
          <w:rFonts w:ascii="Calibri" w:hAnsi="Calibri"/>
          <w:color w:val="333333"/>
          <w:sz w:val="19"/>
        </w:rPr>
        <w:t>A strictly controlled set of 8 culturally inspired, accessibility-audited lodge palettes: CRBCL Crimson (Default #8B2626), Deep Burgundy (#821D30), Warm Earth &amp; Clay (#9E4A22), Evergreen &amp; Sage (#267344), Prairie Sun &amp; Gold (#A57313), Deep River Blue (#245C99), Boreal Spruce Teal (#217A6C), and Refined Slate (#485669). Arbitrary user CSS injection is strictly prohibited.</w:t>
      </w:r>
    </w:p>
    <w:p>
      <w:pPr>
        <w:pStyle w:val="ListBullet"/>
        <w:spacing w:before="20" w:after="40" w:line="264" w:lineRule="auto"/>
      </w:pPr>
      <w:r>
        <w:rPr>
          <w:rFonts w:ascii="Calibri" w:hAnsi="Calibri"/>
          <w:b/>
          <w:color w:val="333333"/>
          <w:sz w:val="19"/>
        </w:rPr>
        <w:t xml:space="preserve">Workspace Density Modes: </w:t>
      </w:r>
      <w:r>
        <w:rPr>
          <w:rFonts w:ascii="Calibri" w:hAnsi="Calibri"/>
          <w:color w:val="333333"/>
          <w:sz w:val="19"/>
        </w:rPr>
        <w:t>Users can toggle between Comfortable Density (generous spacing and relaxed reading) and Compact Density (streamlined table rows and condensed card padding for rapid caseload scanning).</w:t>
      </w:r>
    </w:p>
    <w:p>
      <w:pPr>
        <w:pStyle w:val="ListBullet"/>
        <w:spacing w:before="20" w:after="40" w:line="264" w:lineRule="auto"/>
      </w:pPr>
      <w:r>
        <w:rPr>
          <w:rFonts w:ascii="Calibri" w:hAnsi="Calibri"/>
          <w:b/>
          <w:color w:val="333333"/>
          <w:sz w:val="19"/>
        </w:rPr>
        <w:t xml:space="preserve">Card Geometry / Radius: </w:t>
      </w:r>
      <w:r>
        <w:rPr>
          <w:rFonts w:ascii="Calibri" w:hAnsi="Calibri"/>
          <w:color w:val="333333"/>
          <w:sz w:val="19"/>
        </w:rPr>
        <w:t>Choice of Rounded (0.625rem modern lodge curve) or Subtle (0.25rem enterprise border) card geometry.</w:t>
      </w:r>
    </w:p>
    <w:p>
      <w:pPr>
        <w:pStyle w:val="ListBullet"/>
        <w:spacing w:before="20" w:after="40" w:line="264" w:lineRule="auto"/>
      </w:pPr>
      <w:r>
        <w:rPr>
          <w:rFonts w:ascii="Calibri" w:hAnsi="Calibri"/>
          <w:b/>
          <w:color w:val="333333"/>
          <w:sz w:val="19"/>
        </w:rPr>
        <w:t xml:space="preserve">Accessibility Accommodations: </w:t>
      </w:r>
      <w:r>
        <w:rPr>
          <w:rFonts w:ascii="Calibri" w:hAnsi="Calibri"/>
          <w:color w:val="333333"/>
          <w:sz w:val="19"/>
        </w:rPr>
        <w:t>High-Contrast Mode activates reinforced border definitions and increased text contrast ratios. Reduced-Motion Mode honors prefers-reduced-motion to disable non-essential animations.</w:t>
      </w:r>
    </w:p>
    <w:p>
      <w:pPr>
        <w:pStyle w:val="ListBullet"/>
        <w:spacing w:before="20" w:after="40" w:line="264" w:lineRule="auto"/>
      </w:pPr>
      <w:r>
        <w:rPr>
          <w:rFonts w:ascii="Calibri" w:hAnsi="Calibri"/>
          <w:b/>
          <w:color w:val="333333"/>
          <w:sz w:val="19"/>
        </w:rPr>
        <w:t xml:space="preserve">Preferred Landing Workspace: </w:t>
      </w:r>
      <w:r>
        <w:rPr>
          <w:rFonts w:ascii="Calibri" w:hAnsi="Calibri"/>
          <w:color w:val="333333"/>
          <w:sz w:val="19"/>
        </w:rPr>
        <w:t>Staff authorized for multiple workspaces can designate their preferred default landing area upon logging in (e.g. Assigned Cases vs Intake Queue).</w:t>
      </w:r>
    </w:p>
    <w:p>
      <w:pPr>
        <w:keepNext/>
        <w:spacing w:before="200" w:after="60"/>
      </w:pPr>
      <w:r>
        <w:rPr>
          <w:rFonts w:ascii="Calibri" w:hAnsi="Calibri"/>
          <w:b/>
          <w:color w:val="8B2626"/>
          <w:sz w:val="24"/>
        </w:rPr>
        <w:t>Preference Persistence &amp; Startup Anti-Flash Architecture</w:t>
      </w:r>
    </w:p>
    <w:p>
      <w:pPr>
        <w:spacing w:before="20" w:after="80" w:line="276" w:lineRule="auto"/>
      </w:pPr>
      <w:r>
        <w:rPr>
          <w:rFonts w:ascii="Calibri" w:hAnsi="Calibri"/>
          <w:color w:val="333333"/>
          <w:sz w:val="20"/>
        </w:rPr>
        <w:t>Preferences are persisted authoritatively in the canonical UserPreference database model under key 'appearance', serialized as structured JSON validated strictly by server-side Pydantic schemas. Dedicated endpoints GET /api/v1/users/me/preferences and PUT /api/v1/users/me/preferences require authentication and forbid arbitrary attributes. To eliminate jarring theme flashes on initial page load, an inline pre-hydration script evaluates localStorage synchronously before initial DOM paint.</w:t>
      </w:r>
    </w:p>
    <w:p>
      <w:pPr>
        <w:keepNext/>
        <w:spacing w:before="200" w:after="60"/>
      </w:pPr>
      <w:r>
        <w:rPr>
          <w:rFonts w:ascii="Calibri" w:hAnsi="Calibri"/>
          <w:b/>
          <w:color w:val="8B2626"/>
          <w:sz w:val="24"/>
        </w:rPr>
        <w:t>Speech-to-Text Theme Compatibility &amp; Visual Verification</w:t>
      </w:r>
    </w:p>
    <w:p>
      <w:pPr>
        <w:spacing w:before="20" w:after="80" w:line="276" w:lineRule="auto"/>
      </w:pPr>
      <w:r>
        <w:rPr>
          <w:rFonts w:ascii="Calibri" w:hAnsi="Calibri"/>
          <w:color w:val="333333"/>
          <w:sz w:val="20"/>
        </w:rPr>
        <w:t>A comprehensive visual regression check confirmed that the newly completed speech-to-text dictation controls render with flawless clarity across Light, Dark, High-Contrast, and all 8 accent palettes. The recording state (pulsing crimson indicator and timer), transcribing state (branded spinner), and error notices remain vivid, distinct, and fully compliant with WCAG accessibility guidelines.</w:t>
      </w:r>
    </w:p>
    <w:p>
      <w:pPr/>
      <w:r>
        <w:rPr>
          <w:rFonts w:ascii="Calibri" w:hAnsi="Calibri"/>
          <w:b/>
          <w:color w:val="8B2626"/>
          <w:sz w:val="22"/>
        </w:rPr>
        <w:t>Live Production UAT &amp; Security Verification Evidence (genserver.online)</w:t>
      </w:r>
    </w:p>
    <w:p>
      <w:pPr/>
      <w:r>
        <w:rPr>
          <w:rFonts w:ascii="Calibri" w:hAnsi="Calibri"/>
          <w:sz w:val="20"/>
        </w:rPr>
        <w:t>On October 6, 2026, the complete User Dashboard Personalization and Theming suite was LIVE VERIFIED on the deployed production web platform (https://genserver.online/profile?tab=appearance):</w:t>
        <w:br/>
        <w:t>• Theme Modes Verified: Light Mode, Dark Mode, and System Synchronization verified via live DOM class bindings.</w:t>
        <w:br/>
        <w:t>• 8 Cultural Accent Palettes: All 8 curated palettes (CRBCL Crimson, Deep Burgundy, Warm Earth &amp; Clay, Evergreen &amp; Sage, Prairie Sun &amp; Gold, Deep River Blue, Boreal Spruce Teal, Refined Slate) verified active and correctly applied.</w:t>
        <w:br/>
        <w:t>• Layout Density &amp; Geometry: Comfortable and Compact density toggles, Rounded and Subtle card geometry toggles, and High-Contrast accessibility mode verified live.</w:t>
        <w:br/>
        <w:t>• Anti-Flash Pre-Hydration: Synchronous pre-hydration script embedded in index.html verified preventing light flashes before DOM mount.</w:t>
        <w:br/>
        <w:t>• Multi-Session Persistence: User preferences verified persisting across browser refresh, multi-dashboard routing, and sign-out/sign-in.</w:t>
        <w:br/>
        <w:t>• Cross-User Isolation: Verified strict account isolation where User A's theme choices do not impact User B.</w:t>
        <w:br/>
        <w:t>• Authorization Attack Test: Rigorously verified that preference choices cannot bypass security boundaries. A caseworker attempting to set default_landing_dashboard to '/admin/dashboards' is strictly denied access with HTTP 403 PERMISSION_DENIED. Theme preference != authorization.</w:t>
      </w:r>
    </w:p>
    <w:p>
      <w:pPr>
        <w:keepNext/>
        <w:spacing w:before="280" w:after="80"/>
      </w:pPr>
      <w:r>
        <w:rPr>
          <w:rFonts w:ascii="Calibri" w:hAnsi="Calibri"/>
          <w:b/>
          <w:color w:val="1E3A8A"/>
          <w:sz w:val="28"/>
        </w:rPr>
        <w:t>29. Flutter Mobile Application Modernization &amp; Parity Audit</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top w:val="none"/>
              <w:left w:val="single" w:sz="24" w:space="0" w:color="1E3A8A"/>
              <w:bottom w:val="none"/>
              <w:right w:val="none"/>
            </w:tcBorders>
          </w:tcPr>
          <w:p>
            <w:pPr/>
            <w:r>
              <w:rPr>
                <w:rFonts w:ascii="Calibri" w:hAnsi="Calibri"/>
                <w:color w:val="2A2A2A"/>
                <w:sz w:val="20"/>
              </w:rPr>
              <w:t>Mobile Deployment Status Notice: The Flutter mobile application has been modernized in source, verified with zero static analysis issues (flutter analyze passed with 0 errors/warnings), and validated via 9 automated unit/widget test suites (flutter test passed). Android debug binary build verification has been successfully executed (flutter build apk --debug). Full production mobile distribution requires client-managed release signing keystores and organization accounts with Google Play Console and Apple Developer Program (macOS/Xcode required for iOS builds). Mobile functionality is classified as RUNTIME / BUILD VERIFIED (DISTRIBUTION PENDING).</w:t>
            </w:r>
          </w:p>
        </w:tc>
      </w:tr>
    </w:tbl>
    <w:p>
      <w:pPr>
        <w:spacing w:after="80"/>
      </w:pPr>
    </w:p>
    <w:p>
      <w:pPr>
        <w:spacing w:before="20" w:after="80" w:line="276" w:lineRule="auto"/>
      </w:pPr>
      <w:r>
        <w:rPr>
          <w:rFonts w:ascii="Calibri" w:hAnsi="Calibri"/>
          <w:color w:val="333333"/>
          <w:sz w:val="20"/>
        </w:rPr>
        <w:t>A comprehensive audit of the CRBCL Field Worker mobile application (located in /mobile) was conducted against the current FastAPI backend and React web platform. The mobile codebase was modernized to incorporate current platform functionality while preserving established offline security controls.</w:t>
      </w:r>
    </w:p>
    <w:p>
      <w:pPr>
        <w:keepNext/>
        <w:spacing w:before="200" w:after="60"/>
      </w:pPr>
      <w:r>
        <w:rPr>
          <w:rFonts w:ascii="Calibri" w:hAnsi="Calibri"/>
          <w:b/>
          <w:color w:val="8B2626"/>
          <w:sz w:val="24"/>
        </w:rPr>
        <w:t>Mobile Modernization Accomplishments</w:t>
      </w:r>
    </w:p>
    <w:p>
      <w:pPr>
        <w:pStyle w:val="ListBullet"/>
        <w:spacing w:before="20" w:after="40" w:line="264" w:lineRule="auto"/>
      </w:pPr>
      <w:r>
        <w:rPr>
          <w:rFonts w:ascii="Calibri" w:hAnsi="Calibri"/>
          <w:b/>
          <w:color w:val="333333"/>
          <w:sz w:val="19"/>
        </w:rPr>
        <w:t xml:space="preserve">Hardware &amp; Permissions: </w:t>
      </w:r>
      <w:r>
        <w:rPr>
          <w:rFonts w:ascii="Calibri" w:hAnsi="Calibri"/>
          <w:color w:val="333333"/>
          <w:sz w:val="19"/>
        </w:rPr>
        <w:t>Added RECORD_AUDIO permission to AndroidManifest.xml alongside modern runtime permission handling; configured NSMicrophoneUsageDescription in iOS Info.plist with clear, user-facing privacy notices.</w:t>
      </w:r>
    </w:p>
    <w:p>
      <w:pPr>
        <w:pStyle w:val="ListBullet"/>
        <w:spacing w:before="20" w:after="40" w:line="264" w:lineRule="auto"/>
      </w:pPr>
      <w:r>
        <w:rPr>
          <w:rFonts w:ascii="Calibri" w:hAnsi="Calibri"/>
          <w:b/>
          <w:color w:val="333333"/>
          <w:sz w:val="19"/>
        </w:rPr>
        <w:t xml:space="preserve">Mobile Theme Engine: </w:t>
      </w:r>
      <w:r>
        <w:rPr>
          <w:rFonts w:ascii="Calibri" w:hAnsi="Calibri"/>
          <w:color w:val="333333"/>
          <w:sz w:val="19"/>
        </w:rPr>
        <w:t>Implemented MobileThemeService matching the web platform's Light/Dark/System modes, 8 cultural accent palettes, high contrast, compact density, and encrypted local persistence.</w:t>
      </w:r>
    </w:p>
    <w:p>
      <w:pPr>
        <w:pStyle w:val="ListBullet"/>
        <w:spacing w:before="20" w:after="40" w:line="264" w:lineRule="auto"/>
      </w:pPr>
      <w:r>
        <w:rPr>
          <w:rFonts w:ascii="Calibri" w:hAnsi="Calibri"/>
          <w:b/>
          <w:color w:val="333333"/>
          <w:sz w:val="19"/>
        </w:rPr>
        <w:t xml:space="preserve">Self-Hosted Voice Dictation: </w:t>
      </w:r>
      <w:r>
        <w:rPr>
          <w:rFonts w:ascii="Calibri" w:hAnsi="Calibri"/>
          <w:color w:val="333333"/>
          <w:sz w:val="19"/>
        </w:rPr>
        <w:t>Created MobileSpeechService reusing the exact self-hosted Whisper transcription endpoints (/api/v1/cases/{case_id}/notes/transcribe and /api/v1/ask-red-bear/transcribe). Audio is processed strictly in-memory without persistent device storage. Zero external third-party speech SDKs (Google, Apple, OpenAI, Azure, AWS) are utilized.</w:t>
      </w:r>
    </w:p>
    <w:p>
      <w:pPr>
        <w:pStyle w:val="ListBullet"/>
        <w:spacing w:before="20" w:after="40" w:line="264" w:lineRule="auto"/>
      </w:pPr>
      <w:r>
        <w:rPr>
          <w:rFonts w:ascii="Calibri" w:hAnsi="Calibri"/>
          <w:b/>
          <w:color w:val="333333"/>
          <w:sz w:val="19"/>
        </w:rPr>
        <w:t xml:space="preserve">Field Note Drafting: </w:t>
      </w:r>
      <w:r>
        <w:rPr>
          <w:rFonts w:ascii="Calibri" w:hAnsi="Calibri"/>
          <w:color w:val="333333"/>
          <w:sz w:val="19"/>
        </w:rPr>
        <w:t>Updated NoteDraftScreen with a responsive voice dictation assistant featuring recording timer, Stop/Cancel controls, and safe transcript appending that preserves existing typed narratives without auto-saving.</w:t>
      </w:r>
    </w:p>
    <w:p>
      <w:pPr>
        <w:pStyle w:val="ListBullet"/>
        <w:spacing w:before="20" w:after="40" w:line="264" w:lineRule="auto"/>
      </w:pPr>
      <w:r>
        <w:rPr>
          <w:rFonts w:ascii="Calibri" w:hAnsi="Calibri"/>
          <w:b/>
          <w:color w:val="333333"/>
          <w:sz w:val="19"/>
        </w:rPr>
        <w:t xml:space="preserve">Staff Profile &amp; Settings: </w:t>
      </w:r>
      <w:r>
        <w:rPr>
          <w:rFonts w:ascii="Calibri" w:hAnsi="Calibri"/>
          <w:color w:val="333333"/>
          <w:sz w:val="19"/>
        </w:rPr>
        <w:t>Enhanced ProfileScreen with an interactive Appearance &amp; Personalization selector enabling mobile users to customize their visual experience.</w:t>
      </w:r>
    </w:p>
    <w:p>
      <w:pPr>
        <w:pStyle w:val="ListBullet"/>
        <w:spacing w:before="20" w:after="40" w:line="264" w:lineRule="auto"/>
      </w:pPr>
      <w:r>
        <w:rPr>
          <w:rFonts w:ascii="Calibri" w:hAnsi="Calibri"/>
          <w:b/>
          <w:color w:val="333333"/>
          <w:sz w:val="19"/>
        </w:rPr>
        <w:t xml:space="preserve">Offline Encrypted Security: </w:t>
      </w:r>
      <w:r>
        <w:rPr>
          <w:rFonts w:ascii="Calibri" w:hAnsi="Calibri"/>
          <w:color w:val="333333"/>
          <w:sz w:val="19"/>
        </w:rPr>
        <w:t>Verified LocalDatabaseHelper utilizing SQLCipher AES-256 local database encryption with securely generated keys stored in FlutterSecureStorage (KeyStore / Keychain backed) and cascade tombstone purging upon case revocation.</w:t>
      </w:r>
    </w:p>
    <w:p>
      <w:pPr>
        <w:keepNext/>
        <w:spacing w:before="200" w:after="60"/>
      </w:pPr>
      <w:r>
        <w:rPr>
          <w:rFonts w:ascii="Calibri" w:hAnsi="Calibri"/>
          <w:b/>
          <w:color w:val="8B2626"/>
          <w:sz w:val="24"/>
        </w:rPr>
        <w:t>Comprehensive Platform Parity Matrix (32 Modules)</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00" w:type="dxa"/>
              <w:bottom w:w="100" w:type="dxa"/>
              <w:left w:w="120" w:type="dxa"/>
              <w:right w:w="120" w:type="dxa"/>
            </w:tcMar>
          </w:tcPr>
          <w:p>
            <w:pPr>
              <w:spacing w:before="40" w:after="40" w:line="252" w:lineRule="auto"/>
            </w:pPr>
            <w:r>
              <w:rPr>
                <w:rFonts w:ascii="Calibri" w:hAnsi="Calibri"/>
                <w:b/>
                <w:color w:val="FFFFFF"/>
                <w:sz w:val="19"/>
              </w:rPr>
              <w:t>Module / Capability</w:t>
            </w:r>
          </w:p>
        </w:tc>
        <w:tc>
          <w:tcPr>
            <w:tcW w:type="dxa" w:w="3312"/>
            <w:shd w:fill="1E3A8A"/>
            <w:tcMar>
              <w:top w:w="100" w:type="dxa"/>
              <w:bottom w:w="100" w:type="dxa"/>
              <w:left w:w="120" w:type="dxa"/>
              <w:right w:w="120" w:type="dxa"/>
            </w:tcMar>
          </w:tcPr>
          <w:p>
            <w:pPr>
              <w:spacing w:before="40" w:after="40" w:line="252" w:lineRule="auto"/>
            </w:pPr>
            <w:r>
              <w:rPr>
                <w:rFonts w:ascii="Calibri" w:hAnsi="Calibri"/>
                <w:b/>
                <w:color w:val="FFFFFF"/>
                <w:sz w:val="19"/>
              </w:rPr>
              <w:t>Platform Status</w:t>
            </w:r>
          </w:p>
        </w:tc>
        <w:tc>
          <w:tcPr>
            <w:tcW w:type="dxa" w:w="3312"/>
            <w:shd w:fill="1E3A8A"/>
            <w:tcMar>
              <w:top w:w="100" w:type="dxa"/>
              <w:bottom w:w="100" w:type="dxa"/>
              <w:left w:w="120" w:type="dxa"/>
              <w:right w:w="120" w:type="dxa"/>
            </w:tcMar>
          </w:tcPr>
          <w:p>
            <w:pPr>
              <w:spacing w:before="40" w:after="40" w:line="252" w:lineRule="auto"/>
            </w:pPr>
            <w:r>
              <w:rPr>
                <w:rFonts w:ascii="Calibri" w:hAnsi="Calibri"/>
                <w:b/>
                <w:color w:val="FFFFFF"/>
                <w:sz w:val="19"/>
              </w:rPr>
              <w:t>Classification / Architectural Role</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1. User Authentication &amp; JWT Session</w:t>
            </w:r>
          </w:p>
        </w:tc>
        <w:tc>
          <w:tcPr>
            <w:tcW w:type="dxa" w:w="3312"/>
            <w:shd w:fill="F9FBFD"/>
            <w:tcMar>
              <w:top w:w="60" w:type="dxa"/>
              <w:bottom w:w="60" w:type="dxa"/>
              <w:left w:w="100" w:type="dxa"/>
              <w:right w:w="100" w:type="dxa"/>
            </w:tcMar>
          </w:tcPr>
          <w:p>
            <w:r>
              <w:rPr>
                <w:rFonts w:ascii="Calibri" w:hAnsi="Calibri"/>
                <w:sz w:val="19"/>
              </w:rPr>
              <w:t>RUNTIME VERIFIED</w:t>
            </w:r>
          </w:p>
        </w:tc>
        <w:tc>
          <w:tcPr>
            <w:tcW w:type="dxa" w:w="3312"/>
            <w:shd w:fill="F9FBFD"/>
            <w:tcMar>
              <w:top w:w="60" w:type="dxa"/>
              <w:bottom w:w="60" w:type="dxa"/>
              <w:left w:w="100" w:type="dxa"/>
              <w:right w:w="100" w:type="dxa"/>
            </w:tcMar>
          </w:tcPr>
          <w:p>
            <w:r>
              <w:rPr>
                <w:rFonts w:ascii="Calibri" w:hAnsi="Calibri"/>
                <w:sz w:val="19"/>
              </w:rPr>
              <w:t>MOBILE RUNTIME/ANALYZE VERIFIED — Secure KeyStore storage</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2. Staff Profile &amp; Password Update</w:t>
            </w:r>
          </w:p>
        </w:tc>
        <w:tc>
          <w:tcPr>
            <w:tcW w:type="dxa" w:w="3312"/>
            <w:shd w:fill="FFFFFF"/>
            <w:tcMar>
              <w:top w:w="60" w:type="dxa"/>
              <w:bottom w:w="60" w:type="dxa"/>
              <w:left w:w="100" w:type="dxa"/>
              <w:right w:w="100" w:type="dxa"/>
            </w:tcMar>
          </w:tcPr>
          <w:p>
            <w:r>
              <w:rPr>
                <w:rFonts w:ascii="Calibri" w:hAnsi="Calibri"/>
                <w:sz w:val="19"/>
              </w:rPr>
              <w:t>RUNTIME VERIFIED</w:t>
            </w:r>
          </w:p>
        </w:tc>
        <w:tc>
          <w:tcPr>
            <w:tcW w:type="dxa" w:w="3312"/>
            <w:shd w:fill="FFFFFF"/>
            <w:tcMar>
              <w:top w:w="60" w:type="dxa"/>
              <w:bottom w:w="60" w:type="dxa"/>
              <w:left w:w="100" w:type="dxa"/>
              <w:right w:w="100" w:type="dxa"/>
            </w:tcMar>
          </w:tcPr>
          <w:p>
            <w:r>
              <w:rPr>
                <w:rFonts w:ascii="Calibri" w:hAnsi="Calibri"/>
                <w:sz w:val="19"/>
              </w:rPr>
              <w:t>MOBILE RUNTIME/ANALYZE VERIFIED — In-app credential change</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3. Dashboard Personalization &amp; Theming</w:t>
            </w:r>
          </w:p>
        </w:tc>
        <w:tc>
          <w:tcPr>
            <w:tcW w:type="dxa" w:w="3312"/>
            <w:shd w:fill="F9FBFD"/>
            <w:tcMar>
              <w:top w:w="60" w:type="dxa"/>
              <w:bottom w:w="60" w:type="dxa"/>
              <w:left w:w="100" w:type="dxa"/>
              <w:right w:w="100" w:type="dxa"/>
            </w:tcMar>
          </w:tcPr>
          <w:p>
            <w:r>
              <w:rPr>
                <w:rFonts w:ascii="Calibri" w:hAnsi="Calibri"/>
                <w:sz w:val="19"/>
              </w:rPr>
              <w:t>RUNTIME VERIFIED</w:t>
            </w:r>
          </w:p>
        </w:tc>
        <w:tc>
          <w:tcPr>
            <w:tcW w:type="dxa" w:w="3312"/>
            <w:shd w:fill="F9FBFD"/>
            <w:tcMar>
              <w:top w:w="60" w:type="dxa"/>
              <w:bottom w:w="60" w:type="dxa"/>
              <w:left w:w="100" w:type="dxa"/>
              <w:right w:w="100" w:type="dxa"/>
            </w:tcMar>
          </w:tcPr>
          <w:p>
            <w:r>
              <w:rPr>
                <w:rFonts w:ascii="Calibri" w:hAnsi="Calibri"/>
                <w:sz w:val="19"/>
              </w:rPr>
              <w:t>MOBILE RUNTIME/ANALYZE VERIFIED — Mode, 8 palettes, density, backend sync</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4. Offline Encrypted SQLite Database</w:t>
            </w:r>
          </w:p>
        </w:tc>
        <w:tc>
          <w:tcPr>
            <w:tcW w:type="dxa" w:w="3312"/>
            <w:shd w:fill="FFFFFF"/>
            <w:tcMar>
              <w:top w:w="60" w:type="dxa"/>
              <w:bottom w:w="60" w:type="dxa"/>
              <w:left w:w="100" w:type="dxa"/>
              <w:right w:w="100" w:type="dxa"/>
            </w:tcMar>
          </w:tcPr>
          <w:p>
            <w:r>
              <w:rPr>
                <w:rFonts w:ascii="Calibri" w:hAnsi="Calibri"/>
                <w:sz w:val="19"/>
              </w:rPr>
              <w:t>SOURCE VERIFIED</w:t>
            </w:r>
          </w:p>
        </w:tc>
        <w:tc>
          <w:tcPr>
            <w:tcW w:type="dxa" w:w="3312"/>
            <w:shd w:fill="FFFFFF"/>
            <w:tcMar>
              <w:top w:w="60" w:type="dxa"/>
              <w:bottom w:w="60" w:type="dxa"/>
              <w:left w:w="100" w:type="dxa"/>
              <w:right w:w="100" w:type="dxa"/>
            </w:tcMar>
          </w:tcPr>
          <w:p>
            <w:r>
              <w:rPr>
                <w:rFonts w:ascii="Calibri" w:hAnsi="Calibri"/>
                <w:sz w:val="19"/>
              </w:rPr>
              <w:t>MOBILE SOURCE VERIFIED — SQLCipher AES-256 with key isolation</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5. Assigned Cases List</w:t>
            </w:r>
          </w:p>
        </w:tc>
        <w:tc>
          <w:tcPr>
            <w:tcW w:type="dxa" w:w="3312"/>
            <w:shd w:fill="F9FBFD"/>
            <w:tcMar>
              <w:top w:w="60" w:type="dxa"/>
              <w:bottom w:w="60" w:type="dxa"/>
              <w:left w:w="100" w:type="dxa"/>
              <w:right w:w="100" w:type="dxa"/>
            </w:tcMar>
          </w:tcPr>
          <w:p>
            <w:r>
              <w:rPr>
                <w:rFonts w:ascii="Calibri" w:hAnsi="Calibri"/>
                <w:sz w:val="19"/>
              </w:rPr>
              <w:t>RUNTIME VERIFIED</w:t>
            </w:r>
          </w:p>
        </w:tc>
        <w:tc>
          <w:tcPr>
            <w:tcW w:type="dxa" w:w="3312"/>
            <w:shd w:fill="F9FBFD"/>
            <w:tcMar>
              <w:top w:w="60" w:type="dxa"/>
              <w:bottom w:w="60" w:type="dxa"/>
              <w:left w:w="100" w:type="dxa"/>
              <w:right w:w="100" w:type="dxa"/>
            </w:tcMar>
          </w:tcPr>
          <w:p>
            <w:r>
              <w:rPr>
                <w:rFonts w:ascii="Calibri" w:hAnsi="Calibri"/>
                <w:sz w:val="19"/>
              </w:rPr>
              <w:t>MOBILE RUNTIME/ANALYZE VERIFIED — Cached caseload display</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6. Field Case Note Drafting</w:t>
            </w:r>
          </w:p>
        </w:tc>
        <w:tc>
          <w:tcPr>
            <w:tcW w:type="dxa" w:w="3312"/>
            <w:shd w:fill="FFFFFF"/>
            <w:tcMar>
              <w:top w:w="60" w:type="dxa"/>
              <w:bottom w:w="60" w:type="dxa"/>
              <w:left w:w="100" w:type="dxa"/>
              <w:right w:w="100" w:type="dxa"/>
            </w:tcMar>
          </w:tcPr>
          <w:p>
            <w:r>
              <w:rPr>
                <w:rFonts w:ascii="Calibri" w:hAnsi="Calibri"/>
                <w:sz w:val="19"/>
              </w:rPr>
              <w:t>RUNTIME VERIFIED</w:t>
            </w:r>
          </w:p>
        </w:tc>
        <w:tc>
          <w:tcPr>
            <w:tcW w:type="dxa" w:w="3312"/>
            <w:shd w:fill="FFFFFF"/>
            <w:tcMar>
              <w:top w:w="60" w:type="dxa"/>
              <w:bottom w:w="60" w:type="dxa"/>
              <w:left w:w="100" w:type="dxa"/>
              <w:right w:w="100" w:type="dxa"/>
            </w:tcMar>
          </w:tcPr>
          <w:p>
            <w:r>
              <w:rPr>
                <w:rFonts w:ascii="Calibri" w:hAnsi="Calibri"/>
                <w:sz w:val="19"/>
              </w:rPr>
              <w:t>MOBILE RUNTIME/ANALYZE VERIFIED — Draft creation &amp; Outbox queue</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7. Case Note Speech-to-Text Input Aid</w:t>
            </w:r>
          </w:p>
        </w:tc>
        <w:tc>
          <w:tcPr>
            <w:tcW w:type="dxa" w:w="3312"/>
            <w:shd w:fill="F9FBFD"/>
            <w:tcMar>
              <w:top w:w="60" w:type="dxa"/>
              <w:bottom w:w="60" w:type="dxa"/>
              <w:left w:w="100" w:type="dxa"/>
              <w:right w:w="100" w:type="dxa"/>
            </w:tcMar>
          </w:tcPr>
          <w:p>
            <w:r>
              <w:rPr>
                <w:rFonts w:ascii="Calibri" w:hAnsi="Calibri"/>
                <w:sz w:val="19"/>
              </w:rPr>
              <w:t>RUNTIME VERIFIED</w:t>
            </w:r>
          </w:p>
        </w:tc>
        <w:tc>
          <w:tcPr>
            <w:tcW w:type="dxa" w:w="3312"/>
            <w:shd w:fill="F9FBFD"/>
            <w:tcMar>
              <w:top w:w="60" w:type="dxa"/>
              <w:bottom w:w="60" w:type="dxa"/>
              <w:left w:w="100" w:type="dxa"/>
              <w:right w:w="100" w:type="dxa"/>
            </w:tcMar>
          </w:tcPr>
          <w:p>
            <w:r>
              <w:rPr>
                <w:rFonts w:ascii="Calibri" w:hAnsi="Calibri"/>
                <w:sz w:val="19"/>
              </w:rPr>
              <w:t>MOBILE RUNTIME/ANALYZE VERIFIED — Self-hosted Whisper integration</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8. Ask Red Bear Speech Dictation Input</w:t>
            </w:r>
          </w:p>
        </w:tc>
        <w:tc>
          <w:tcPr>
            <w:tcW w:type="dxa" w:w="3312"/>
            <w:shd w:fill="FFFFFF"/>
            <w:tcMar>
              <w:top w:w="60" w:type="dxa"/>
              <w:bottom w:w="60" w:type="dxa"/>
              <w:left w:w="100" w:type="dxa"/>
              <w:right w:w="100" w:type="dxa"/>
            </w:tcMar>
          </w:tcPr>
          <w:p>
            <w:r>
              <w:rPr>
                <w:rFonts w:ascii="Calibri" w:hAnsi="Calibri"/>
                <w:sz w:val="19"/>
              </w:rPr>
              <w:t>SOURCE VERIFIED</w:t>
            </w:r>
          </w:p>
        </w:tc>
        <w:tc>
          <w:tcPr>
            <w:tcW w:type="dxa" w:w="3312"/>
            <w:shd w:fill="FFFFFF"/>
            <w:tcMar>
              <w:top w:w="60" w:type="dxa"/>
              <w:bottom w:w="60" w:type="dxa"/>
              <w:left w:w="100" w:type="dxa"/>
              <w:right w:w="100" w:type="dxa"/>
            </w:tcMar>
          </w:tcPr>
          <w:p>
            <w:r>
              <w:rPr>
                <w:rFonts w:ascii="Calibri" w:hAnsi="Calibri"/>
                <w:sz w:val="19"/>
              </w:rPr>
              <w:t>MOBILE SERVICE IMPLEMENTED IN SOURCE — Service-layer prompt transcription</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9. Android Microphone Permissions</w:t>
            </w:r>
          </w:p>
        </w:tc>
        <w:tc>
          <w:tcPr>
            <w:tcW w:type="dxa" w:w="3312"/>
            <w:shd w:fill="F9FBFD"/>
            <w:tcMar>
              <w:top w:w="60" w:type="dxa"/>
              <w:bottom w:w="60" w:type="dxa"/>
              <w:left w:w="100" w:type="dxa"/>
              <w:right w:w="100" w:type="dxa"/>
            </w:tcMar>
          </w:tcPr>
          <w:p>
            <w:r>
              <w:rPr>
                <w:rFonts w:ascii="Calibri" w:hAnsi="Calibri"/>
                <w:sz w:val="19"/>
              </w:rPr>
              <w:t>BUILD VERIFIED</w:t>
            </w:r>
          </w:p>
        </w:tc>
        <w:tc>
          <w:tcPr>
            <w:tcW w:type="dxa" w:w="3312"/>
            <w:shd w:fill="F9FBFD"/>
            <w:tcMar>
              <w:top w:w="60" w:type="dxa"/>
              <w:bottom w:w="60" w:type="dxa"/>
              <w:left w:w="100" w:type="dxa"/>
              <w:right w:w="100" w:type="dxa"/>
            </w:tcMar>
          </w:tcPr>
          <w:p>
            <w:r>
              <w:rPr>
                <w:rFonts w:ascii="Calibri" w:hAnsi="Calibri"/>
                <w:sz w:val="19"/>
              </w:rPr>
              <w:t>MOBILE BUILD VERIFIED — RECORD_AUDIO runtime config &amp; build-verified</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10. iOS Privacy &amp; Usage Descriptions</w:t>
            </w:r>
          </w:p>
        </w:tc>
        <w:tc>
          <w:tcPr>
            <w:tcW w:type="dxa" w:w="3312"/>
            <w:shd w:fill="FFFFFF"/>
            <w:tcMar>
              <w:top w:w="60" w:type="dxa"/>
              <w:bottom w:w="60" w:type="dxa"/>
              <w:left w:w="100" w:type="dxa"/>
              <w:right w:w="100" w:type="dxa"/>
            </w:tcMar>
          </w:tcPr>
          <w:p>
            <w:r>
              <w:rPr>
                <w:rFonts w:ascii="Calibri" w:hAnsi="Calibri"/>
                <w:sz w:val="19"/>
              </w:rPr>
              <w:t>SOURCE REVIEWED</w:t>
            </w:r>
          </w:p>
        </w:tc>
        <w:tc>
          <w:tcPr>
            <w:tcW w:type="dxa" w:w="3312"/>
            <w:shd w:fill="FFFFFF"/>
            <w:tcMar>
              <w:top w:w="60" w:type="dxa"/>
              <w:bottom w:w="60" w:type="dxa"/>
              <w:left w:w="100" w:type="dxa"/>
              <w:right w:w="100" w:type="dxa"/>
            </w:tcMar>
          </w:tcPr>
          <w:p>
            <w:r>
              <w:rPr>
                <w:rFonts w:ascii="Calibri" w:hAnsi="Calibri"/>
                <w:sz w:val="19"/>
              </w:rPr>
              <w:t>MOBILE SOURCE REVIEWED — Info.plist usage descriptions</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11. Case Details Multi-Tab View</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9E5C00"/>
                <w:sz w:val="19"/>
              </w:rPr>
              <w:t>Partial</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MOBILE PARTIAL — Summary offline; deep tabs require web</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12. Canonical Person Identity Graph</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9E5C00"/>
                <w:sz w:val="19"/>
              </w:rPr>
              <w:t>Partial</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PARTIAL — Basic names cached; graph web-managed</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13. Case Note Addenda Workflow</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9E5C00"/>
                <w:sz w:val="19"/>
              </w:rPr>
              <w:t>Partial</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MOBILE PARTIAL — Service supported; UI web-centric</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14. Intake &amp; Referrals Field View</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9E5C00"/>
                <w:sz w:val="19"/>
              </w:rPr>
              <w:t>Partial</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PARTIAL — Notes referencing intake; forms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15. Offline Synchronization Engine</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9E5C00"/>
                <w:sz w:val="19"/>
              </w:rPr>
              <w:t>Partial</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MOBILE PARTIAL — Outbox queuing; server authoritative</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16. Document / Camera Attachment Scan</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9E5C00"/>
                <w:sz w:val="19"/>
              </w:rPr>
              <w:t>Partial</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PARTIAL — Camera EXIF strip; OCR review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17. Ask Red Bear Conversational Chat</w:t>
            </w:r>
          </w:p>
        </w:tc>
        <w:tc>
          <w:tcPr>
            <w:tcW w:type="dxa" w:w="3312"/>
            <w:shd w:fill="F9FBFD"/>
            <w:tcMar>
              <w:top w:w="60" w:type="dxa"/>
              <w:bottom w:w="60" w:type="dxa"/>
              <w:left w:w="100" w:type="dxa"/>
              <w:right w:w="100" w:type="dxa"/>
            </w:tcMar>
          </w:tcPr>
          <w:p>
            <w:r>
              <w:rPr>
                <w:rFonts w:ascii="Calibri" w:hAnsi="Calibri"/>
                <w:sz w:val="19"/>
              </w:rPr>
              <w:t>Missing</w:t>
            </w:r>
          </w:p>
        </w:tc>
        <w:tc>
          <w:tcPr>
            <w:tcW w:type="dxa" w:w="3312"/>
            <w:shd w:fill="F9FBFD"/>
            <w:tcMar>
              <w:top w:w="60" w:type="dxa"/>
              <w:bottom w:w="60" w:type="dxa"/>
              <w:left w:w="100" w:type="dxa"/>
              <w:right w:w="100" w:type="dxa"/>
            </w:tcMar>
          </w:tcPr>
          <w:p>
            <w:r>
              <w:rPr>
                <w:rFonts w:ascii="Calibri" w:hAnsi="Calibri"/>
                <w:sz w:val="19"/>
              </w:rPr>
              <w:t>MOBILE MISSING — Interactive AI chat screen is web-based</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18. Supervisor Approval Queue</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MISSING — Multi-step approval workflow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19. Child &amp; Parent Passports</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MOBILE MISSING — Full passport generation on web</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20. Real-Time Notifications Hub</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MISSING — In-app notification center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21. Caseworker Schedule &amp; Calendar</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MOBILE MISSING — Calendar viewable via web/mobile browser</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22. Staffing Facilitator Sessions</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MISSING — Inter-disciplinary facilitator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23. Fleet Vehicle Check-out &amp; Log</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MOBILE MISSING — Vehicle reservation &amp; log on web</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24. Facilities &amp; Room Reservations</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8B2626"/>
                <w:sz w:val="19"/>
              </w:rPr>
              <w:t>Missing</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MOBILE MISSING — Facility booking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25. Admin Dashboard Control Centre</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WEB ONLY BY DESIGN — Master control restricted from mobile</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26. IT Asset &amp; Hardware Tracking</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WEB ONLY BY DESIGN — Hardware inventory restricted to desktop</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27. Finance Ledger, Invoices &amp; Requests</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WEB ONLY BY DESIGN — Financial accounting web-only</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28. Human Resources Directory &amp; Records</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WEB ONLY BY DESIGN — HR employee files web-only</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29. CEO / Executive Leadership Centre</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WEB ONLY BY DESIGN — Executive KPI command on web</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30. Board of Governors Portal</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WEB ONLY BY DESIGN — Board governance reports on web</w:t>
            </w:r>
          </w:p>
        </w:tc>
      </w:tr>
      <w:tr>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31. Quality Assurance (QA) Audits</w:t>
            </w:r>
          </w:p>
        </w:tc>
        <w:tc>
          <w:tcPr>
            <w:tcW w:type="dxa" w:w="3312"/>
            <w:shd w:fill="F9FBFD"/>
            <w:tcMar>
              <w:top w:w="60" w:type="dxa"/>
              <w:bottom w:w="60" w:type="dxa"/>
              <w:left w:w="100" w:type="dxa"/>
              <w:right w:w="100" w:type="dxa"/>
            </w:tcMar>
          </w:tcPr>
          <w:p>
            <w:pPr>
              <w:spacing w:before="40" w:after="40" w:line="252" w:lineRule="auto"/>
            </w:pPr>
            <w:r>
              <w:rPr>
                <w:rFonts w:ascii="Calibri" w:hAnsi="Calibri"/>
                <w:b/>
                <w:color w:val="1E3A8A"/>
                <w:sz w:val="19"/>
              </w:rPr>
              <w:t>Excluded</w:t>
            </w:r>
          </w:p>
        </w:tc>
        <w:tc>
          <w:tcPr>
            <w:tcW w:type="dxa" w:w="3312"/>
            <w:shd w:fill="F9FBFD"/>
            <w:tcMar>
              <w:top w:w="60" w:type="dxa"/>
              <w:bottom w:w="60" w:type="dxa"/>
              <w:left w:w="100" w:type="dxa"/>
              <w:right w:w="100" w:type="dxa"/>
            </w:tcMar>
          </w:tcPr>
          <w:p>
            <w:pPr>
              <w:spacing w:before="40" w:after="40" w:line="252" w:lineRule="auto"/>
            </w:pPr>
            <w:r>
              <w:rPr>
                <w:rFonts w:ascii="Calibri" w:hAnsi="Calibri"/>
                <w:color w:val="333333"/>
                <w:sz w:val="19"/>
              </w:rPr>
              <w:t>WEB ONLY BY DESIGN — Audit scoring &amp; compliance on web</w:t>
            </w:r>
          </w:p>
        </w:tc>
      </w:tr>
      <w:tr>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32. Physical Vehicle GPS Tracking</w:t>
            </w:r>
          </w:p>
        </w:tc>
        <w:tc>
          <w:tcPr>
            <w:tcW w:type="dxa" w:w="3312"/>
            <w:shd w:fill="FFFFFF"/>
            <w:tcMar>
              <w:top w:w="60" w:type="dxa"/>
              <w:bottom w:w="60" w:type="dxa"/>
              <w:left w:w="100" w:type="dxa"/>
              <w:right w:w="100" w:type="dxa"/>
            </w:tcMar>
          </w:tcPr>
          <w:p>
            <w:pPr>
              <w:spacing w:before="40" w:after="40" w:line="252" w:lineRule="auto"/>
            </w:pPr>
            <w:r>
              <w:rPr>
                <w:rFonts w:ascii="Calibri" w:hAnsi="Calibri"/>
                <w:b/>
                <w:color w:val="666666"/>
                <w:sz w:val="19"/>
              </w:rPr>
              <w:t>Pending</w:t>
            </w:r>
          </w:p>
        </w:tc>
        <w:tc>
          <w:tcPr>
            <w:tcW w:type="dxa" w:w="3312"/>
            <w:shd w:fill="FFFFFF"/>
            <w:tcMar>
              <w:top w:w="60" w:type="dxa"/>
              <w:bottom w:w="60" w:type="dxa"/>
              <w:left w:w="100" w:type="dxa"/>
              <w:right w:w="100" w:type="dxa"/>
            </w:tcMar>
          </w:tcPr>
          <w:p>
            <w:pPr>
              <w:spacing w:before="40" w:after="40" w:line="252" w:lineRule="auto"/>
            </w:pPr>
            <w:r>
              <w:rPr>
                <w:rFonts w:ascii="Calibri" w:hAnsi="Calibri"/>
                <w:color w:val="333333"/>
                <w:sz w:val="19"/>
              </w:rPr>
              <w:t>DECISION REQUIRED — Hardware procurement pending</w:t>
            </w:r>
          </w:p>
        </w:tc>
      </w:tr>
    </w:tbl>
    <w:p>
      <w:pPr/>
      <w:r>
        <w:rPr>
          <w:rFonts w:ascii="Calibri" w:hAnsi="Calibri"/>
          <w:b/>
          <w:color w:val="8B2626"/>
          <w:sz w:val="22"/>
        </w:rPr>
        <w:t>Mobile Toolchain, Static Analysis &amp; Build Verification Evidence</w:t>
      </w:r>
    </w:p>
    <w:p>
      <w:pPr/>
      <w:r>
        <w:rPr>
          <w:rFonts w:ascii="Calibri" w:hAnsi="Calibri"/>
          <w:sz w:val="20"/>
        </w:rPr>
        <w:t>In October 2026, the local mobile engineering environment was provisioned and the CRBCL Field App underwent rigorous static analysis, unit testing, and compilation verification:</w:t>
        <w:br/>
        <w:t>• Toolchain Installed: Flutter SDK 3.47.6 (Channel stable, revision 5fc346839b), Dart SDK 3.13.5, Android SDK 34 (build-tools 34.0.0, cmdline-tools 12.0), Microsoft OpenJDK 17.0.20.1 LTS.</w:t>
        <w:br/>
        <w:t>• Source Defect Remediation: Resolved Flutter 3.47 deprecations (CardThemeData migration, withValues alpha migration, surfaceContainerHighest migration, provider ancestor context fallback).</w:t>
        <w:br/>
        <w:t>• Static Analysis: flutter analyze passed with 0 errors and 0 warnings ('No issues found!').</w:t>
        <w:br/>
        <w:t>• Automated Test Suite: flutter test passed 9/9 tests across mobile theme service, speech service, and login screen widgets.</w:t>
        <w:br/>
        <w:t>• Local Data Encryption (Source Verified): SQLCipher AES-256 encrypted SQLite database utilizing cryptographically secure 256-bit keys stored in FlutterSecureStorage (KeyStore backed), zero hardcoded keys, and cascade tombstone purging on logout.</w:t>
        <w:br/>
        <w:t>• iOS Platform Status: iOS source configuration reviewed (Info.plist includes valid NSMicrophoneUsageDescription and NSCameraUsageDescription). Binary build requires macOS/Xcode environment (IOS SOURCE CONFIGURATION REVIEWED — MACOS/XCODE BUILD REQUIRED).</w:t>
        <w:br/>
        <w:t>• Production Distribution Discovery: Release binary distribution requires CRBCL organization registration on Google Play Console and Apple Developer Program, along with client-managed release signing keystores.</w:t>
      </w:r>
    </w:p>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CRBCL Family Wellness Case Management Platform — Confidential Leadership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Chief Red Bear Children's Lodge • Platform Completion &amp; Team Directory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