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20" w:after="120"/>
        <w:jc w:val="center"/>
      </w:pPr>
      <w:r>
        <w:rPr>
          <w:rFonts w:ascii="Avenir" w:hAnsi="Avenir"/>
          <w:b/>
          <w:color w:val="BF4F14"/>
          <w:sz w:val="29"/>
        </w:rPr>
        <w:t>Chapter 1: The Primordial Word</w:t>
      </w:r>
    </w:p>
    <w:p>
      <w:pPr>
        <w:spacing w:before="240" w:after="240"/>
        <w:jc w:val="center"/>
      </w:pPr>
      <w:r>
        <w:rPr>
          <w:rFonts w:ascii="Nunito" w:hAnsi="Nunito"/>
          <w:i/>
          <w:sz w:val="24"/>
        </w:rPr>
        <w:t>Vāg vai brahma | vācā hy evedaṃ sarvaṃ sṛṣṭam | vācā hy evedaṃ sarvaṃ bhavati ||</w:t>
      </w:r>
      <w:r>
        <w:rPr>
          <w:rFonts w:ascii="Nunito" w:hAnsi="Nunito"/>
          <w:sz w:val="24"/>
        </w:rPr>
        <w:br/>
      </w:r>
      <w:r>
        <w:rPr>
          <w:rFonts w:ascii="Nunito" w:hAnsi="Nunito"/>
          <w:sz w:val="24"/>
        </w:rPr>
        <w:t>Speech indeed is Brahman. By speech alone is all this created. By speech alone does all this exist.</w:t>
      </w:r>
      <w:r>
        <w:rPr>
          <w:rFonts w:ascii="Nunito" w:hAnsi="Nunito"/>
          <w:sz w:val="24"/>
        </w:rPr>
        <w:br/>
      </w:r>
      <w:r>
        <w:rPr>
          <w:rFonts w:ascii="Nunito" w:hAnsi="Nunito"/>
          <w:i/>
          <w:sz w:val="24"/>
        </w:rPr>
        <w:t>— Aitareya Brāhmaṇa 33.6</w:t>
      </w:r>
      <w:r>
        <w:rPr>
          <w:rFonts w:ascii="Nunito" w:hAnsi="Nunito"/>
          <w:sz w:val="24"/>
        </w:rPr>
        <w:br/>
      </w:r>
    </w:p>
    <w:p>
      <w:r>
        <w:rPr>
          <w:rFonts w:ascii="Nunito" w:hAnsi="Nunito"/>
          <w:i/>
          <w:sz w:val="24"/>
        </w:rPr>
        <w:t>Vāg vai brahma | vācā hy evedaṃ sarvaṃ sṛṣṭam | vācā hy evedaṃ sarvaṃ bhavati ||</w:t>
      </w:r>
    </w:p>
    <w:p>
      <w:r>
        <w:rPr>
          <w:rFonts w:ascii="Nunito" w:hAnsi="Nunito"/>
          <w:sz w:val="24"/>
        </w:rPr>
        <w:t>Speech indeed is Brahman. By speech alone is all this created. By speech alone does all this exist.</w:t>
      </w:r>
    </w:p>
    <w:p>
      <w:r>
        <w:rPr>
          <w:rFonts w:ascii="Nunito" w:hAnsi="Nunito"/>
          <w:sz w:val="24"/>
        </w:rPr>
        <w:t xml:space="preserve">— </w:t>
      </w:r>
      <w:r>
        <w:rPr>
          <w:rFonts w:ascii="Nunito" w:hAnsi="Nunito"/>
          <w:i/>
          <w:sz w:val="24"/>
        </w:rPr>
        <w:t>Aitareya Brāhmaṇa</w:t>
      </w:r>
      <w:r>
        <w:rPr>
          <w:rFonts w:ascii="Nunito" w:hAnsi="Nunito"/>
          <w:sz w:val="24"/>
        </w:rPr>
        <w:t xml:space="preserve"> 33.6</w:t>
      </w:r>
    </w:p>
    <w:p>
      <w:pPr>
        <w:pStyle w:val="Heading2"/>
        <w:jc w:val="center"/>
      </w:pPr>
      <w:r>
        <w:rPr>
          <w:rFonts w:ascii="Avenir" w:hAnsi="Avenir"/>
          <w:b/>
          <w:sz w:val="24"/>
        </w:rPr>
        <w:t>The Sacred Architecture of Communication</w:t>
      </w:r>
    </w:p>
    <w:p>
      <w:r>
        <w:rPr>
          <w:rFonts w:ascii="Nunito" w:hAnsi="Nunito"/>
          <w:sz w:val="24"/>
        </w:rPr>
        <w:t>In the beginning was the Word. This profound truth echoes across civilizations, from the Vedic "</w:t>
      </w:r>
      <w:r>
        <w:rPr>
          <w:rFonts w:ascii="Nunito" w:hAnsi="Nunito"/>
          <w:i/>
          <w:sz w:val="24"/>
        </w:rPr>
        <w:t>Vāk</w:t>
      </w:r>
      <w:r>
        <w:rPr>
          <w:rFonts w:ascii="Nunito" w:hAnsi="Nunito"/>
          <w:sz w:val="24"/>
        </w:rPr>
        <w:t>" to the Biblical "</w:t>
      </w:r>
      <w:r>
        <w:rPr>
          <w:rFonts w:ascii="Nunito" w:hAnsi="Nunito"/>
          <w:i/>
          <w:sz w:val="24"/>
        </w:rPr>
        <w:t>Logos</w:t>
      </w:r>
      <w:r>
        <w:rPr>
          <w:rFonts w:ascii="Nunito" w:hAnsi="Nunito"/>
          <w:sz w:val="24"/>
        </w:rPr>
        <w:t>," revealing a universal understanding: communication is not merely a human skill but a divine principle woven into the fabric of existence itself.</w:t>
      </w:r>
    </w:p>
    <w:p>
      <w:r>
        <w:rPr>
          <w:rFonts w:ascii="Nunito" w:hAnsi="Nunito"/>
          <w:sz w:val="24"/>
        </w:rPr>
        <w:br w:type="page"/>
      </w:r>
    </w:p>
    <w:p>
      <w:pPr>
        <w:pStyle w:val="Heading1"/>
        <w:keepNext/>
        <w:spacing w:before="120" w:after="120"/>
        <w:jc w:val="center"/>
      </w:pPr>
      <w:r>
        <w:rPr>
          <w:rFonts w:ascii="Avenir" w:hAnsi="Avenir"/>
          <w:b/>
          <w:color w:val="BF4F14"/>
          <w:sz w:val="29"/>
        </w:rPr>
        <w:t>Chapter 2: The Courage to Be Real</w:t>
      </w:r>
    </w:p>
    <w:p>
      <w:pPr>
        <w:spacing w:before="240" w:after="240"/>
        <w:jc w:val="center"/>
      </w:pPr>
      <w:r>
        <w:rPr>
          <w:rFonts w:ascii="Nunito" w:hAnsi="Nunito"/>
          <w:i/>
          <w:sz w:val="24"/>
        </w:rPr>
        <w:t>Satyaṃ brūyāt priyaṃ brūyāt na brūyāt satyam apriyam |</w:t>
        <w:br/>
        <w:t>priyaṃ ca nānṛtaṃ brūyāt eṣa dharmaḥ sanātanaḥ ||</w:t>
      </w:r>
      <w:r>
        <w:rPr>
          <w:rFonts w:ascii="Nunito" w:hAnsi="Nunito"/>
          <w:sz w:val="24"/>
        </w:rPr>
        <w:br/>
      </w:r>
      <w:r>
        <w:rPr>
          <w:rFonts w:ascii="Nunito" w:hAnsi="Nunito"/>
          <w:sz w:val="24"/>
        </w:rPr>
        <w:t>Speak the truth, speak pleasantly, do not speak unpleasant truth.</w:t>
        <w:br/>
        <w:t>Do not speak pleasant falsehood - this is the eternal dharma.</w:t>
      </w:r>
      <w:r>
        <w:rPr>
          <w:rFonts w:ascii="Nunito" w:hAnsi="Nunito"/>
          <w:sz w:val="24"/>
        </w:rPr>
        <w:br/>
      </w:r>
      <w:r>
        <w:rPr>
          <w:rFonts w:ascii="Nunito" w:hAnsi="Nunito"/>
          <w:i/>
          <w:sz w:val="24"/>
        </w:rPr>
        <w:t>— Manusmṛti 4.138</w:t>
      </w:r>
      <w:r>
        <w:rPr>
          <w:rFonts w:ascii="Nunito" w:hAnsi="Nunito"/>
          <w:sz w:val="24"/>
        </w:rPr>
        <w:br/>
      </w:r>
    </w:p>
    <w:p>
      <w:r>
        <w:rPr>
          <w:rFonts w:ascii="Nunito" w:hAnsi="Nunito"/>
          <w:i/>
          <w:sz w:val="24"/>
        </w:rPr>
        <w:t>Satyaṃ brūyāt priyaṃ brūyāt na brūyāt satyam apriyam |</w:t>
      </w:r>
      <w:r>
        <w:rPr>
          <w:rFonts w:ascii="Nunito" w:hAnsi="Nunito"/>
          <w:sz w:val="24"/>
        </w:rPr>
      </w:r>
      <w:r>
        <w:rPr>
          <w:rFonts w:ascii="Nunito" w:hAnsi="Nunito"/>
          <w:sz w:val="24"/>
        </w:rPr>
        <w:br/>
      </w:r>
      <w:r>
        <w:rPr>
          <w:rFonts w:ascii="Nunito" w:hAnsi="Nunito"/>
          <w:i/>
          <w:sz w:val="24"/>
        </w:rPr>
        <w:t>priyaṃ ca nānṛtaṃ brūyāt eṣa dharmaḥ sanātanaḥ ||</w:t>
      </w:r>
    </w:p>
    <w:p>
      <w:r>
        <w:rPr>
          <w:rFonts w:ascii="Nunito" w:hAnsi="Nunito"/>
          <w:sz w:val="24"/>
        </w:rPr>
        <w:t>Speak the truth, speak pleasantly, do not speak unpleasant truth.</w:t>
      </w:r>
      <w:r>
        <w:rPr>
          <w:rFonts w:ascii="Nunito" w:hAnsi="Nunito"/>
          <w:sz w:val="24"/>
        </w:rPr>
      </w:r>
      <w:r>
        <w:rPr>
          <w:rFonts w:ascii="Nunito" w:hAnsi="Nunito"/>
          <w:sz w:val="24"/>
        </w:rPr>
        <w:br/>
        <w:t>Do not speak pleasant falsehood - this is the eternal dharma.</w:t>
      </w:r>
    </w:p>
    <w:p>
      <w:r>
        <w:rPr>
          <w:rFonts w:ascii="Nunito" w:hAnsi="Nunito"/>
          <w:sz w:val="24"/>
        </w:rPr>
        <w:t xml:space="preserve">— </w:t>
      </w:r>
      <w:r>
        <w:rPr>
          <w:rFonts w:ascii="Nunito" w:hAnsi="Nunito"/>
          <w:i/>
          <w:sz w:val="24"/>
        </w:rPr>
        <w:t>Manusmṛti</w:t>
      </w:r>
      <w:r>
        <w:rPr>
          <w:rFonts w:ascii="Nunito" w:hAnsi="Nunito"/>
          <w:sz w:val="24"/>
        </w:rPr>
        <w:t xml:space="preserve"> 4.138</w:t>
      </w:r>
    </w:p>
    <w:p>
      <w:pPr>
        <w:pStyle w:val="Heading2"/>
        <w:jc w:val="center"/>
      </w:pPr>
      <w:r>
        <w:rPr>
          <w:rFonts w:ascii="Avenir" w:hAnsi="Avenir"/>
          <w:b/>
          <w:sz w:val="24"/>
        </w:rPr>
        <w:t>Authentic Expression in Modern Times</w:t>
      </w:r>
    </w:p>
    <w:p>
      <w:r>
        <w:rPr>
          <w:rFonts w:ascii="Nunito" w:hAnsi="Nunito"/>
          <w:sz w:val="24"/>
        </w:rPr>
        <w:t>The ancient wisdom of speaking truth with kindness remains profoundly relevant in our age of instant communication. How do we balance honesty with compassion? How do we find the courage to be authentic while remaining sensitive to others?</w:t>
      </w:r>
    </w:p>
    <w:p>
      <w:r>
        <w:rPr>
          <w:rFonts w:ascii="Nunito" w:hAnsi="Nunito"/>
          <w:sz w:val="24"/>
        </w:rPr>
        <w:br w:type="page"/>
      </w:r>
    </w:p>
    <w:p>
      <w:pPr>
        <w:pStyle w:val="Heading1"/>
        <w:keepNext/>
        <w:spacing w:before="120" w:after="120"/>
        <w:jc w:val="center"/>
      </w:pPr>
      <w:r>
        <w:rPr>
          <w:rFonts w:ascii="Avenir" w:hAnsi="Avenir"/>
          <w:b/>
          <w:color w:val="BF4F14"/>
          <w:sz w:val="29"/>
        </w:rPr>
        <w:t>Chapter 3: The Temple of Deep Listening</w:t>
      </w:r>
    </w:p>
    <w:p>
      <w:pPr>
        <w:spacing w:before="240" w:after="240"/>
        <w:jc w:val="center"/>
      </w:pPr>
      <w:r>
        <w:rPr>
          <w:rFonts w:ascii="Nunito" w:hAnsi="Nunito"/>
          <w:i/>
          <w:sz w:val="24"/>
        </w:rPr>
        <w:t>śṛṇvantu viśve amṛtasya putrāḥ</w:t>
      </w:r>
      <w:r>
        <w:rPr>
          <w:rFonts w:ascii="Nunito" w:hAnsi="Nunito"/>
          <w:sz w:val="24"/>
        </w:rPr>
        <w:br/>
      </w:r>
      <w:r>
        <w:rPr>
          <w:rFonts w:ascii="Nunito" w:hAnsi="Nunito"/>
          <w:sz w:val="24"/>
        </w:rPr>
        <w:t>Listen, O children of immortality</w:t>
      </w:r>
      <w:r>
        <w:rPr>
          <w:rFonts w:ascii="Nunito" w:hAnsi="Nunito"/>
          <w:sz w:val="24"/>
        </w:rPr>
        <w:br/>
      </w:r>
      <w:r>
        <w:rPr>
          <w:rFonts w:ascii="Nunito" w:hAnsi="Nunito"/>
          <w:i/>
          <w:sz w:val="24"/>
        </w:rPr>
        <w:t>— Śvetāśvatara Upaniṣad 2.5</w:t>
      </w:r>
      <w:r>
        <w:rPr>
          <w:rFonts w:ascii="Nunito" w:hAnsi="Nunito"/>
          <w:sz w:val="24"/>
        </w:rPr>
        <w:br/>
      </w:r>
    </w:p>
    <w:p>
      <w:r>
        <w:rPr>
          <w:rFonts w:ascii="Nunito" w:hAnsi="Nunito"/>
          <w:i/>
          <w:sz w:val="24"/>
        </w:rPr>
        <w:t>śṛṇvantu viśve amṛtasya putrāḥ</w:t>
      </w:r>
    </w:p>
    <w:p>
      <w:r>
        <w:rPr>
          <w:rFonts w:ascii="Nunito" w:hAnsi="Nunito"/>
          <w:sz w:val="24"/>
        </w:rPr>
        <w:t>Listen, O children of immortality</w:t>
      </w:r>
    </w:p>
    <w:p>
      <w:r>
        <w:rPr>
          <w:rFonts w:ascii="Nunito" w:hAnsi="Nunito"/>
          <w:sz w:val="24"/>
        </w:rPr>
        <w:t xml:space="preserve">— </w:t>
      </w:r>
      <w:r>
        <w:rPr>
          <w:rFonts w:ascii="Nunito" w:hAnsi="Nunito"/>
          <w:i/>
          <w:sz w:val="24"/>
        </w:rPr>
        <w:t>Śvetāśvatara Upaniṣad</w:t>
      </w:r>
      <w:r>
        <w:rPr>
          <w:rFonts w:ascii="Nunito" w:hAnsi="Nunito"/>
          <w:sz w:val="24"/>
        </w:rPr>
        <w:t xml:space="preserve"> 2.5</w:t>
      </w:r>
    </w:p>
    <w:p>
      <w:pPr>
        <w:pStyle w:val="Heading2"/>
        <w:jc w:val="center"/>
      </w:pPr>
      <w:r>
        <w:rPr>
          <w:rFonts w:ascii="Avenir" w:hAnsi="Avenir"/>
          <w:b/>
          <w:sz w:val="24"/>
        </w:rPr>
        <w:t>Beyond Words: The Sacred Space of Reception</w:t>
      </w:r>
    </w:p>
    <w:p>
      <w:r>
        <w:rPr>
          <w:rFonts w:ascii="Nunito" w:hAnsi="Nunito"/>
          <w:sz w:val="24"/>
        </w:rPr>
        <w:t>True listening is an act of profound respect. When we truly listen, we create a sacred space where transformation becomes possible. In the Upanishadic tradition, listening (</w:t>
      </w:r>
      <w:r>
        <w:rPr>
          <w:rFonts w:ascii="Nunito" w:hAnsi="Nunito"/>
          <w:i/>
          <w:sz w:val="24"/>
        </w:rPr>
        <w:t>śravaṇa</w:t>
      </w:r>
      <w:r>
        <w:rPr>
          <w:rFonts w:ascii="Nunito" w:hAnsi="Nunito"/>
          <w:sz w:val="24"/>
        </w:rPr>
        <w:t>) is the first step toward wisdom.</w:t>
      </w:r>
    </w:p>
    <w:sectPr w:rsidR="00FC693F" w:rsidRPr="0006063C" w:rsidSect="00034616">
      <w:pgSz w:w="12240" w:h="15840"/>
      <w:pgMar w:top="1094" w:right="863"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