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40" w:line="240" w:lineRule="auto"/>
      </w:pPr>
      <w:r>
        <w:rPr>
          <w:rFonts w:ascii="Calibri" w:hAnsi="Calibri"/>
          <w:b/>
          <w:i w:val="0"/>
          <w:color w:val="DE7013"/>
          <w:sz w:val="20"/>
        </w:rPr>
        <w:t>INSTITUTIONAL BRIEF</w:t>
      </w:r>
    </w:p>
    <w:p>
      <w:pPr>
        <w:keepNext/>
        <w:spacing w:before="0" w:after="60" w:line="240" w:lineRule="auto"/>
      </w:pPr>
      <w:r>
        <w:rPr>
          <w:rFonts w:ascii="Calibri" w:hAnsi="Calibri"/>
          <w:b/>
          <w:i w:val="0"/>
          <w:color w:val="161D24"/>
          <w:sz w:val="54"/>
        </w:rPr>
        <w:t>CTB v4</w:t>
      </w:r>
    </w:p>
    <w:p>
      <w:pPr>
        <w:keepNext/>
        <w:spacing w:before="0" w:after="280" w:line="252" w:lineRule="auto"/>
      </w:pPr>
      <w:r>
        <w:rPr>
          <w:rFonts w:ascii="Calibri" w:hAnsi="Calibri"/>
          <w:b/>
          <w:i w:val="0"/>
          <w:color w:val="1F4D78"/>
          <w:sz w:val="28"/>
        </w:rPr>
        <w:t>A regulated pre-clearing layer for multilateral commodity obligations</w:t>
      </w:r>
    </w:p>
    <w:p>
      <w:pPr>
        <w:keepNext w:val="0"/>
        <w:spacing w:before="0" w:after="60" w:line="264" w:lineRule="auto"/>
      </w:pPr>
      <w:r>
        <w:rPr>
          <w:rFonts w:ascii="Calibri" w:hAnsi="Calibri"/>
          <w:b/>
          <w:i w:val="0"/>
          <w:color w:val="1F4D78"/>
          <w:sz w:val="22"/>
        </w:rPr>
        <w:t xml:space="preserve">Purpose: </w:t>
      </w:r>
      <w:r>
        <w:rPr>
          <w:rFonts w:ascii="Calibri" w:hAnsi="Calibri"/>
          <w:b w:val="0"/>
          <w:i w:val="0"/>
          <w:color w:val="161D24"/>
          <w:sz w:val="22"/>
        </w:rPr>
        <w:t>Measure and remove legally compatible gross settlement before residual payment.</w:t>
      </w:r>
    </w:p>
    <w:p>
      <w:pPr>
        <w:keepNext w:val="0"/>
        <w:spacing w:before="0" w:after="60" w:line="264" w:lineRule="auto"/>
      </w:pPr>
      <w:r>
        <w:rPr>
          <w:rFonts w:ascii="Calibri" w:hAnsi="Calibri"/>
          <w:b/>
          <w:i w:val="0"/>
          <w:color w:val="1F4D78"/>
          <w:sz w:val="22"/>
        </w:rPr>
        <w:t xml:space="preserve">First ask: </w:t>
      </w:r>
      <w:r>
        <w:rPr>
          <w:rFonts w:ascii="Calibri" w:hAnsi="Calibri"/>
          <w:b w:val="0"/>
          <w:i w:val="0"/>
          <w:color w:val="161D24"/>
          <w:sz w:val="22"/>
        </w:rPr>
        <w:t>A 30-minute technical scoping call and permission to test anonymised historical obligations.</w:t>
      </w:r>
    </w:p>
    <w:p>
      <w:pPr>
        <w:keepNext/>
        <w:spacing w:before="320" w:after="160" w:line="240" w:lineRule="auto"/>
      </w:pPr>
      <w:r>
        <w:rPr>
          <w:rFonts w:ascii="Calibri" w:hAnsi="Calibri"/>
          <w:b/>
          <w:i w:val="0"/>
          <w:color w:val="2E74B5"/>
          <w:sz w:val="32"/>
        </w:rPr>
        <w:t>The proposition</w:t>
      </w:r>
    </w:p>
    <w:p>
      <w:pPr>
        <w:keepNext w:val="0"/>
        <w:spacing w:before="0" w:after="120" w:line="264" w:lineRule="auto"/>
      </w:pPr>
      <w:r>
        <w:rPr>
          <w:rFonts w:ascii="Calibri" w:hAnsi="Calibri"/>
          <w:b w:val="0"/>
          <w:i w:val="0"/>
          <w:color w:val="161D24"/>
          <w:sz w:val="22"/>
        </w:rPr>
        <w:t>CTB validates which recurring trade obligations may enter the same netting set, calculates multilateral net positions and links residual settlement to prefunded balances and verifiable commodity title. It does not create a new currency and does not replace banks, CIPS, CBDC or other lawful settlement rails.</w:t>
      </w:r>
    </w:p>
    <w:tbl>
      <w:tblPr>
        <w:tblW w:type="dxa" w:w="9360"/>
        <w:jc w:val="center"/>
        <w:tblLayout w:type="fixed"/>
        <w:tblLook w:firstColumn="1" w:firstRow="1" w:lastColumn="0" w:lastRow="0" w:noHBand="0" w:noVBand="1" w:val="04A0"/>
        <w:tblInd w:w="120" w:type="dxa"/>
      </w:tblPr>
      <w:tblGrid>
        <w:gridCol w:w="2340"/>
        <w:gridCol w:w="2340"/>
        <w:gridCol w:w="2340"/>
        <w:gridCol w:w="2340"/>
      </w:tblGrid>
      <w:tr>
        <w:tc>
          <w:tcPr>
            <w:tcW w:type="dxa" w:w="2340"/>
            <w:tcMar>
              <w:top w:w="80" w:type="dxa"/>
              <w:start w:w="120" w:type="dxa"/>
              <w:bottom w:w="80" w:type="dxa"/>
              <w:end w:w="120" w:type="dxa"/>
            </w:tcMar>
            <w:vAlign w:val="center"/>
            <w:shd w:fill="F2F4F7"/>
          </w:tcPr>
          <w:p>
            <w:pPr>
              <w:keepNext w:val="0"/>
              <w:spacing w:before="0" w:after="40" w:line="240" w:lineRule="auto"/>
            </w:pPr>
            <w:r>
              <w:rPr>
                <w:rFonts w:ascii="Calibri" w:hAnsi="Calibri"/>
                <w:b/>
                <w:i w:val="0"/>
                <w:color w:val="2E74B5"/>
                <w:sz w:val="18"/>
              </w:rPr>
              <w:t>ELIGIBILITY</w:t>
            </w:r>
          </w:p>
          <w:p>
            <w:pPr>
              <w:keepNext w:val="0"/>
              <w:spacing w:before="0" w:after="0" w:line="240" w:lineRule="auto"/>
            </w:pPr>
            <w:r>
              <w:rPr>
                <w:rFonts w:ascii="Calibri" w:hAnsi="Calibri"/>
                <w:b w:val="0"/>
                <w:i w:val="0"/>
                <w:color w:val="161D24"/>
                <w:sz w:val="19"/>
              </w:rPr>
              <w:t>Compatible obligations only</w:t>
            </w:r>
          </w:p>
        </w:tc>
        <w:tc>
          <w:tcPr>
            <w:tcW w:type="dxa" w:w="2340"/>
            <w:tcMar>
              <w:top w:w="80" w:type="dxa"/>
              <w:start w:w="120" w:type="dxa"/>
              <w:bottom w:w="80" w:type="dxa"/>
              <w:end w:w="120" w:type="dxa"/>
            </w:tcMar>
            <w:vAlign w:val="center"/>
            <w:shd w:fill="F2F4F7"/>
          </w:tcPr>
          <w:p>
            <w:pPr>
              <w:keepNext w:val="0"/>
              <w:spacing w:before="0" w:after="40" w:line="240" w:lineRule="auto"/>
            </w:pPr>
            <w:r>
              <w:rPr>
                <w:rFonts w:ascii="Calibri" w:hAnsi="Calibri"/>
                <w:b/>
                <w:i w:val="0"/>
                <w:color w:val="2E74B5"/>
                <w:sz w:val="18"/>
              </w:rPr>
              <w:t>NETTING</w:t>
            </w:r>
          </w:p>
          <w:p>
            <w:pPr>
              <w:keepNext w:val="0"/>
              <w:spacing w:before="0" w:after="0" w:line="240" w:lineRule="auto"/>
            </w:pPr>
            <w:r>
              <w:rPr>
                <w:rFonts w:ascii="Calibri" w:hAnsi="Calibri"/>
                <w:b w:val="0"/>
                <w:i w:val="0"/>
                <w:color w:val="161D24"/>
                <w:sz w:val="19"/>
              </w:rPr>
              <w:t>Residual positions under hard limits</w:t>
            </w:r>
          </w:p>
        </w:tc>
        <w:tc>
          <w:tcPr>
            <w:tcW w:type="dxa" w:w="2340"/>
            <w:tcMar>
              <w:top w:w="80" w:type="dxa"/>
              <w:start w:w="120" w:type="dxa"/>
              <w:bottom w:w="80" w:type="dxa"/>
              <w:end w:w="120" w:type="dxa"/>
            </w:tcMar>
            <w:vAlign w:val="center"/>
            <w:shd w:fill="F2F4F7"/>
          </w:tcPr>
          <w:p>
            <w:pPr>
              <w:keepNext w:val="0"/>
              <w:spacing w:before="0" w:after="40" w:line="240" w:lineRule="auto"/>
            </w:pPr>
            <w:r>
              <w:rPr>
                <w:rFonts w:ascii="Calibri" w:hAnsi="Calibri"/>
                <w:b/>
                <w:i w:val="0"/>
                <w:color w:val="2E74B5"/>
                <w:sz w:val="18"/>
              </w:rPr>
              <w:t>RISK</w:t>
            </w:r>
          </w:p>
          <w:p>
            <w:pPr>
              <w:keepNext w:val="0"/>
              <w:spacing w:before="0" w:after="0" w:line="240" w:lineRule="auto"/>
            </w:pPr>
            <w:r>
              <w:rPr>
                <w:rFonts w:ascii="Calibri" w:hAnsi="Calibri"/>
                <w:b w:val="0"/>
                <w:i w:val="0"/>
                <w:color w:val="161D24"/>
                <w:sz w:val="19"/>
              </w:rPr>
              <w:t>Prefunding, margin and capped waterfall</w:t>
            </w:r>
          </w:p>
        </w:tc>
        <w:tc>
          <w:tcPr>
            <w:tcW w:type="dxa" w:w="2340"/>
            <w:tcMar>
              <w:top w:w="80" w:type="dxa"/>
              <w:start w:w="120" w:type="dxa"/>
              <w:bottom w:w="80" w:type="dxa"/>
              <w:end w:w="120" w:type="dxa"/>
            </w:tcMar>
            <w:vAlign w:val="center"/>
            <w:shd w:fill="F2F4F7"/>
          </w:tcPr>
          <w:p>
            <w:pPr>
              <w:keepNext w:val="0"/>
              <w:spacing w:before="0" w:after="40" w:line="240" w:lineRule="auto"/>
            </w:pPr>
            <w:r>
              <w:rPr>
                <w:rFonts w:ascii="Calibri" w:hAnsi="Calibri"/>
                <w:b/>
                <w:i w:val="0"/>
                <w:color w:val="2E74B5"/>
                <w:sz w:val="18"/>
              </w:rPr>
              <w:t>TITLE</w:t>
            </w:r>
          </w:p>
          <w:p>
            <w:pPr>
              <w:keepNext w:val="0"/>
              <w:spacing w:before="0" w:after="0" w:line="240" w:lineRule="auto"/>
            </w:pPr>
            <w:r>
              <w:rPr>
                <w:rFonts w:ascii="Calibri" w:hAnsi="Calibri"/>
                <w:b w:val="0"/>
                <w:i w:val="0"/>
                <w:color w:val="161D24"/>
                <w:sz w:val="19"/>
              </w:rPr>
              <w:t>ADC only against verified goods or ETR</w:t>
            </w:r>
          </w:p>
        </w:tc>
      </w:tr>
    </w:tbl>
    <w:p>
      <w:pPr>
        <w:keepNext/>
        <w:spacing w:before="320" w:after="160" w:line="240" w:lineRule="auto"/>
      </w:pPr>
      <w:r>
        <w:rPr>
          <w:rFonts w:ascii="Calibri" w:hAnsi="Calibri"/>
          <w:b/>
          <w:i w:val="0"/>
          <w:color w:val="2E74B5"/>
          <w:sz w:val="32"/>
        </w:rPr>
        <w:t>The institutional problem</w:t>
      </w:r>
    </w:p>
    <w:p>
      <w:pPr>
        <w:keepNext w:val="0"/>
        <w:spacing w:before="0" w:after="120" w:line="264" w:lineRule="auto"/>
      </w:pPr>
      <w:r>
        <w:rPr>
          <w:rFonts w:ascii="Calibri" w:hAnsi="Calibri"/>
          <w:b w:val="0"/>
          <w:i w:val="0"/>
          <w:color w:val="161D24"/>
          <w:sz w:val="22"/>
        </w:rPr>
        <w:t>Cross-border commodity trades are often funded and settled as separate gross bilateral obligations. Where three or more recurring participants form a compatible obligation graph, this may create avoidable peak liquidity, repeated transfers, fragmented reconciliation and duplicated title checks. The opportunity is measured on real data; it is not assumed.</w:t>
      </w:r>
    </w:p>
    <w:p>
      <w:pPr>
        <w:keepNext/>
        <w:spacing w:before="320" w:after="160" w:line="240" w:lineRule="auto"/>
      </w:pPr>
      <w:r>
        <w:rPr>
          <w:rFonts w:ascii="Calibri" w:hAnsi="Calibri"/>
          <w:b/>
          <w:i w:val="0"/>
          <w:color w:val="2E74B5"/>
          <w:sz w:val="32"/>
        </w:rPr>
        <w:t>Explicit non-claims</w:t>
      </w:r>
    </w:p>
    <w:p>
      <w:pPr>
        <w:keepNext w:val="0"/>
        <w:spacing w:before="0" w:after="120" w:line="264" w:lineRule="auto"/>
      </w:pPr>
      <w:r>
        <w:rPr>
          <w:rFonts w:ascii="Calibri" w:hAnsi="Calibri"/>
          <w:b w:val="0"/>
          <w:i w:val="0"/>
          <w:color w:val="161D24"/>
          <w:sz w:val="22"/>
        </w:rPr>
        <w:t>No new reserve currency or public token market. No immunity from sanctions, export controls, licensing or applicable law. No claim against future production. No guaranteed fee, settlement time or saving before replay evidence. No regulator-blind anonymity and no autonomous AI decisions.</w:t>
      </w:r>
    </w:p>
    <w:p>
      <w:pPr>
        <w:keepNext/>
        <w:spacing w:before="320" w:after="160" w:line="240" w:lineRule="auto"/>
      </w:pPr>
      <w:r>
        <w:rPr>
          <w:rFonts w:ascii="Calibri" w:hAnsi="Calibri"/>
          <w:b/>
          <w:i w:val="0"/>
          <w:color w:val="2E74B5"/>
          <w:sz w:val="32"/>
        </w:rPr>
        <w:t>Decision requested</w:t>
      </w:r>
    </w:p>
    <w:p>
      <w:pPr>
        <w:keepNext w:val="0"/>
        <w:spacing w:before="0" w:after="120" w:line="264" w:lineRule="auto"/>
      </w:pPr>
      <w:r>
        <w:rPr>
          <w:rFonts w:ascii="Calibri" w:hAnsi="Calibri"/>
          <w:b w:val="0"/>
          <w:i w:val="0"/>
          <w:color w:val="161D24"/>
          <w:sz w:val="22"/>
        </w:rPr>
        <w:t>Nominate one business owner and one risk/legal contact for a scoping call. No confidential data is requested at the first meeting.</w:t>
      </w:r>
    </w:p>
    <w:p>
      <w:r>
        <w:br w:type="page"/>
      </w:r>
    </w:p>
    <w:p>
      <w:pPr>
        <w:keepNext/>
        <w:spacing w:before="160" w:after="40" w:line="240" w:lineRule="auto"/>
      </w:pPr>
      <w:r>
        <w:rPr>
          <w:rFonts w:ascii="Calibri" w:hAnsi="Calibri"/>
          <w:b/>
          <w:i w:val="0"/>
          <w:color w:val="DE7013"/>
          <w:sz w:val="20"/>
        </w:rPr>
        <w:t>EVIDENCE-FIRST ENTRY POINT</w:t>
      </w:r>
    </w:p>
    <w:p>
      <w:pPr>
        <w:keepNext/>
        <w:spacing w:before="0" w:after="100" w:line="240" w:lineRule="auto"/>
      </w:pPr>
      <w:r>
        <w:rPr>
          <w:rFonts w:ascii="Calibri" w:hAnsi="Calibri"/>
          <w:b/>
          <w:i w:val="0"/>
          <w:color w:val="161D24"/>
          <w:sz w:val="44"/>
        </w:rPr>
        <w:t>Historical replay before any live pilot</w:t>
      </w:r>
    </w:p>
    <w:p>
      <w:pPr>
        <w:keepNext w:val="0"/>
        <w:spacing w:before="0" w:after="200" w:line="264" w:lineRule="auto"/>
      </w:pPr>
      <w:r>
        <w:rPr>
          <w:rFonts w:ascii="Calibri" w:hAnsi="Calibri"/>
          <w:b/>
          <w:i w:val="0"/>
          <w:color w:val="161D24"/>
          <w:sz w:val="22"/>
        </w:rPr>
        <w:t>Objective:</w:t>
      </w:r>
      <w:r>
        <w:rPr>
          <w:rFonts w:ascii="Calibri" w:hAnsi="Calibri"/>
          <w:b w:val="0"/>
          <w:i w:val="0"/>
          <w:color w:val="161D24"/>
          <w:sz w:val="22"/>
        </w:rPr>
        <w:t xml:space="preserve"> determine whether a selected corridor contains material, legally compatible multilateral offsets before committing to infrastructure, licensing or live settlement.</w:t>
      </w:r>
    </w:p>
    <w:p>
      <w:pPr>
        <w:keepNext/>
        <w:spacing w:before="320" w:after="160" w:line="240" w:lineRule="auto"/>
      </w:pPr>
      <w:r>
        <w:rPr>
          <w:rFonts w:ascii="Calibri" w:hAnsi="Calibri"/>
          <w:b/>
          <w:i w:val="0"/>
          <w:color w:val="2E74B5"/>
          <w:sz w:val="32"/>
        </w:rPr>
        <w:t>Bounded scope</w:t>
      </w:r>
    </w:p>
    <w:p>
      <w:pPr>
        <w:keepNext w:val="0"/>
        <w:spacing w:before="0" w:after="120" w:line="264" w:lineRule="auto"/>
      </w:pPr>
      <w:r>
        <w:rPr>
          <w:rFonts w:ascii="Calibri" w:hAnsi="Calibri"/>
          <w:b w:val="0"/>
          <w:i w:val="0"/>
          <w:color w:val="161D24"/>
          <w:sz w:val="22"/>
        </w:rPr>
        <w:t>3–7 recurring legal entities; 6–12 months of anonymised or pseudonymised obligations; no live funds, no title transfer and no production deployment. The minimum data describes value, currency, due date, legal entity, governing law, commodity, title/document state and settlement outcome.</w:t>
      </w:r>
    </w:p>
    <w:p>
      <w:pPr>
        <w:keepNext/>
        <w:spacing w:before="320" w:after="160" w:line="240" w:lineRule="auto"/>
      </w:pPr>
      <w:r>
        <w:rPr>
          <w:rFonts w:ascii="Calibri" w:hAnsi="Calibri"/>
          <w:b/>
          <w:i w:val="0"/>
          <w:color w:val="2E74B5"/>
          <w:sz w:val="32"/>
        </w:rPr>
        <w:t>Five work packages</w:t>
      </w:r>
    </w:p>
    <w:tbl>
      <w:tblPr>
        <w:tblW w:type="dxa" w:w="9360"/>
        <w:jc w:val="center"/>
        <w:tblLayout w:type="fixed"/>
        <w:tblLook w:firstColumn="1" w:firstRow="1" w:lastColumn="0" w:lastRow="0" w:noHBand="0" w:noVBand="1" w:val="04A0"/>
        <w:tblInd w:w="120" w:type="dxa"/>
      </w:tblPr>
      <w:tblGrid>
        <w:gridCol w:w="2650"/>
        <w:gridCol w:w="6710"/>
      </w:tblGrid>
      <w:tr>
        <w:tc>
          <w:tcPr>
            <w:tcW w:type="dxa" w:w="2650"/>
            <w:tcMar>
              <w:top w:w="80" w:type="dxa"/>
              <w:start w:w="120" w:type="dxa"/>
              <w:bottom w:w="80" w:type="dxa"/>
              <w:end w:w="120" w:type="dxa"/>
            </w:tcMar>
            <w:vAlign w:val="center"/>
            <w:shd w:fill="F2F4F7"/>
          </w:tcPr>
          <w:p>
            <w:pPr>
              <w:keepNext w:val="0"/>
              <w:spacing w:before="0" w:after="0" w:line="240" w:lineRule="auto"/>
            </w:pPr>
            <w:r>
              <w:rPr>
                <w:rFonts w:ascii="Calibri" w:hAnsi="Calibri"/>
                <w:b/>
                <w:i w:val="0"/>
                <w:color w:val="1F4D78"/>
                <w:sz w:val="19"/>
              </w:rPr>
              <w:t>1  Data and eligibility</w:t>
            </w:r>
          </w:p>
        </w:tc>
        <w:tc>
          <w:tcPr>
            <w:tcW w:type="dxa" w:w="6710"/>
            <w:tcMar>
              <w:top w:w="80" w:type="dxa"/>
              <w:start w:w="120" w:type="dxa"/>
              <w:bottom w:w="80" w:type="dxa"/>
              <w:end w:w="120" w:type="dxa"/>
            </w:tcMar>
            <w:vAlign w:val="center"/>
          </w:tcPr>
          <w:p>
            <w:pPr>
              <w:keepNext w:val="0"/>
              <w:spacing w:before="0" w:after="0" w:line="240" w:lineRule="auto"/>
            </w:pPr>
            <w:r>
              <w:rPr>
                <w:rFonts w:ascii="Calibri" w:hAnsi="Calibri"/>
                <w:b w:val="0"/>
                <w:i w:val="0"/>
                <w:color w:val="161D24"/>
                <w:sz w:val="19"/>
              </w:rPr>
              <w:t>Agree the schema, privacy boundary and exclusion taxonomy. Map legally compatible candidate netting sets.</w:t>
            </w:r>
          </w:p>
        </w:tc>
      </w:tr>
      <w:tr>
        <w:tc>
          <w:tcPr>
            <w:tcW w:type="dxa" w:w="2650"/>
            <w:tcMar>
              <w:top w:w="80" w:type="dxa"/>
              <w:start w:w="120" w:type="dxa"/>
              <w:bottom w:w="80" w:type="dxa"/>
              <w:end w:w="120" w:type="dxa"/>
            </w:tcMar>
            <w:vAlign w:val="center"/>
            <w:shd w:fill="F2F4F7"/>
          </w:tcPr>
          <w:p>
            <w:pPr>
              <w:keepNext w:val="0"/>
              <w:spacing w:before="0" w:after="0" w:line="240" w:lineRule="auto"/>
            </w:pPr>
            <w:r>
              <w:rPr>
                <w:rFonts w:ascii="Calibri" w:hAnsi="Calibri"/>
                <w:b/>
                <w:i w:val="0"/>
                <w:color w:val="1F4D78"/>
                <w:sz w:val="19"/>
              </w:rPr>
              <w:t>2  Gross baseline</w:t>
            </w:r>
          </w:p>
        </w:tc>
        <w:tc>
          <w:tcPr>
            <w:tcW w:type="dxa" w:w="6710"/>
            <w:tcMar>
              <w:top w:w="80" w:type="dxa"/>
              <w:start w:w="120" w:type="dxa"/>
              <w:bottom w:w="80" w:type="dxa"/>
              <w:end w:w="120" w:type="dxa"/>
            </w:tcMar>
            <w:vAlign w:val="center"/>
          </w:tcPr>
          <w:p>
            <w:pPr>
              <w:keepNext w:val="0"/>
              <w:spacing w:before="0" w:after="0" w:line="240" w:lineRule="auto"/>
            </w:pPr>
            <w:r>
              <w:rPr>
                <w:rFonts w:ascii="Calibri" w:hAnsi="Calibri"/>
                <w:b w:val="0"/>
                <w:i w:val="0"/>
                <w:color w:val="161D24"/>
                <w:sz w:val="19"/>
              </w:rPr>
              <w:t>Reconstruct transfer count, value, timing, peak funding, failures and reconciliation effort.</w:t>
            </w:r>
          </w:p>
        </w:tc>
      </w:tr>
      <w:tr>
        <w:tc>
          <w:tcPr>
            <w:tcW w:type="dxa" w:w="2650"/>
            <w:tcMar>
              <w:top w:w="80" w:type="dxa"/>
              <w:start w:w="120" w:type="dxa"/>
              <w:bottom w:w="80" w:type="dxa"/>
              <w:end w:w="120" w:type="dxa"/>
            </w:tcMar>
            <w:vAlign w:val="center"/>
            <w:shd w:fill="F2F4F7"/>
          </w:tcPr>
          <w:p>
            <w:pPr>
              <w:keepNext w:val="0"/>
              <w:spacing w:before="0" w:after="0" w:line="240" w:lineRule="auto"/>
            </w:pPr>
            <w:r>
              <w:rPr>
                <w:rFonts w:ascii="Calibri" w:hAnsi="Calibri"/>
                <w:b/>
                <w:i w:val="0"/>
                <w:color w:val="1F4D78"/>
                <w:sz w:val="19"/>
              </w:rPr>
              <w:t>3  Constrained replay</w:t>
            </w:r>
          </w:p>
        </w:tc>
        <w:tc>
          <w:tcPr>
            <w:tcW w:type="dxa" w:w="6710"/>
            <w:tcMar>
              <w:top w:w="80" w:type="dxa"/>
              <w:start w:w="120" w:type="dxa"/>
              <w:bottom w:w="80" w:type="dxa"/>
              <w:end w:w="120" w:type="dxa"/>
            </w:tcMar>
            <w:vAlign w:val="center"/>
          </w:tcPr>
          <w:p>
            <w:pPr>
              <w:keepNext w:val="0"/>
              <w:spacing w:before="0" w:after="0" w:line="240" w:lineRule="auto"/>
            </w:pPr>
            <w:r>
              <w:rPr>
                <w:rFonts w:ascii="Calibri" w:hAnsi="Calibri"/>
                <w:b w:val="0"/>
                <w:i w:val="0"/>
                <w:color w:val="161D24"/>
                <w:sz w:val="19"/>
              </w:rPr>
              <w:t>Calculate residual positions under actual maturities plus debit, tenor, concentration and participant limits.</w:t>
            </w:r>
          </w:p>
        </w:tc>
      </w:tr>
      <w:tr>
        <w:tc>
          <w:tcPr>
            <w:tcW w:type="dxa" w:w="2650"/>
            <w:tcMar>
              <w:top w:w="80" w:type="dxa"/>
              <w:start w:w="120" w:type="dxa"/>
              <w:bottom w:w="80" w:type="dxa"/>
              <w:end w:w="120" w:type="dxa"/>
            </w:tcMar>
            <w:vAlign w:val="center"/>
            <w:shd w:fill="F2F4F7"/>
          </w:tcPr>
          <w:p>
            <w:pPr>
              <w:keepNext w:val="0"/>
              <w:spacing w:before="0" w:after="0" w:line="240" w:lineRule="auto"/>
            </w:pPr>
            <w:r>
              <w:rPr>
                <w:rFonts w:ascii="Calibri" w:hAnsi="Calibri"/>
                <w:b/>
                <w:i w:val="0"/>
                <w:color w:val="1F4D78"/>
                <w:sz w:val="19"/>
              </w:rPr>
              <w:t>4  Legal and operational screen</w:t>
            </w:r>
          </w:p>
        </w:tc>
        <w:tc>
          <w:tcPr>
            <w:tcW w:type="dxa" w:w="6710"/>
            <w:tcMar>
              <w:top w:w="80" w:type="dxa"/>
              <w:start w:w="120" w:type="dxa"/>
              <w:bottom w:w="80" w:type="dxa"/>
              <w:end w:w="120" w:type="dxa"/>
            </w:tcMar>
            <w:vAlign w:val="center"/>
          </w:tcPr>
          <w:p>
            <w:pPr>
              <w:keepNext w:val="0"/>
              <w:spacing w:before="0" w:after="0" w:line="240" w:lineRule="auto"/>
            </w:pPr>
            <w:r>
              <w:rPr>
                <w:rFonts w:ascii="Calibri" w:hAnsi="Calibri"/>
                <w:b w:val="0"/>
                <w:i w:val="0"/>
                <w:color w:val="161D24"/>
                <w:sz w:val="19"/>
              </w:rPr>
              <w:t>Frame questions on netting, insolvency, title, licensing, tax, AML/CFT, sanctions, data and finality.</w:t>
            </w:r>
          </w:p>
        </w:tc>
      </w:tr>
      <w:tr>
        <w:tc>
          <w:tcPr>
            <w:tcW w:type="dxa" w:w="2650"/>
            <w:tcMar>
              <w:top w:w="80" w:type="dxa"/>
              <w:start w:w="120" w:type="dxa"/>
              <w:bottom w:w="80" w:type="dxa"/>
              <w:end w:w="120" w:type="dxa"/>
            </w:tcMar>
            <w:vAlign w:val="center"/>
            <w:shd w:fill="F2F4F7"/>
          </w:tcPr>
          <w:p>
            <w:pPr>
              <w:keepNext w:val="0"/>
              <w:spacing w:before="0" w:after="0" w:line="240" w:lineRule="auto"/>
            </w:pPr>
            <w:r>
              <w:rPr>
                <w:rFonts w:ascii="Calibri" w:hAnsi="Calibri"/>
                <w:b/>
                <w:i w:val="0"/>
                <w:color w:val="1F4D78"/>
                <w:sz w:val="19"/>
              </w:rPr>
              <w:t>5  Decision pack</w:t>
            </w:r>
          </w:p>
        </w:tc>
        <w:tc>
          <w:tcPr>
            <w:tcW w:type="dxa" w:w="6710"/>
            <w:tcMar>
              <w:top w:w="80" w:type="dxa"/>
              <w:start w:w="120" w:type="dxa"/>
              <w:bottom w:w="80" w:type="dxa"/>
              <w:end w:w="120" w:type="dxa"/>
            </w:tcMar>
            <w:vAlign w:val="center"/>
          </w:tcPr>
          <w:p>
            <w:pPr>
              <w:keepNext w:val="0"/>
              <w:spacing w:before="0" w:after="0" w:line="240" w:lineRule="auto"/>
            </w:pPr>
            <w:r>
              <w:rPr>
                <w:rFonts w:ascii="Calibri" w:hAnsi="Calibri"/>
                <w:b w:val="0"/>
                <w:i w:val="0"/>
                <w:color w:val="161D24"/>
                <w:sz w:val="19"/>
              </w:rPr>
              <w:t>Report measured benefit, exceptions, risk resources, dependencies and a go/no-go recommendation.</w:t>
            </w:r>
          </w:p>
        </w:tc>
      </w:tr>
    </w:tbl>
    <w:p>
      <w:pPr>
        <w:keepNext/>
        <w:spacing w:before="320" w:after="160" w:line="240" w:lineRule="auto"/>
      </w:pPr>
      <w:r>
        <w:rPr>
          <w:rFonts w:ascii="Calibri" w:hAnsi="Calibri"/>
          <w:b/>
          <w:i w:val="0"/>
          <w:color w:val="2E74B5"/>
          <w:sz w:val="32"/>
        </w:rPr>
        <w:t>Core measures</w:t>
      </w:r>
    </w:p>
    <w:p>
      <w:pPr>
        <w:keepNext w:val="0"/>
        <w:spacing w:before="0" w:after="120" w:line="264" w:lineRule="auto"/>
      </w:pPr>
      <w:r>
        <w:rPr>
          <w:rFonts w:ascii="Calibri" w:hAnsi="Calibri"/>
          <w:b w:val="0"/>
          <w:i w:val="0"/>
          <w:color w:val="161D24"/>
          <w:sz w:val="22"/>
        </w:rPr>
        <w:t>Netting ratio; reduction in peak liquidity and transfer count; eligible share of the original graph; concentration and persistent-surplus exposure; legal, title, data and operational exceptions; and total cost after collateral, integration and compliance.</w:t>
      </w:r>
    </w:p>
    <w:p>
      <w:pPr>
        <w:keepNext/>
        <w:spacing w:before="320" w:after="160" w:line="240" w:lineRule="auto"/>
      </w:pPr>
      <w:r>
        <w:rPr>
          <w:rFonts w:ascii="Calibri" w:hAnsi="Calibri"/>
          <w:b/>
          <w:i w:val="0"/>
          <w:color w:val="2E74B5"/>
          <w:sz w:val="32"/>
        </w:rPr>
        <w:t>Go / no-go gate</w:t>
      </w:r>
    </w:p>
    <w:p>
      <w:pPr>
        <w:keepNext w:val="0"/>
        <w:spacing w:before="0" w:after="120" w:line="264" w:lineRule="auto"/>
      </w:pPr>
      <w:r>
        <w:rPr>
          <w:rFonts w:ascii="Calibri" w:hAnsi="Calibri"/>
          <w:b w:val="0"/>
          <w:i w:val="0"/>
          <w:color w:val="161D24"/>
          <w:sz w:val="22"/>
        </w:rPr>
        <w:t>Proceed to shadow mode only if the replay shows material benefit, committed anchor participants, a credible legal route, verifiable title, settlement exits, named risk owners and a sponsor for the next gate. Otherwise stop without sunk infrastructure cost.</w:t>
      </w:r>
    </w:p>
    <w:p>
      <w:pPr>
        <w:keepNext/>
        <w:spacing w:before="320" w:after="160" w:line="240" w:lineRule="auto"/>
      </w:pPr>
      <w:r>
        <w:rPr>
          <w:rFonts w:ascii="Calibri" w:hAnsi="Calibri"/>
          <w:b/>
          <w:i w:val="0"/>
          <w:color w:val="2E74B5"/>
          <w:sz w:val="32"/>
        </w:rPr>
        <w:t>Contact</w:t>
      </w:r>
    </w:p>
    <w:p>
      <w:pPr>
        <w:keepNext w:val="0"/>
        <w:spacing w:before="0" w:after="0" w:line="264" w:lineRule="auto"/>
      </w:pPr>
      <w:r>
        <w:rPr>
          <w:rFonts w:ascii="Calibri" w:hAnsi="Calibri"/>
          <w:b/>
          <w:i w:val="0"/>
          <w:color w:val="161D24"/>
          <w:sz w:val="22"/>
        </w:rPr>
        <w:t>Igor Komkov</w:t>
      </w:r>
      <w:r>
        <w:rPr>
          <w:rFonts w:ascii="Calibri" w:hAnsi="Calibri"/>
          <w:b w:val="0"/>
          <w:i w:val="0"/>
          <w:color w:val="586069"/>
          <w:sz w:val="22"/>
        </w:rPr>
        <w:t xml:space="preserve">  ·  Author, Commodity Clearing Club (CTB)  ·  idkomkov@gmail.com</w:t>
        <w:br/>
      </w:r>
      <w:r>
        <w:rPr>
          <w:rFonts w:ascii="Calibri" w:hAnsi="Calibri"/>
          <w:b w:val="0"/>
          <w:i w:val="0"/>
          <w:color w:val="2E74B5"/>
          <w:sz w:val="22"/>
        </w:rPr>
        <w:t>pointofart.ru/index-en.html  ·  github.com/DigitalGekko77/commodity-settlement-club</w:t>
      </w:r>
    </w:p>
    <w:sectPr w:rsidR="00FC693F" w:rsidRPr="0006063C" w:rsidSect="00034616">
      <w:headerReference w:type="default" r:id="rId9"/>
      <w:footerReference w:type="default" r:id="rId10"/>
      <w:pgSz w:w="12240" w:h="15840"/>
      <w:pgMar w:top="1123"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86069"/>
        <w:sz w:val="18"/>
      </w:rPr>
      <w:t xml:space="preserve">Igor Komkov  ·  pointofart.ru  ·  </w:t>
    </w:r>
    <w:r>
      <w:rPr>
        <w:rFonts w:ascii="Calibri" w:hAnsi="Calibri"/>
        <w:b w:val="0"/>
        <w:i w:val="0"/>
        <w:color w:val="586069"/>
        <w:sz w:val="18"/>
      </w:rPr>
      <w:fldChar w:fldCharType="begin"/>
      <w:instrText xml:space="preserve">PAGE</w:instrText>
      <w:fldChar w:fldCharType="end"/>
    </w:r>
    <w:r>
      <w:rPr>
        <w:rFonts w:ascii="Calibri" w:hAnsi="Calibri"/>
        <w:b w:val="0"/>
        <w:i w:val="0"/>
        <w:color w:val="586069"/>
        <w:sz w:val="18"/>
      </w:rPr>
      <w:t xml:space="preserve"> / </w:t>
    </w:r>
    <w:r>
      <w:rPr>
        <w:rFonts w:ascii="Calibri" w:hAnsi="Calibri"/>
        <w:b w:val="0"/>
        <w:i w:val="0"/>
        <w:color w:val="586069"/>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586069"/>
        <w:sz w:val="18"/>
      </w:rPr>
      <w:t>CTB v4 · INSTITUTIONAL OUTREACH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61D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