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881</w:t>
      </w:r>
    </w:p>
    <w:p>
      <w:r>
        <w:rPr>
          <w:b/>
        </w:rPr>
        <w:t xml:space="preserve">Datum: </w:t>
      </w:r>
      <w:r>
        <w:t>1900-03-03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Herr Widén yttrade, att han förmodade, att motionärerna och reservanterna icke afsåge att med sitt förslag åstadkomma en sådan anordning, hvarigenom, såsom lagutskottet i sitt betänkande yttrat, de små egendomsgemensamheterna skulle upplösas. Med anledning deraf ber jag att få upplysa, att denna förmodan är alldeles rigtig.</w:t>
        <w:br/>
        <w:br/>
        <w:t>Det lagutskottets motiv, som är sjelfva cloun i dess betänkande, nemligen det, att den af motionärerna och reservanterna ifrågasatta anordningen skulle föranleda, »att omyndiges andelar, för att ställas under förvaltningsmyndighetens vård, måste utbrytas ur något affärsföretag eller annan dittillsvarande egendomsgemenskap» — detta skäl vet jag ej hvem det träffar. När det står i lagutskottets betänkande, måste man antaga, att det träffar motionärerna och reservanterna. Inom utskottet anhöll jag att för min del få framhålla, att detta icke alls var förhållandet. Men det svarades: Jo, det är just det vi mena. Under sådana förhållanden kan man icke på något sätt bemöta detta skäl.</w:t>
        <w:br/>
        <w:br/>
        <w:t xml:space="preserve">Jag vill emellertid bedja att få åberopa min egen erfarenhet, som stämmer med herr Widéns. Här i Stockholms förmyndarekammare infordrar man icke, såsom det ifrågasatts att det alltid sker, omyndiges andel i ett lösbo, utan om t ex. en </w:t>
      </w:r>
      <w:r>
        <w:rPr>
          <w:b/>
        </w:rPr>
        <w:t>hustru²</w:t>
      </w:r>
      <w:r>
        <w:rPr>
          <w:b w:val="0"/>
        </w:rPr>
        <w:t xml:space="preserve"> dör och efterlemnar make och omyndiga barn, sker visserligen arfskifte, hvarigenom vissa delar af lösboet utskiftas nominelt på de omyndige,</w:t>
        <w:br/>
        <w:br/>
        <w:t>men dessa belopp infordrar icke förmyndarekammaren i kontanta penningar, utan fadern får utfärda revers derå. Om några år anses denna revers betald genom den uppfostran, som gifvits de omyndige. Då detta anfördes i utskottet, svarades, att det gäller icke på landet, ty der är det ej så mycket fråga om möbler, utan om annan slags lösegendom, såsom grisar och dylikt, och dessa skulle med motionärernas förslag nödvändigtvis behöfva utbrytas. Men hvarför skola de utskiftas mera än möbler? Det förstår jag icke.</w:t>
      </w:r>
    </w:p>
    <w:p>
      <w:pPr>
        <w:pStyle w:val="Heading2"/>
      </w:pPr>
      <w:r>
        <w:t>2. unknown (–, –)</w:t>
      </w:r>
    </w:p>
    <w:p>
      <w:r>
        <w:rPr>
          <w:b w:val="0"/>
        </w:rPr>
        <w:t>Hvarje fråga kan utan tvifvel ses från två synpunkter, och den föreliggande frågan har särskildt för mig stält sig ganska tvifvelaktig. Det kan å ena sidan icke förnekas, att det nuvarande tillståndet i fråga om kontrollen öfver förvaltningen af omyndiges medel är otillfredsställande. Detta har icke heller af någon förnekats. Äfven lagutskottet har erkänt det i sin motivering. Emellertid finnes det, som sagdt, ett par synppunkter, som för mig gjort det ganska tvifvelaktigt, huruvida verkligen ett antagande af reservanternas hemställan kan anses önskligt. Å ena sidan ha vi bänsynen till den mindre afkastning, som skulle uppstå för den händelse, att de omyndiges medel i landsorten skulle insändas till ett för hela landet gemensamt, förvaltande embetsverk här i Stockholm. Det är uppenbart, att om det är fråga om en tillgång på endast några hundra eller tusen kronor, så spelar det en ganska väsentlig roll, i fall dessa medel afkasta t. ex. 6 procent, hvilket de kunna göra, om de placeras i t. ex. inteckningar, eller om de afkasta 4 eller till och med 3!/, procent, som de sannolikt skulle göra, ifall de insattes i ett sådant förvaltande embetsverk. Detta anser jag vara en synpunkt, som är ganska beaktansvärd just med hänsyn till dessa smärre förmynderskap på landet.</w:t>
        <w:br/>
        <w:br/>
        <w:t>Vidare vill jag framhålla en annan synpunkt, nemligen hänsynen till den svårighet, som uppstår för förmyndarne att kunna få ut medlen från ett sådant förvaltande embetsverk — svårigheter, som mycket bero på huru ett dylikt embetsverk kommer att organiseras, och hvilka principer komma att göra sig gällande vid bestämmandet af vilkoren för medlens utlemnande. Vi hafva ju någon erfarenhet om detta här i Stockholm från förmyndarekammaren. Jag vill nu icke påstå, att, så som förmyndarekammaren nu uppfattar sin skyldighet, det möter så synnerligen nämnvärda svårigheter att komma till rätta för förmyndare eller för personer, som blifvit myndiga, då de vilja hafva ut sina medel. Det har dock funnits tillfällen, då det har mött afsevärda svårigheter att komma till rätta med de myndigheter och embetsmän, som man haft att göra med. Jag vill exempelvis nämna, att för några år sedan fans här i förmyndarekammaren en person, som beklädde det så kallade kuratorsembetet och som hade till uppgift att handhafva medel och vara representant för personer, som vistades utrikes eller om hvilka man icke egde kännedom, huruvida de lefde eller ej. Med</w:t>
        <w:br/>
        <w:br/>
        <w:t>denne embetsman var det på sin tid omöjligt att komma till rätta; Angående han lemnade aldrig godvilligt ut några medel, som stodo Under! tvotiningen hans vård; han hade till princip att aldrig göra det, och det förekom af egendom. många fall, då rättegång måste föras för att få ut medlen. (Forts.)</w:t>
        <w:br/>
        <w:br/>
        <w:t>Detta, menar jag, är utan tvifvel en synpunkt, som man behöfver taga hänsyn till när det är fråga om att upprätta ett liknande embetsverk för landsorten, der man icke lika lätt är 1 tillfälle att muntligen hänvända sig till vederbörande embetsmän.</w:t>
        <w:br/>
        <w:br/>
        <w:t xml:space="preserve">En talare på södermanlandsbänken har särskildt framhållit, att lagen stadgar, att om arfvingar vilja lefva i oskiftadt bo, hafva de rättighet att göra det. I Stockholm förekommer det visst icke annorlunda, ansåg han, än att, om förmyndaren och en efterlefvande </w:t>
      </w:r>
      <w:r>
        <w:rPr>
          <w:b/>
        </w:rPr>
        <w:t>maka³</w:t>
      </w:r>
      <w:r>
        <w:rPr>
          <w:b w:val="0"/>
        </w:rPr>
        <w:t xml:space="preserve"> förena sig om att boet skulle vara oskiftadt, förmyndarekammaren vore skyldig att rätta sig derefter. Det beror nog emellertid på, hvilka tillgångar finnas i boet. Finnas sådana tillgångar, som på ett celler annat sätt kunna komma under den rubriken, att de skola brytas ut, får man genast föreläggande från förmyndarekammaren att inleverera dessa medel. Det beror sålunda alldeles på, huru förmyndarekammaren uppfattar sitt uppdrag, på den diskretion, så att säga, den iakttager, att den icke går för långt i infordrandet af rnedel. Jag tror nog, att i allmänhet, när det är fråga om medel som äro insatta i en affär, förmyndarekammaren icke yrkar på att man skall inleverera i denna affär insatta medel för omyndige. Men det kan mycket väl tänkas, att förmyndarekammaren kunde komma med en sådan fordran, och då vore affären utan tvifvel störtad. Jag tror derför, att saken kan ses från två synpunkter och att saken visst icke är så klar, som motionären velat göra den till.</w:t>
        <w:br/>
        <w:br/>
        <w:t>Jag vill fästa mig vid ett par uttalanden, som herr Waldenström hade. Han talade om, att det händt, att en förmyndare uppgifvit, att han haft sin myndlings medel intecknade i en fastighet, och att det sedan befans, att så icke var förhållandet. Men jag vill fästa herr Waldenströms uppmärksamhet på, att der var det således icke fråga om sjelfva förvaltningen, utan just om kontrollen, hvari det brast; och det är ju beträffande kontroll, som utskottet velat få till stånd ett uttalande till regeringen.</w:t>
        <w:br/>
        <w:br/>
        <w:t>Vidare nämnde herr Waldenström, att det mycket beror på, huru gode männen fullgöra sitt uppdrag, samt att det händer, att de mindre väl sköta detsamma. Äfven den anmärkningen drabbar den nuvarande kontrollen öfver förvaltningen. Ty om gode männen verkligen fullgöra sitt uppdrag eller om man vidtager verksamma åtgärder i syfte att ålägga dem att göra sin pligt, så kan man utan tvifvel äfven med de nuvarande förhållandena i fråga om förvaltningen åstadkomma en ganska effektiv och betryggande kontroll öfver förvaltningen.</w:t>
        <w:br/>
        <w:br/>
        <w:t>Jag vill emellertid icke härmed hafva sagt, att det vore någon olycka, om reservanternas förslag skulle antagas, utan att detta</w:t>
        <w:br/>
        <w:br/>
        <w:t>mycket väl kunde gå för sig. Men å andra sidan vill jag frambålla, att jag finner det lämpligare att antaga utskottets förslag; och jag kan alldeles icke finna, att man derigenom skulle så att säga afskära frågan, såsom herr Waldenström trodde. Ty genom den undersökning, som en skrifvelse af det innehåll utskottet föreslagit i saken, skulle åstadkomma, kunde man troligen få en klar uppfattning om hvad som verkligen borde göras för att få en effektiv kontroll till stånd i fråga om förvaltningen af omyndiges medel. |</w:t>
        <w:br/>
        <w:br/>
        <w:t>För visso tror jag, att, om en sådan förvaltningsmyndighet som här ifrågasatts skulle komma till stånd, man måste stadga en gräns nedåt för de belopp af förmyndaremedel, som skulle till denna anstalt inlevereras; ty fordrar man, att småbelopp på några hundra eller något tusental kronor på landet skulle insättas i ett sådant förvaltande embetsverk, så tror jag, att detta skulle stöta på högst väsentliga svårigheter och olägenheter i fråga om dessa mindre förmyndarebelopp. Af denna anledning är min åsigt, att, derest en sådan förvaltande myndighet skulle komma till stånd, man ovilkorligen måste undantaga de mindre förmyndarebeloppen.</w:t>
        <w:br/>
        <w:br/>
        <w:t>Som sagdt, jag har velat framhålla dessa synpunkter, som göra, att frågan för mig ställer sig tvifvelsam. För min del kommer jag, äfven af det skäl, att Första Kammaren troligen kommer att antaga utskottets förslag, att rösta för detta. Ty jag tror, att om frågan nu får falla, skulle detta vara sämre än om man antager utskottets förslag, hvilket enligt mitt förmenande mycket väl kan leda till det mål, som vi alla eftersträfva.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