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w:t>
      </w:r>
    </w:p>
    <w:p>
      <w:r>
        <w:rPr>
          <w:b/>
        </w:rPr>
        <w:t xml:space="preserve">Datum: </w:t>
      </w:r>
      <w:r>
        <w:t>1901-02-19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von Möller (Första kammarens protektionistiska parti, man)</w:t>
      </w:r>
    </w:p>
    <w:p>
      <w:r>
        <w:rPr>
          <w:b w:val="0"/>
        </w:rPr>
        <w:t>I likhet med den föregående talaren ber jag naturligtvis få yrka bifall till utskottets förslag.</w:t>
        <w:br/>
        <w:br/>
        <w:t>Vi hafva nu arbetat i denna lokal sedan klockan 10 — valen till bankofullmägtige började då — och följden har blifvit, att luften i detta rum har blifvit bra tjock och allt annat än helsosam. Hvad skulle man då göra för att tillföra kammaren frisk luft? Jo, naturligtvis öppna fönstren. Dessa fönster äro, som vi se, tredubbla; genom att öppna det ena skaffar man visst icke in någon frisk luft, ty två återstå ännu att öppna. I den föreliggande frågan äro förehållandena enligt min uppfattning ungefär desamma. Jag tror, att det på det kyrkliga området behöfves mera frisk luft på vissa ställen i vårt land, för att ej ateism och indifferentism skola allt för mycket gripa omkring sig. Nu har Andra Kammaren genom bifall till utskottets förslag öppnat det ena fönstret. Det är nu att hoppas, att Första Kammaren skall öppna det andra, och jag tror ej, att vi behöfva frukta för förkylning, då vi veta, hvem väktaren för det tredje fönstret är — kyrkomötet!</w:t>
        <w:br/>
        <w:br/>
        <w:t>Jag vill nämna, att det hufvudsakligen är för att tillgodose vissa trakter af vårt land, som jag yrkar bifall till denna motion.</w:t>
        <w:br/>
        <w:br/>
        <w:t>Det är ej med gladt sinne, jag i dag begärt ordet, ty jag vet, att</w:t>
        <w:br/>
        <w:br/>
        <w:t>hvad jag kommer att säga, kommer att åtminstone obehagligt, om ej smärtsamt beröra en hel del personer, som jag räknar såsom mina vänner och som jag högt värderar. Men deras religiösa åsigter äro så väsentligt olika mot hvad jag sjelf anser klokt och rigtigt och skola dylika åsigter utan gensaga fortfarande få frodas och spridas öfver en stor del af vårt land, så är det min öfvertygelse — och det är derför jag uppträder — att åtminstone en stor del menniskor skola komma att till slut finna allt hvad med religion sammanhänger både tråkigt och löjligt. Mina herrar! när sådana förhållanden äro rådande i vissa delar af vårt land, är det då underligt, att jag uppträder och ber herrarna öppna fönstren för att tillföra dessa landsdelar något mera frisk luft?</w:t>
        <w:br/>
        <w:br/>
        <w:t xml:space="preserve">Jag skall nu gå in på sjelfva saken. Denna fraktion, som jag åsyftar, är den yttersta flygeln af svenska kyrkans höger. Dess medlemmar äro i sitt enskilda lif ovanligt rättrådiga och goda menniskor, och jag högaktar dem ofantligt, men så snart det gäller trossaker, så snart det gäller läran, äro de raka motsatsen, ytterligt ofördragsamma — jag skulle vilja säga fanatiska i vissa fall. Den dogmatiska tvångströja, som de mottagit 1 arf efter sin stiftare, som skänkt rigtningen sitt namn, fordra de skall passa för alla utan åtskilnad och hafva gjort den ännu trängre och sytt in den med både beckad och svaflad tråd. Tolerans anse dessa menniskor ofta liktydigt med feghet och såsom förräderi mot sanningen. Huru god och ädel en menniska än må vara i sitt lif — har </w:t>
      </w:r>
      <w:r>
        <w:rPr>
          <w:b/>
        </w:rPr>
        <w:t>hon²</w:t>
      </w:r>
      <w:r>
        <w:rPr>
          <w:b w:val="0"/>
        </w:rPr>
        <w:t xml:space="preserve"> icke, hvad de kalla »den rena läran», så äro dessa goda egenskaper endast »hedningadygder», som visserligen för detta lifvet kunna vara af betydelse, men som dock icke kunna rädda från fördömelsen i det andra lifvet. De föredraga, att menniskor hålla sig helt och hållet religiöst indifferenta, framför att de skulle omfatta, hvad de kalla en irrlära, och under denna kategori kommer hvarje annan uppfattning, som strider mot deras egen läroform.</w:t>
        <w:br/>
        <w:br/>
        <w:t>Hvad blir följden? Naturligtvis hersklystnad i församlingen, ofördragsamhet mot oliktänkande embetsbröder och åtskilligt bryderi för deras öfverordnade, hvilket af handlingar nogsamt kan bestyrkas.</w:t>
        <w:br/>
        <w:br/>
        <w:t>Det har blifvit sagdt, att unga prestmän redan nu vid universitetet hafva rätt att söka sig in i hvilket stift, de vilja, men tro herrarne, att det blir angenämt för en ung man, som har omfattat en liberalare uppfattning, att söka sig till en sådan landsända? Jag tror, att jag kan säga, att nog blir han hållen ganska varm der och att han ej alltid komme att behandlas med den fördragsamhet, som jag tycker bör vara öfverensstämmande med en kristens pligt.</w:t>
        <w:br/>
        <w:br/>
        <w:t>Jag ber, att få införa några uttalanden och uppfattningar, som äro fullt karakteristiska för hela rigtningen.</w:t>
        <w:br/>
        <w:br/>
        <w:t>För en del år sedan afled en prestman ”), som i hela landet tillvunnit sig både intresse, aktning och sympati. När hans död omnämndes för en till denna rigtning hörande prest, i öfrigt en synnerligen god och rättänkande man, utbrast denne: »den mannens död var ett hugnesamt dödsfall för den svenska kyrkan». Det är hårda ord, helst om en embetsbroder!</w:t>
        <w:br/>
        <w:br/>
        <w:t xml:space="preserve">De hålla mycket strängt på att i allmänhet de kyrkliga ceremonierna skola förrättas inom kyrkans murar. Så t. ex. kyrktagningen och, som bekant, kyrktagas äfven ogifta </w:t>
      </w:r>
      <w:r>
        <w:rPr>
          <w:b/>
        </w:rPr>
        <w:t>mödrar²</w:t>
      </w:r>
      <w:r>
        <w:rPr>
          <w:b w:val="0"/>
        </w:rPr>
        <w:t>. Detta skall ske uti kyrkan, och den stackars qvinnan skall dervid utsättas för församlingens närgångna uppmärksamhet. De förorda vidare, att barn i den spädaste ålder skola döpas i kyrkan. När man säger, att barnen ej tåla vid att tagas ut vintertiden, svaras: »har man någonsin hört, att ett barn tagit skada till sin kropp af att föras till kyrkan». De anse, att de små barnens helsa på något öfvernaturligt sätt preserveras, och det är ju helt förklarligt, att de yrka, att barn skola döpas så fort som möjligt, då de hafva den uppfattningen att evig fördömelse väntar den späda barnasjälen på andra sidan grafven, derest barnet dör odöpt.</w:t>
        <w:br/>
        <w:br/>
        <w:t>"De hålla således sjelfva templet i synnerligen stor helgd, så stor till och med, att kyrkan ej får begagnas till konserter, icke ens andliga sådans. Sådant vore »att oskära det vigda templet». Söndagsskolor äro förbjudna eller anses åtminstone vara ytterst olämpliga. Beträffande fattiggårdar hafva vi ju af tidningarne nyligen sett exempel på, hurusom inom en af kustprovinserna en kommunalstämma hade önskat att få en fattiggård till stånd, hvilket dock bekämpades af en prestman under förklaring, att detta vore en »obiblisk inrättningd; ty »det står ju i bibeln, att vi skola hafva våra fattiga omkring ossl» Så bokstafligt uppfatta dessa prester bibelns ord. Att de vidare äro emot allt slags föreningsväsen utom det kyrkliga området, är ju helt naturligt. Genom tidningarne torde herrarne hafva sig bekant, för hvilka utfall nykerhetsföreningarne från en prestmans sida i en viss stad varit utsatta under det gångna året. Djurskyddsföreningar förklara dessa prester vara ren humbug. Der vid lag kan jag nämna, att jag vid ett tillfälle vände mig till en prest uti denna del af landet med en anhållan, att han ville intressera sig för djurskyddsväsendet och söka taga kännedom om dess mål och sträfvanden, och jag sökte äfven klargöra för honom, att djurskyddssträfvandet endast vore ett humanitärt sträfvande, som ju således borde intressera presterna, liksom ock deras medverkan borde vare att påräkna vid spridandet af kunskap om ett bättre sätt att slagta djuren än det för närvarande allmänt använda. Men hvad för svar tro herrarne jag fick? Jo, att »det moderna djurskyddsväsendet endast är humbug och att menniskan icke blir bättre emot djuren genom att ingå i djurskyddsföreningar eller genom användandet af slagtmask vid deras dödande!»</w:t>
        <w:br/>
        <w:br/>
        <w:t>Jultomtarne hafva på samma sätt icke lyckats finna nåd inför dessa presterliga ögon. Det synes olämpligt att kalla barnen tillsammans för att bland dem utdela nyttiga gåfvor samt bereda dem glädjen att få dansa kring julgranen. Jag har mig till och med bekant en prestman, som nekade att läsa den bön, som vid ett dylikt tillfälle skulle föregå gåfvornas utdelande. Ifrågavarande prestman skänkte i stället barnen tvenne böcker, och jag skall be att ur dem få läsa upp ett par rader, för att herrarne må kunna öfvertyga sig om, huru vida detta verkligen kan anses som lämplig barnliteratur. Den ena boken var »Om en sann kristendom» i barnaoch ynglinga-</w:t>
        <w:br/>
        <w:br/>
        <w:t>åren af J. O. Berggren, och deri det bland annat heter: »kanhända Ifrågasatt är du redan kommen in uti den ynglingahopen, som så larmar i sitt "sträckning a = . . af prestersyndaväsen, att det synes som voro. de rädda, att djeflarne i helvetet "as beforicke skulle höra hur de vinnlägga sig om att blifva dem lika i synd dringsrätt. och ondska. (Forts.)</w:t>
        <w:br/>
        <w:br/>
        <w:t>Frukta icke, den onde tager nog reda derpå och slår sina händer samman af fröjd, när han ser, hur snabbfotad du är i loppet mot hans boning.»</w:t>
        <w:br/>
        <w:br/>
        <w:t>Den andra boken var »En huslig uppbyggelsebok af Roos» i hvilken kanske många goda stycken förekomma, men der finnes dock åtminstone en bön, som synes mig vara synnerligen olämplig för barn att läsa, och jag tycker, att vederbörande prestman åtminstone först hade bort rycka ut detta blad, innan han skänkte boken åt barnen. Med kännedom om barns nyfikenhet och lifliga fantasi bör väl icke hvad slags böcker som belst lemnas uti deras händer. Utaf hänsyn till läktaren anser jag mig icke kunna läsa upp denna bön, Betraktelse på en födelsedag, sid. 159, men jag rekommenderar den i herrarnes åtanke, den iunehåller en fysiologisk afhandling om hvad som tilldrager sig före födelsen.</w:t>
        <w:br/>
        <w:br/>
        <w:t>Nu, mina herrar, skall jag be, eftersom jag anser, att de i tal som skrift äro skäligen enastående och ofördragsamma, att få läsa upp ett och annat utdrag.</w:t>
        <w:br/>
        <w:br/>
        <w:t>Här har jag t. ex. en broschyr: »I söndagsfrågan» af Norborg, prest i Göteborg. Han säger bland annat: »Från en sida söker man häfda både söndagen och dess rätta användning, men vill derjemte inrymma mycket annat, hvartill den också skulle få brukas, såsom förnöjelse uti Guds fria natur, besök å muséer, bevistandet af konserter.&gt; — — — »Flerstädes finner man ock folket i full sysselsättning på skördefälten under Herrens dag — — — liksom icke Gud hade flera solskensdagar att gifva, eller liksom det icke vore menniskans pligt att taga i undergifven lydnad den onda dagen med den goda.» — — — »En liknande nödvändighet har man ock velat göra af den uppblomstrande mejerirörelsens skötande äfven på söndagen, liksom icke Gud nu, såsom fordom i öknen, kunde gifva två dagars bröd om den ena dagen skonades.» Hvad han menar med detta få herrarna vara goda och afgöra sjelfva.</w:t>
        <w:br/>
        <w:br/>
        <w:t>Så heter det vidare: »Att man gör sina resor till eller från staden — — ombesörjer sin post och, hvad som icke är minst söndagsförstörande, läser sina tidningar om söndagarne, aktas numera icke.» — — — »Skaror af arbetare föras tillsammans till åhörande af föredrag och inhemtande af kunskaper i verldsliga ämnen.»</w:t>
        <w:br/>
        <w:br/>
        <w:t>Författaren granskar derefter och ogillar det sätt, hvarpå man använder sin söndag »inom de lärdes studerkamrar, i författarnes och redaktörernes arbetsrum, inom konstnärernas atelierer, på tjenstemännens embetsområden, ja ock på sina tider inom riksdagslokalerna».</w:t>
        <w:br/>
        <w:br/>
        <w:t>Han omnämner derefter, hurusom »man förklarar, att något annat är icke möjligt». »England har dock länge visat hvad som är möjligt och dervid ådagalagt, att Herrens 3:dje bud kan upprätthållas äfven på en materialistisk tid; och Herren har, huru mycket Han ock utan</w:t>
        <w:br/>
        <w:br/>
        <w:t>tvifvel haft emot denna motion, icke låtit den på söndagshelgandet förlora något i lekamligt afseende.»</w:t>
        <w:br/>
        <w:br/>
        <w:t>Jag citerar vidare: »Att söndagen vid ett läger kan sämre användas än till exercis, skall visst icke förnekas; men icke skall man välja ett mindre ondt för att undvika ett större.&gt; Och författaren förklarar, att det icke är genom ett dylikt sabbatsbrott som »de rätta krigarne fostras och välsignade segrar beredas». Ty om exercisen på söndagen säger han, att den är ett »söndagsohelgande, som visst icke är egnadt att draga ned seger ifrån härskarornas Gud, om våra söner en gång måste draga ut mot fienden».</w:t>
        <w:br/>
        <w:br/>
        <w:t xml:space="preserve">Slutligen talar författaren om, hurusom i Tyskland en herre, som heter Kögel, påvisat, »att sjelfmorden stå i ett lika tydligt som fruktansvärdt förhållande till söndagsohelgandet, i det mannen oftast begår sjelfmord i början af arbetsveckan, efter söndagsutsväfningarne och söndagsutgifterna, medan </w:t>
      </w:r>
      <w:r>
        <w:rPr>
          <w:b/>
        </w:rPr>
        <w:t>hustrun²</w:t>
      </w:r>
      <w:r>
        <w:rPr>
          <w:b w:val="0"/>
        </w:rPr>
        <w:t xml:space="preserve"> i de flesta fall bär hand på sig under söndagen».</w:t>
        <w:br/>
        <w:br/>
        <w:t xml:space="preserve">Och vidare: »hvad skall man ändtligen säga om detta mångskiftande, etiskt och religiöst färgade föreningsväsende, som på denna blandningstid starkt florerar bredvid det utbildade verldsväsendet och den fullfjädrade ogudaktigheten, dessa flerfaldiga nykterhetsföreningar, ynglingaoch </w:t>
      </w:r>
      <w:r>
        <w:rPr>
          <w:b/>
        </w:rPr>
        <w:t>jungfruföreningar²</w:t>
      </w:r>
      <w:r>
        <w:rPr>
          <w:b w:val="0"/>
        </w:rPr>
        <w:t>, föreningar för unga män och unga qvinnor och hvad allt de nu heta?» — — — »Man akte blott på dessa många möten, samqväm och föredrag just på söndagarne — — — och man bemärke väl hvad dervid förehafves, särskildt af goodtemplarne, hvilkas kristendom helt och hållet synes gå upp i nykterheten och vara slut med denna.&gt; — — — »De försaka för skenet gudaktighetens kraft; de upplossa Guds bud för sina stadgars skull.&gt; Det är 1 sanning ganska stränga uttryck!</w:t>
        <w:br/>
        <w:br/>
        <w:t>Samma man har skrifvit en annan bok med titeln: »Några ord i likbränningsfrågan, en protest från kyrklig ståndpunkt.» Hans skäl emot likbränningen äro, att man bör uppfatta bibelns mening efter ordalydelsen »vaf jord är du kommen och till jord skall du åter varda». Detta »förutsätter med nödvändighet begrafningen». »För den, hvilken tillägger bibelordet någon betydelse, är denna ursprungliga, gudomliga utsago alldeles afgörande i detta stycke, och han har deri nog, om han än icke egde någon mer anvisning än denna enda. Det blir verkligen allt för mycket sökt att sätta likhetstecken emellan jord och aska.»</w:t>
        <w:br/>
        <w:br/>
        <w:t>Sedan säger författaren, att Gud sjelf vill, att menniskorna skola begrafvas och icke brännas, i det att »begrafningen af Gud sjelf erhållit en handgriplig bekräftelse såsom näppeligen någon annan till utförande genom menniskor bestämd handling, då han, för att i nedlåtande kärlek hedra den trogne Moses, sjelf begrof honom och det så hemligt, att ingen skulle veta hans graf». Jag öfvergår så till författarens tredje och sista skäl emot likbränningen. Han talar om, hurusom man velat deraf, att balsamering är tillåten, härleda ett medgifvande af likbränningens berättigande. Författaren säger emellertid, »att ett sådant uttagande och förstörande af inelfvorna är något, hvaremot från kristlig ståndpunkt svårligen någon grundad invändning kan göras, enär dessa höra till den delen af menniskokroppen,</w:t>
        <w:br/>
        <w:br/>
        <w:t>som icke skall återfås i uppståndelsen». Emellertid aflägsnades i Egypten vid balsamering icke blott inelfvorna, utan äfven den dödes hjerna, men huru det förhåller sig med hjernan, om den också är öfverflödig och »icke skall återfås i uppståndelsen», derom nämner författaren visserligen intet.</w:t>
        <w:br/>
        <w:br/>
        <w:t>Jag skall be att få öfvergå till en annan författare och citera några yttranden äfven af honom. Det är en afhandling om »Ritschlianismen och församlingen eller hedendomen i helgedomen» af E. D. Heiuman. Efter en karakteristik af ritechlianismen säger denne författare:</w:t>
        <w:br/>
        <w:br/>
        <w:t>»Ritschlianismen bjuder kristendomen i en för den oomvända verlden mycket behaglig form, ty alla egentliga trossaker, som äro de egenrättfärdige en förargelse 'och denna verldens visa en galenskap, kastas utan vidare i skräpvrån såsom något, hvarom vi ej behöfva bekymra oss. Den bjuder på ett gladt och friskt lif i denna verlden och dertill en salighet, som vinnes dermed, att Du gör dina pligter och visar menniskokärlek; den är ett denna verldens och de egna gerningarnes evangelium», en ganska sträng dom, då man betänker, att det är hela den moderna rigtningen inom teologien, som omfattar just dessa åsigter.</w:t>
        <w:br/>
        <w:br/>
        <w:t>Författaren fortsätter sin kritik och konstaterar, att »här är en åskådning, som allt igenom är hednisk rationalism och naturalism, inklädd i kristna talesätt. Det är vår tids hedendom, som kär burit frukt med teologisk färg. Församlingslärarens uppgift blir derför icke att fördjupa sig i ritschlska teologiens nedslående och dertill ganska svåråtkomliga sammelsurium af halfsanningar och lögner för att taga reda på de mera betänkliga sidorna, utan han har att möta hela rigtiningen.&gt; Mina herrar, jag ber endast få fästa uppmärksamheten vid ordet lögn — således en osanning, uttalad i afsigt att bedraga och vilseleda! — Han betecknar vidare ritschlianismen såsom en villfarelse, såsom en »mot vår kyrkas tro och bekännelse sig uppresande lära, som är farligare än all hittills framträdd villfarelse, just derför att den på det mest sataniska sätt förskapar sig till en ljusens engel, då den kläder sig i en fullmogen kyrklig bekännelses talesätt». »Gent emot en sådan villfarelse, som dertill nekar Kristi sanna och väsentliga gudom och förvänder all biblisk och kyrklig kristendom, synes mig det enda rätta behandlingssättet vara det, aposteln Johannes — kärlekens apostel — visade mot Cerintus, då han skyndade från den byggnad, der Cerintus uppehöll sig, i fruktan att den skulle nedstörta.» Men hvarför följer författaren då icke aposteln Johannes exempel och skyndar ifrån denna byggnad, om han nu anser den vara så farlig. Må det antagandet dock tillåtas mig, att eftersom det var kärlekens apostel, får man väl hoppas, att denne icke, innan han skyndade bort, oqvädade swna motståndare.</w:t>
        <w:br/>
        <w:br/>
        <w:t>Författaren fortsätter emellertid på följande sätt: »Det är derför bevis på vår kyrkas vanmagt och på vederbörandes flathet, när ritschlianismens alster skola läsas vid våra universitet etc. ... Men der menniskor sitta flata och tiga, der kan det hända, att Gud sjelf sriper in och skipar dom och dermed räddar sin ära, såsom Han en sång gjorde med Eli söner och derförut med Korahs barn t öknen.»</w:t>
        <w:br/>
        <w:br/>
        <w:t>Som herrarne veta, så försvunno Korahs barn i djupet, och det Jär detta öde, som en svensk prestman önskar måtte öfvergå hans teologiska motståndare!! Detta är dock väl starkt, mina herrar, och jag</w:t>
        <w:br/>
        <w:br/>
        <w:t>dringsrätt. hemställer till eder, om man icke på orter, der en sådan intolerans</w:t>
        <w:br/>
        <w:br/>
        <w:t>är rådande, har skäl att önska att få öppna litet på ett fönster och släppa in frisk luft.</w:t>
        <w:br/>
        <w:br/>
        <w:t>Författaren föreslår emellertid, att »alla prestkandidater, som visa sig omfatta denna villfarelse, skulle utestängas från den praktiskteologiska examen och minst af allt skulle de approberas i den högsta teologiska examen, som kan afläggas, teologie licentiatens. »Ritechlianismen är» — så slutar författaren — »det mest klara och konkreta exempel på en förgårdskristendom, sådan den skall framföras af antikrist.»</w:t>
        <w:br/>
        <w:br/>
        <w:t>Mina herrar, jag har nu länge nog tagit eder uppmärksamhet i anspråk, och jag vågar derför icke längre trötta eder med att fortsätta dessa citat; eljest har jag hela luntor af samma slags litteratur till disposition. Det upplästa torde dock vara nog, och jag ber att få vädja till kammaren: har jag orätt, då jag säger, att på dessa trakter väl behöfves någon smula frisk luft, för så vidt icke, åtminstone för mången, den religiösa känslan och tron skola förqväfvas? Ty det är icke nog att predika ordet, utan man får allt lof att predika ordet på ett något så när förståndigt sätt, antager jag. Jag förmoedar ock, att ingen väl kan gerna tycka, att hvad jag här citerat ur fera teologers skrifter vittnar om, att dessa ordets förkunnare handskas med höga och heliga ting på ett fullt korrekt eller klokt sätt.</w:t>
        <w:br/>
        <w:br/>
        <w:t>Det finnes allt väl mycket svafvel i deras predikan, och de göra helvetet bra stort och himmelen bra liten.</w:t>
      </w:r>
    </w:p>
    <w:p>
      <w:pPr>
        <w:pStyle w:val="Heading2"/>
      </w:pPr>
      <w:r>
        <w:t>2. Gottfrid Billing (Första kammarens protektionistiska parti, man)</w:t>
      </w:r>
    </w:p>
    <w:p>
      <w:r>
        <w:rPr>
          <w:b w:val="0"/>
        </w:rPr>
        <w:t>Den siste talarens anförande var väl hufvudsakligen uttryck för talarens önskan att få ett tillfälle att beklaga sig öfver en del saker, som han anser vara beklagansvärda, och hvilka kanske äfven äro det i ett eller annat hänseende, men det var väl icke mycket egnadt till att bevisa gagnet eller nödvändigheten af den här föreslagna förändringen, och under sådana förhållanden anser Jag mig icke heller pligtig eller uppfordrad till att ingå uti någon undersökning eller något besvarande utaf det, som han anfört.</w:t>
        <w:br/>
        <w:br/>
        <w:t>Deremot synes mig den fråga, som här föreligger vara utaf en mycket stor och vidt omkring sig gripande betydelse, och jag har derför begärt ordet för att få anföra mina skäl, hvarför jag med den allra lifligaste öfvertygelse yrkar afslag såväl å lagutskottets betänkande som äfven å herr Tryggers reservation, hvilken i så måtto innehåller detsamma som lagutskottets förslag, att den ger ett slags erkännande i princip åt det, som lagutskottet strax vill hafva fastslaget.</w:t>
        <w:br/>
        <w:br/>
        <w:t>Man har som skäl för den här föreslagna förändringen anfört — något, som också af försvararne af lagutskottets mening här i dag under diskussionen framdragits — att derigenom skulle dels prestbristen minskas, dels bättre befordringsmöjligheter vinnas för presterna, och dels slutligen erhållas en önskvärd likformighet i befordringsrätten för prester och för andra tjenstemän. Hvad först beträffar</w:t>
        <w:br/>
        <w:br/>
        <w:t>prestbristen i den mening, hvarom här är tal, eller att större brist Ifrågasatt skulle vara i det ena stiftet än i det andra, tror jag mig hafva någon "CE prester” erfarenhet i detta stycke, enär jag under 20 år och något deröfver då befor: har haft till uppgift att i olika stift anordna den, hvad vi kalla, dringsrätt. ecklesiastika missiveringen, och jag kan då säga, att den här om- = (Forts. nämnda prestbristen alls icke eller åtminstone uti en synnerligen minimal mån beröres af det här ifrågavarande förhållandet. Om herrarne vore inne uti, huru det går till vid anställandet af de extra ordinarie presterna, så skulle herrarne förvåna sig öfver, att prestbristen icke oftare förmärkes, än den gör. Det är nemligen enligt gällande lag så, att vi icke hafva rätt att prestviga de unga prestkandidaterna och anställa dem som extra utan tjenstgöring; utan alla, som prestvigas inom ett stift, skola hafva en bestämd tjenstgöring sig anvisad af domkapitlet. På detta område gäller alltså icke detsamma som uti embetsverken, der man har en del extra ordinarier, som gå och vänta på arbete, och som inkallas i tjenstgöring, då de behöfvas. Vi få, som sagdt, icke viga en enda, så vida vi icke kunna gifva honom en bestämd anvisning på tjenstgöring. Hvad följer derutaf? Jo, att man uti ett stift egentligen icke kan hafva eller bör hafva en enda extra ordinarie prestman för mycket eller en enda för litet; hvilketdera som helst vållar stora olägenheter. Det är förunderligt, att det går så bra, som det gör, ehuru under nuvarande förhållanden det ju icke behöfs mer, än att en kyrkoherde blir sjuk, för att man icke skulle hafva någon att sätta i hans ställe. Den prestbrist, som tid efter annan yppar sig, beror således mycket mera på gällande lag om prestvigning än derpå, att de unga prestkandidaterna önska gå in i ett stift och icke uti ett annat. Det beror äfven på andra förhållanden, om till exempel det ena stiftet får flere prester, än det behöfver, och ett annat får mindre, och förhållandena härvid kunna mycket vexla under olika tider. Det stift, som anses vara det fördelaktigaste, är Lunds stift, och då jag ju väl har reda på förhållandena der, får jag säga, att uti de stift, jag känner till, aldrig någonsin varit rådande en sådan prestbrist som uti Lunds stift under de sista åren; men det beror alls icke på, hvad som af lagutskottet blifvit antydt.</w:t>
        <w:br/>
        <w:br/>
        <w:t>Genom de här föreslagna förändringarne skulle befordringsmöjligheterna för presterskapet i allmänhet icke blifva flere och större. Dessa möjligheter bero naturligtvis på proportionen mellan antalet ordinarie platser och antalet af extra ordinarie prestmän.</w:t>
        <w:br/>
        <w:br/>
        <w:t>Om vi emellertid nu släppa lös ansökningsrätten, hvad skulle följden deraf då blifva? Det skulle icke blifva flere befordringsmöjligheter för presterskapet i det hela, men befordringsmöjligheterna skulle blifva osäkrare, ty en prest, som ville vinna befordran, skulle då få räkna med faktorer från hela landet, då deremot nu den obefordrade prestmannen inom sitt särskilda stift med någorlunda säkerhet kan beräkna, när befordringsmöjlighet skall yppa sig för honom. Den här föreslagna förändringen skulle endast medföra en större osäkerhet i beräkningen.</w:t>
        <w:br/>
        <w:br/>
        <w:t>Det, som, enligt hvad jag förmodar, anses som det starkaste skälet,</w:t>
        <w:br/>
        <w:br/>
        <w:t>som anförts till förmån för den önskade förändringen, är, att man</w:t>
        <w:br/>
        <w:br/>
        <w:t>skulle få likformighet uti reglerna för presternas befordran och för</w:t>
        <w:br/>
        <w:br/>
        <w:t>utsträckning andra tjenstemän. När Jag hört detta framställas muntligen, eller då</w:t>
        <w:br/>
        <w:br/>
        <w:t>af presternas befordringsrätt. (Forts)</w:t>
        <w:br/>
        <w:br/>
        <w:t>jag läst om det i betänkandet, har jag icke kunnat undgå att tänka på, hvilken förunderlig magt abstraktionen har öfver menniskor, och huru som abstrakta satser hafva en märklig förmåga att göra intryck på folk. De utöfva ett nästan hypnotiskt inflytande på personer, och detta visst icke blott på lärde och filosofer, utan det är min erfarenhet, att detta gäller ännu mer om praktiskt folk, som i allmänhet icke i sitt lif sysselsätta sig med abstrakta saker. När sådant folk af en eller annan anledning får blicken rigtad på en abstrakt sats, har denna, som sagdt, på dem en nästan hypnotisk verkan, så att de börja tro, att i den ligger någon alldeles särskild visdom, och de fråga icke efter eller vilja ej göra sig besvär att undersöka de abstrakta satsernas innanmäte. Så är det nu också bär. Det låter ju i första taget, som om det vore mycken reson uti, att befordringslagarne skola vara desamma för alla slags tjenstemän. Men, mina herrar, låtom oss tänka efter, om detta verkligen vore så önskvärdt. Jag för min del dristar i det fallet göra ett alldeles motsatt påstående och säger, att det vore i hög grad önskvärdt, icke att befordringslagarne för tjenstemän 1 allmänhet vore desamma, utan att de modifierades och förändrades allt efter de olika embetenas art och natur. Eller anse herrarne verkligen, att det i princip skulle vara rigtigt och önskligt, att befordringssättet för en tjensteman uti ett centralt embetsverk, till exempel för en statskommissarie i statskontoret, skulle vara detsamma som för befordran till kyrkoherde, då dock dessa embeten till sin natur äro af så ofantligt olika art? Det synes mig rent utaf ligga i sakens natur, att det är önskvärdt, att befordringssättet icke vore ett och detsamma mekaniska, utan att det borde lämpas efter de olika embetenas särskilda natur, och att, der embetet är af det slag, att personligheten der gör sig på ett synnerligen framträdande sätt gällande, befordringssättet icke bör vara detsamma, som då det gäller ett embete, vid hvars utöfvande personligheten så mycket som möjligt träder tillbaka.</w:t>
        <w:br/>
        <w:br/>
        <w:t>Vidare få väl herrarne också medgifva — ja, jag tviflar icke alls på, att herrarne medgifva det, men jag ber dock att särskildt få fästa uppmärksamheten derpå -— att, om till stöd för en sådan för-</w:t>
        <w:br/>
        <w:br/>
        <w:t>ändring som den nu ifrågasatta åberopas, att det bör vara en likformig befordringsrätt för prester och för andra tjenstemän, och mean derför vill genomföra en sådan likformighet, man icke får genomföra denna likformighet uti en enda punkt och låta olikformigheten stå qvar i de andra punkterna. Om lagutskottet verkligen vill införa likformighet i afseende på presternas befordringsrätt och andra tjenstemäns, icke i en punkt, utan i alla dermed sammanhängande punkter, då kunna vi börja resonnera om saken, men som förslaget nu föreligger, är det fråga om att införa likformighet på en punkt och bibehålla olikformigheten på alla andra, alltså att förena med hvarandra bestämmelser, som gå i de mest olika rigtningar och derför äro i sig oförenliga.</w:t>
        <w:br/>
        <w:br/>
        <w:t>Nu är det också verkligen lyckligtvis i vårt land så, att det icke finnes likformighet i sättet för befordran till de olika embetena, utan det fins en ganska stor variation i detta hänseende; och det är</w:t>
        <w:br/>
        <w:br/>
        <w:t>så långt ifrån, att lagutskottet skulle hafva rätt uti, att hvad det här förordar skulle gälla öfver allt annorstädes i vår embetsverld, att det” tvärt om icke finnes något område, hvarest förhållandena för öfrigt äro likartade med dem på de presterliga befordringarnes område, der det går så till, som här är föreslaget. Jaz skulle kunna taga flera exempel, men jag vill hålla mig till ett område, som är mest likartadt, nemligen det militära. Det är mest likartadt med det presterliga i så måtto, att den unge militären har befordringsmöjligheter i de lägre graderna endast inom det regemente, vid hvilket han gått in. Sedan kommer regementsofficersgraden, och der begynner rörligheten. — Detsamma gäller också på det ecklesiastika befordringsområdet.</w:t>
        <w:br/>
        <w:br/>
        <w:t>Men, mina herrar, om vi nu skulle öfvergå från de abstrakta satserna i lagutskottets betänkande till de konkreta förhållandena, så skulle jag be att få fästa uppmärksamheten vid en eller annan punkt.</w:t>
        <w:br/>
        <w:br/>
        <w:t xml:space="preserve">Då den presterliga befordringen ju kan sägas dela sig i tre akter: ansökning, förslagssättning, prof och val, så låtom oss nu tänka oss, huru det skulle ställa sig först i afseende å ansökningen, om ansökningsrätten vore allmän. Flertalet i denna kammare har kanske varit i den lyckliga belägenhet, att de aldrig behöft göra ansökningar till någon tjenst. Flertalet af herrarne har icke varit, är icke och ämnar icke blifva embetsmän, och herrarne kunna derför icke fullt sentera hvad jag nu vill säga. Men jag tror nog, att herrarne dock skola förstå, om jag säger, att det framkallar en ganska känbar oro hos en menniska, då </w:t>
      </w:r>
      <w:r>
        <w:rPr>
          <w:b/>
        </w:rPr>
        <w:t>hon²</w:t>
      </w:r>
      <w:r>
        <w:rPr>
          <w:b w:val="0"/>
        </w:rPr>
        <w:t xml:space="preserve"> begynner att undersöka, om </w:t>
      </w:r>
      <w:r>
        <w:rPr>
          <w:b/>
        </w:rPr>
        <w:t>hon²</w:t>
      </w:r>
      <w:r>
        <w:rPr>
          <w:b w:val="0"/>
        </w:rPr>
        <w:t xml:space="preserve"> skall söka en plats eller om </w:t>
      </w:r>
      <w:r>
        <w:rPr>
          <w:b/>
        </w:rPr>
        <w:t>hon²</w:t>
      </w:r>
      <w:r>
        <w:rPr>
          <w:b w:val="0"/>
        </w:rPr>
        <w:t xml:space="preserve"> icke skall söka den, då </w:t>
      </w:r>
      <w:r>
        <w:rPr>
          <w:b/>
        </w:rPr>
        <w:t>hon²</w:t>
      </w:r>
      <w:r>
        <w:rPr>
          <w:b w:val="0"/>
        </w:rPr>
        <w:t xml:space="preserve"> skall räkna med möjligheten att lyckas och möjligheten att misslyckas. Den tid, man använder på sådana beräkningar och för att taga reda på de särskilda förhållandena vid den tjenst, man söker, är hvarken den behagligaste eller den helsosammaste tid. Låtom oss nu tänka oss, att presterna i hela vårt land skulle med uppmärksamhet följa alla dylika förhållanden, söka skaffa sig notiser, läsa i tidningarna och på annat sätt skaffa sig underrättelser om, huru det är stäldt med den eller den kyrkoherdetjensten eller komministraturen, och räkna med möjligheter eller omöjligheter att få den eller den — skulle icke detta hos medlemmarna af vårt presterskap framkalla en nervös oro, hvilken jag för min del åtminstone skulle vilja bespara dem; och jag tror, att herrarne litet hvar skola sentera, att det icke kan vara helsosamt att införa en sådan ordning? Det är mindre farligt att införa en sådan 1 afseende å tjenstemannaklasser, som i sin helhet bestå af kanhända 50 personer, men kommer man till tjenstemannaklasser, som bestå af 3,000 tjenstemän, då har det mera att betyda.</w:t>
        <w:br/>
        <w:br/>
        <w:t>Så komma vi till sjelfva proceduren vid förslagssättningen. Om utskottets förslag godkännes, måste åtminstone hela vår befordringslag förändras. Ty med dess nuvarande lydelse är förslaget så godt som outförbart, Der står nu, om vi slå upp 5 och 6 $$ i lagen angående tillsättning af presterliga tjenster — det är blott några formella svårigheter, som jag nu talar om — följande i 5 $: »Prest må ej, medan han innehar förslag till presterlig tjenst, eller medan besvär, som han anfört öfver dylikt förslag, äro oafgjorda, uppföras på</w:t>
        <w:br/>
        <w:br/>
        <w:t>förslag till annan presterlig tjenst.»&gt; Huru skulle domkapitlen kunna</w:t>
        <w:br/>
        <w:br/>
        <w:t>utsträckning hålla reda på, om dessa personer i alla rikets stift hafva ansökningar</w:t>
        <w:br/>
        <w:br/>
        <w:t>inne på annat håll? Vidare måste man enligt 6 $, om man är kyrkoherde, hafva varit detta vid sitt innehafvande pastorat en viss tid, innan man får söka ett annat pastorat. Redan att öfvervaka detta skulle vålla en sådan mängd formella svårigheter, att man redan derför kan ställa sig betänksam emot den föreslagna förändringen. Men låtom oss nu vända oss till den paragraf, som handlar om, huru man skail upprätta förslag till presterlig tjenst. I den står det: »sedan de sökandes behörighet till den lediga tjensten blifvit pröfvad, uppföre domkapitlet bland dem, som förklarats behörige, på förslaget tre, efter som de framför andre och sins emellan finnas i förtjenst och skicklighet ega företräde; och bör dervid tagas i betraktande så väl det nit, det allvar och den skicklighet, hvarmed sökande skött det kall, honom i kyrkans och läroverkens tjenst dittills varit anförtrodt, jemte hans tjenstålder, som ock hans genom examina, utgifna skrifter eller annorledes offentligen ådagalagda lärdom i teologiska ämnen». Det finnes således tre befordringsgrunder enligt vår nu gällande lag. Den första kan jag kalla den personliga, sjelfva personens allvar och skicklighet i tjensten, den andra är tjensteåldern, den tredje lärdomsmeriterna. Det har varit en ganska långvarig strid, innan man kommit derhän, att man fått i första rummet sätta såsom befordringsgrund dessa personliga egenskaper, och innan man fått till andra rummet skjuta undan det, som konstateras genom papper och räknas med addition; och jag tror icke, att det är någon af herrarne, som bestrider, att det är önskvärdt, att man håller fast vid detta, att dessa personliga egenskaper, den personliga dugligheten, den personliga lämpligheten för den sökta platsen, få göra sig gällande vid upprättandet af förslaget. Detta har ju framhållits och med allt skäl framhållits såsom i högsta grad önskvärdt för församlingarnes bästa. Men om nu det, som man här föreslagit, skulle införas, då måste nödvändigt denna befordringsgrund skjutas tillbaka, om icke alldeles falla undan. Ty det är icke möjligt för ett domkapitel i ena ändan af landet att kunna hafva en personlig kännedom om de personliga qvalifikationerna hos sökande från den andra ändan af landet, utan skall man då upprätta ett förslag, så måste man upprätta förslaget efter det enda, som man kan känna, och det är meriter, som äro upptagna i ansökningshandlingarna. Ett införande af den ordning, som här nu förordas af lagutskottet, skulle således med nödvändighet leda till ett nedsjunkande i den mekaniskhet i befordringssättet 1 afseende å förslagens upprättande, från hvilken man ville komma genom 1883 års lag. Nu hänvisar visserligen lagutskottet, som icke kunnat undgå att känna, att det ligger någonting i detta, till en utväg, som jag för min del dock måste anse såsom den sämsta och som jag under inga förhållanden skulle vilja rekommendera. Det säger, att domkapitlet kan fråga under hand och fråga den eller den. Mina herrar, är det skäl att vara med om en förändring, som skall försvaras på det sättet, att man hänvisas till att under hand lyssna till hvad man säger på det ena eller andra hållet?</w:t>
        <w:br/>
        <w:br/>
        <w:t>Slutligen kommer jag då till den sista akten, nemligen profvet Ifrågasatt och valet. Ja, skall den föreslagna lagen hafva någon effekt, så "fr rst skulle den medföra, att presterna skulle få göra långa profresor hit as beforoch dit, rundt omkring i landet. Det kan icke vara nyttigt för dem, dringsrätt. tror jag. Det medför olägenheter för dem sjelfva, och det medför = (Forts.) någonting värre, det medför en fara att uppföda eller framkalla ett slags prester, som jag hoppas, att vi dock skola slippa att få se, prester, som jag med ett kändt namn skulle vilja kalla profresande. Nej, mina herrar, jag vill icke göra våra prester till profryttare, som på detta sätt resa från det ena stället till det andra. Det kan passa för en eller annan, men för de flesta och bästa presterna passar det icke att resa omkring och profva, och det skulle medföra en alldeles bestämd försämring af vårt svenska presterskap, om man införde en sådan ordning.</w:t>
        <w:br/>
        <w:br/>
        <w:t>Så kommer slutligen valet. Hvad skola våra församlingar välja efter? Ja, det blir naturligtvis närmast efter sjelfva profvet, och jag vill visst icke neka, att sjelfva profvet har sitt värde. Men det är icke det enda, som har värde i fråga om tillsättning af presterliga befattningar, och icke heller det, som har det största värdet. Ty det kan nog hända, att en prest kan aflägga ett ganska framstående prof, i synnerhet om han har en vacker sångröst eller eljest så kallade goda utförsgåfvor. Sådant kan ju också hafva sitt värde, men församlingen bör vid valet icke blott rätta sig efter sådana, vid första mötetigenkänliga egenskaper, utan den bör besinna, att presten har mycket annat att göra än det, hvarpå han aflagt prof. Derför bör församlingen så mycket som möjligt försöka att välja den, som kan i alla afseenden vara församlingen till nytta och välsignelse. Det försöka nog också våra församlingar att göra så godt de kunna och så godt de förstå. Detta är också någorlunda möjligt, när man får inskränka sina undersökningar till ett stift, der den ena församlingen står i så nära beröring med den andra.</w:t>
        <w:br/>
        <w:br/>
        <w:t>Slutligen ber jag att få fästa uppmärksamheten derpå, att — och det hänger nära tillsammans med det sista, jag sade — en prests verksamhet till gagn och välsignelse för församlingen beror icke blott på, huru han predikar, utan den beror på, huru vida han kan i det stora hela icke blott i det kyrkliga, utan i alla lifvets förhållanden känna med församlingen dess glädje och sorg, och på sådant sätt verkligen blifva en församlings hjelpare och far. Men för att kunna blifva detta, behöfveg icke blott att hafva tagit sin examen, utan det fordras framför allt att hafva ett så vidt möjligt likartadt åskådningssätt och hafva ungefär samma lifserfarenheter som den församling, som han skall betjena. Men lifserfarenheten är sammanväfd af tusentals trådar, och den ena tråden är färgad på ett annat sätt än den andra, den ena tråden är spunnen på ett annat sätt än den andra. Har jag lefvat hela min ungdom, hela mitt lif på en ort — den ortens lifserfarenhet är jag på annat sätt skickad att förstå, dess församlingar kan jag på annat sätt betjena än de församlingar, som lefva under helt andra förhållanden. Det är derför i allmänhet icke önskvärdt, att man gör presterna ambulerande från den ena orten till den andra, från norr till söder, och att man på det sättet får i våra</w:t>
        <w:br/>
        <w:br/>
        <w:t>en alldeles olika lifserfarenhet med de församlingar, som de skola betjena. Jag anser det föreliggande förslaget så långt ifrån värdt bifail, att jag skulle anse det som en verklig olycka, om det här blefve bifallet. Jag yrkar afslag å lagutskottets betänkande.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