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901</w:t>
      </w:r>
    </w:p>
    <w:p>
      <w:r>
        <w:rPr>
          <w:b/>
        </w:rPr>
        <w:t xml:space="preserve">Datum: </w:t>
      </w:r>
      <w:r>
        <w:t>1902-01-16</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Louis Palander (–, man)</w:t>
      </w:r>
    </w:p>
    <w:p>
      <w:r>
        <w:rPr>
          <w:b w:val="0"/>
        </w:rPr>
        <w:t>Herr grefve och talman, mina herrar! En ärad representant för Norrköping har haft några erinringar att göra mot en del af förslagen under femte hufvudtiteln. Han började med första punkten under rubriken extra ordinarie anslag, der det gäller införandet af en ny pansarkryssare bland svenska flottans materiel. Den ärade talaren erkände till fullo rigtigheten af de motiv, som äro framlagda för Riksdagen för att införa en sådan fartygstyp, men han ansåg, att tiden derför icke ännu vore inne, utan att man borde dröja dermed till nästa år. Han åberopade dervid såsom skäl, att det istatsregleringen för år 1903 vore upptaget ett anslag till en half pansarbåt.</w:t>
        <w:br/>
        <w:br/>
        <w:t>Jag ber nu att få erinra om att man visserligen afser att införa en ny typ, men detta innebär icke i egentlig bemärkelse någon ökning i det program, som är framlagdt för flottans nybyggnad och som skall vara genomfördt 1912. Förslaget har framkommit derför, att de nuvarande öfningskorvetterna, de gamla träkorvetterna, börja blifva förslitna, deras skrof dåliga och derför att deras reparationer kosta mycket pengar. Jag tror derför, att det är nödvändigt att redan nu ersätta dessa träkorvetter med ett modernt krigsfartyg, som på samma gång skulle kunna tjenstgöra som öfningsfartyg. Det gäller således icke en ökning i nybyggnadsprogrammet, utan anskaffandet af ett fartyg till ersättning för de nuvarande öfningsfartygen, hvilka måste förslitas förr eller senare. Vi se af den kongl. propositionen, att det kommer att draga en tid af 3 år, innan ett sådant öfningsfartyg blir färdigt. Om 3 år vet jag icke, huru den gamla korvetten Balder, som gjorde sin första expedition år 1872, kommer att se ut. Det är derför alldeles nödvändigt, anser jag, att redan nu se till, att vi få någon ersättning för de gamla öfningsfartygen,</w:t>
        <w:br/>
        <w:br/>
        <w:t xml:space="preserve">Hvad beträffar anskaffandet af ett nytt öfningsfartyg för skeppsgossar, för hvilket ändamål nu begäres hälften af den erforderliga summan, eller 105,000 kr., så invände den ärade talaren, att det ej vore lämpligt att komma fram med denna proposition nu, då man kunde tänka sig, att Saga och Freja i en framtid i stället skulle kunna användas såsom öfningsfartyg för skeppsgossar. Saga och Freja kunna nog mycket rigtigt användas såsom sådana öfningsfartyg, men det är att märka, att de äro afsedda för fullvuxet folk. På Saga finnas visserligen sjökadetter, för hvilka </w:t>
      </w:r>
      <w:r>
        <w:rPr>
          <w:b/>
        </w:rPr>
        <w:t>hon²</w:t>
      </w:r>
      <w:r>
        <w:rPr>
          <w:b w:val="0"/>
        </w:rPr>
        <w:t xml:space="preserve"> också är byggd såsom öfningsfartyg, men de få och kunna endast handtera den minsta masten, aktermasten, som är lättare iän de öfriga. De större och tyngre</w:t>
        <w:br/>
        <w:br/>
        <w:t>masternas rigg och segel orka kadetterna icke sköta. Att sålunda uteslutande bemanna sådana fartyg som Saga och Freja med skeppsgossar i en ålder af 14, 15—18 år torde derför ej vara lämpligt. De kunna ej orka manövrera den för dem mycket för tunga materielen. Jag ber att i detta sammanhang få erinra herrarne om att, då briggen Gladan för 10—15 år sedan — den användes nemligen förut såsom lastbrigg — förvandlades till öfningsfartyg för skeppsgossarne, ansågs den då vara för tung för pojkarne, ehuru det sedermera visserligen visat sig, att den farhågan var ogrundad. Jag tror dock det oaktadt, att det är nödvändigt, att vi få ett fartyg, som är lämpadt efter gossarnes storlek och krafter.</w:t>
        <w:br/>
        <w:br/>
        <w:t>Den ärade talaren hade vidare en erinran att göra angående de transportmedel, särskildt kolpråmarne, för hvilkas anskaffande anslag i år äskas af Riksdagen. Dervid sade den ärade talaren, att högste befälhafvaren för 1898 års kusteskader hade framhållit, att man kunde använda äldre utrangerade fartyg från flottan såsom kolpråmar ; exempelvis framböll han, att första klassens kanonbåtar skulle för det ändamålet kunna användas, då man redan från och med år 1902 skulle utrangera en sådan om året. Det är mycket rigtigt, att detta var den ursprungliga planen, men dess bättre hafva de nämnda båtarne dels visat sig vara uthålligare än man tänkt sig — tack vare, antar jag, det goda svenska stålet och jernet i dem — dels hafva vi fått en hel del andra ändamål för att använda dem. Jag vill exempelvis nämna, att då Riksdagen i fjol beviljat medel till ett ballongfartyg, så kommer nu sannolikt en af kanonbåtarne att användas — icke såsom ballongfartyg, men för att bogsera ballongfartyget. Vi hafva äfven åtskilliga andra sätt att använda dessa kanonbåtar, och jag tror icke, att tiden ännu på flera år är inne att utrangera våra 1:a klassens kanonbåtar och att göra dem till kolpråmar. Kolpråmarne äro emellertid ytterst vigtiga för svenska flottan, icke allenast för att möjliggöra en snabb kolning vid våra stationer, utan äfven för att transportera ut kol till flottan i skärgårdarne.</w:t>
      </w:r>
    </w:p>
    <w:p>
      <w:pPr>
        <w:pStyle w:val="Heading2"/>
      </w:pPr>
      <w:r>
        <w:t>2. Paul Petter Waldenström (Utan partibeteckning, man)</w:t>
      </w:r>
    </w:p>
    <w:p>
      <w:r>
        <w:rPr>
          <w:b w:val="0"/>
        </w:rPr>
        <w:t>Herr talman, mina herrar! Bland bilagorna till Kongl. Maj:ts statsverksproposition förekommer i den afdelning, som handlar om statsutgifterna, på en af de första sidorna en beräkning af herr finansministern angående behofvet af dyrtidstillägg för allehanda sådana statens tjenstemän och tjenare, som ha en lön, hvilken icke öfverstiger 7,000 kr. Detta är också i öfverensstämmelse med hvad Riksdagen beslöt förra året. I år har deremot finansministern — så vidt jag kan förstå — låtit sig af sitt goda hjerta förledas att föreslå 8 tjenstemän, som hafva 7,500 kr. i lön, till att också få dyrtidstillägg, naturligtvis då af 500 kr.</w:t>
        <w:br/>
        <w:br/>
        <w:t>Herr finansministern motiverar detta på ett mycket besynnerligt sätt. Det gäller nemligen expeditionscheferna i de särskilda departementen. De ha 7,500 kr. i lön, och deras närmaste underlydande tjenstemän ha 7,000 kr. Nu skulle dessa senare med dyrtidstillägget</w:t>
        <w:br/>
        <w:br/>
        <w:t>få 7,500 kr., således lika mycket som expeditionscheferna, och bara Kemiss Vv för den lilla omständighetens skull anser herr statsrådet, att expedipropositionen tionscheferna skola ha 8,000 kr. Han bekänner dervid, att det kan-" (Forts) | ske icke vore annat än konseqvent att då äfven föreslå, att alla andra tjenstemän, som ha 7,500 kronors lön, också finge dyrtidstillägg och</w:t>
        <w:br/>
        <w:br/>
        <w:t>således blefve likstälda med dessa expeditionschefer. Men så tillägger</w:t>
        <w:br/>
        <w:br/>
        <w:t>han, att det då skulle i åtskilliga fall komma att inträffa, att dyrtids-</w:t>
        <w:br/>
        <w:br/>
        <w:t>tillägg blefve gifvet,der ingen direkt anledning dertill förelåge. Jag</w:t>
        <w:br/>
        <w:br/>
        <w:t>kan dock ej förstå, hvad det skulle finnas för en mera direkt anled-</w:t>
        <w:br/>
        <w:br/>
        <w:t>ning dertill än den, att expeditionscheferna, som i öfrigt äro likstälda</w:t>
        <w:br/>
        <w:br/>
        <w:t>med dessa embetsmän, fått sådant lönetillägg. Jag gör denna anmärk-</w:t>
        <w:br/>
        <w:br/>
        <w:t>ning under förboppning, att statsutskottet skall se upp med nämnda</w:t>
        <w:br/>
        <w:br/>
        <w:t>punkt och icke göra något särskildt undantag för dessa 8 expeditions-</w:t>
        <w:br/>
        <w:br/>
        <w:t>chefer i de särskilda statsdepartementen, hvilkas löneförhållanden i</w:t>
        <w:br/>
        <w:br/>
        <w:t>alla fallijemförelse med andra statens tjenstemäns äro skäligen goda.</w:t>
        <w:br/>
        <w:br/>
        <w:t>De ha 7,500 kr. i lön, under det att t. ex. en universitetsprofessor</w:t>
        <w:br/>
        <w:br/>
        <w:t>ej har mer än 6,000 kr.</w:t>
        <w:br/>
        <w:br/>
        <w:t>Jag begagnar vidare tillfället att här nämna några ord angående riksbanken. Jag hade tänkt yttra mig derom vid det plenum, då revisionsberättelsen för riksbanken föredrogs. Men jag försummade mig då. Det må derför vara mig tillåtet att reparera detta fel nu, eftersom det ju vid den s. k. remissdebatten är sed, att man får tala om hvarjehanda.</w:t>
        <w:br/>
        <w:br/>
        <w:t>Först och främst är den berättelse, som revisorerna framlagt, i ett afseende mycket ofullständig. Den innehåller en särskild redogörelse för alla de 17 afdelningskontorens finansoperationer under året, men ingen särskild redogörelse för hufvudkontorets. Vill man således ha reda på omfattningen och utfallet af hufvudkontorets rörelse, måste man summera de särskilda redogörelserna från afdelningskontoren och subtrahera resultatet från totalsumman för hela riksbankens verksamhet. Det är naturligt, att man ej många gånger underkastar sig ett sådant arbete, och jag har aldrig gjort det förr än nu. Dervid kom jag emellertid till det resultatet, att medan vinsten på hela riksbankens rörelse uppgår till 4,178,942 kr. och några öre, har af denna vinst ej mindre än 3,211,000 kr. inkommit genom afdelningskontoren. Den vinst, som uppstått genom hufvudkontoret, utgör således icke mer än 968,000 kr.</w:t>
        <w:br/>
        <w:br/>
        <w:t>Nu förstår jag väl, att man skall invända, att vid hufvudkontoret göras åtskilliga utgifter, som skäligen icke få skrifvas på hufvudkontoret ensamt, utan måste läggas på hela riksbankens rörelse. Detta synes mig emellertid icke vara till fyllest för att förklara den ringa summan af 968,000 kr. Genom Göteborgskontoret har influtit en vinst af 757,793 kr., således endast 200,000 kr. mindre än vid hufvudkontoret. Andra afdelningskontor hafva också visat ganska vackra resultat.</w:t>
        <w:br/>
        <w:br/>
        <w:t>När jag hade observerat detta, tog jag och granskade närmare tabellen på sid. 80 och 81. Der får jag veta, att summan af: låne-</w:t>
        <w:br/>
        <w:br/>
        <w:t>rörelsen utestående belopp har i hufvudkontoret i medeltal utgjort nära 46 millioner kr., under det att hela beloppet af genom alla kontor utestående medel utgjort 114,335,000 i rundt tal. Hufvudkontorets utlånade medel uppgå således till icke långt från hälften af hela utlåningen.</w:t>
        <w:br/>
        <w:br/>
        <w:t>Saken ställer sig ännu besynnerligare, när man ser, att medan hufvudkontorets utlåningsbelopp i genomsnitt utgjort 46 mill. kr., så har Göteborgs afdelningskontors utlåningsbelopp i medeltal ej uppgått till mer än 15 mill. kr. eller ungefär !/5 af hvad som vid hufvudkontoret utlånats. Det synes då märkvärdigt, att behållningen vid hufvudkontoret icke blifvit synnerligen mycket större än den vinst, som uppstått vid afdelningskontoret i Göteborg. Någon förklaring till detta förhållande måste ju gifvas, men jag har ej kunnat leta reda på densamma i den här berättelsen, och jag tviflar på att någon annan kan göra det. Jag frågade en af de revisorer, som tecknat sitt namn under revisionsberättelsen, om saken, och han svarade: »det kan jag ej förklara, ty jag har ej arbetat på den afdelningen inom statsrevisionen».</w:t>
        <w:br/>
        <w:br/>
        <w:t>Men det är äfven en annan sak, som ådragit sig min uppmärksamhet. Bland de riksbankens utgifter, som afdragits från bruttovinsten, 8,638,000 kr., förekomma åtskilliga utgiftsposter i och för anskaffning åt riksbanken af åtskilliga fastigheter, såsom i Falun, Halmstad, Kalmar, Kristianstad, Luleå ete. Summan af dessa utgiftsbelopp uppgår till 605,991 kr. 47 öre. Nu synes det mig, att detta ej kan räknas såsom utgifter, utan egentligen är att betrakta såsom kapitalplaceringar. Jag tänker, att det blefve ett märkvärdigt förhållande, om +. ex. en privatbank hade haft 610,000 kr:s inkomst, men, för att skaffa sig en fastighet, deraf utgifvit 605,000 kr. och sedan dragit af detta på vinsten samt till taxeringsmyndigheterna uppgifvit, att vinsten ej vore mer än 5,000 kr. Jag undrar, hvilken taxeringsmyndighet, som skulle kunna godkänna en sådan beräkning. Det är nu visserligen sant, att riksbanken icke betalar någon skatt och således ej har något med taxeringsmyndigheterna att skaffa, men i alla fall bör icke riksbanken såsom utgift att afdragas från bruttovinsten upptaga summor, som i hvarje annan affär måste betraktas såsom kapitalplacering och stå qvar i vinstsumman, ankommande det sedan på Riksdagen att med denna del af vinsten göra hvad den finner för godt. Det synes derför, som om denna summa — 605,991 kr. — borde läggas till den vinst, som nu här beräknats till 4,178,900 kr.</w:t>
        <w:br/>
        <w:br/>
        <w:t>När jag talade om medeltalet af utlånade medel, glömde jag att nämna något om postvexelrörelsen. Vid hufvudkontoret och kontoret på Norrmalm utgåfvos sådana vexlar för 34,700,000 kr., under det att t. ex. i Malmö motsvarande summa uppgick till 37 mill. kr. Det synes ganska märkvärdigt, att Malmö afdelningskontor har haft en lifligare postvexelrörelse än hufvudkontoret här i Stockholm. Gefle-</w:t>
        <w:br/>
        <w:br/>
        <w:t>kontoret har haften postvexelsumma af 16 mill. kr. eller ungefär '/2 Remiss af af hvad hufvudkontoret här haft. propositionen.</w:t>
        <w:br/>
        <w:br/>
        <w:t>Jag har med det sagda ej velat göra någon anmärkning mot” (Forts) riksbanken. Långt derifrån, Någon förklaring måste naturligtvis finnas, men jag skulle ansett det godt, om förklaringen funnits i denna berättelse eller i någon annan redogörelse, som förelagts Riksdagen.</w:t>
        <w:br/>
        <w:br/>
        <w:t>; Det är äfven en anan sak i afseende på finansförhållandena, som jag skall be att få påpeka. Just i dag på morgonen läste jag i en tidning, att ett sockerbruksbolag i Skåne hade beslutat att för hvarje aktie på 10,000 kr. skänka innehafvaren en ny aktie på ytterligare 10,000 kr., således lemna aktieegarne 100 procent till skänks. De nuvarande aktierna på 10,000 kr. ha ursprungligen varit på 1,500 kr., men ha sedan blifvit utbytta mot nuvarande på 10,000 kr. Alltså har den, som ursprungligen innehaft en aktie på 1,500 kr., utan penningutlägg fått två aktier på 10,000 kr. hvardera. Att en affär genom god skötsel går framåt och lemnar den, som sköter densamma väl, goda inkomster, det har jag ej något emot, men att staten skall genom en onaturlig premiering bereda enskilda bolag en så onaturlig avance, det är en helt annan sak; och då nu staten verkligen behöfver alla de inkomster, som den kan få, synes det mig hafva varit naturligt, att herr finansministern tagit dessa förhållanden i öfvervägande och framkommit till Riksdagen med något förslag om ändrad beräkning af sockerbetornas utbyte i förhållande till den tull, som för närvarande gäller för råsocker. Jag tänker, att statsverket derigenom skulle kunna förtjena icke så litet och kanske så pass mycket, att man derför kunde bygga en af de båtar, om hvilka herr Zetterstrand och sjöministern nyss diskuterade.</w:t>
        <w:br/>
        <w:br/>
        <w:t xml:space="preserve">Men jag skall gå öfver till åttonde hufvudtiteln, icke för att säga något om de anslag, som der äro äskade, utan för att påpeka ett annat förhållande, på hvilket jag ber attfå fästa herr ecklesiastikministerns synnerliga uppmärksamhet. År 1890 hade Sveriges folkskolor 5,028 lärare och 7,303 </w:t>
      </w:r>
      <w:r>
        <w:rPr>
          <w:b/>
        </w:rPr>
        <w:t>lärarinnor³</w:t>
      </w:r>
      <w:r>
        <w:rPr>
          <w:b w:val="0"/>
        </w:rPr>
        <w:t xml:space="preserve">. På fem år — eller till 1895 ökades lärarnes antal med 116, under det att </w:t>
      </w:r>
      <w:r>
        <w:rPr>
          <w:b/>
        </w:rPr>
        <w:t>lärarinnornas³</w:t>
      </w:r>
      <w:r>
        <w:rPr>
          <w:b w:val="0"/>
        </w:rPr>
        <w:t xml:space="preserve"> ökades med 988. Följande femårsperiod — 1895-1900 — tillväxte lärarnes antal med 119, under det att motsvarande siffra för </w:t>
      </w:r>
      <w:r>
        <w:rPr>
          <w:b/>
        </w:rPr>
        <w:t>lärarinnorna³</w:t>
      </w:r>
      <w:r>
        <w:rPr>
          <w:b w:val="0"/>
        </w:rPr>
        <w:t xml:space="preserve"> var 1,400. Enligt berättelserna under de derpå följande två åren 1901 och 1902, hvilka berättelser naturligtvis gälla de närmast föregående åren, har ökningen i lärarnes antal varit 87, under det att densamma för </w:t>
      </w:r>
      <w:r>
        <w:rPr>
          <w:b/>
        </w:rPr>
        <w:t>lärarinnorna³</w:t>
      </w:r>
      <w:r>
        <w:rPr>
          <w:b w:val="0"/>
        </w:rPr>
        <w:t xml:space="preserve"> uppgått till 578. In alles har lärarnes antal sedan 1890 års berättelse ökats med 322, och under samma tid har tillväxten i </w:t>
      </w:r>
      <w:r>
        <w:rPr>
          <w:b/>
        </w:rPr>
        <w:t>lärarinnornas³</w:t>
      </w:r>
      <w:r>
        <w:rPr>
          <w:b w:val="0"/>
        </w:rPr>
        <w:t xml:space="preserve"> antal uppgått till 2,952.</w:t>
        <w:br/>
        <w:br/>
        <w:t xml:space="preserve">Nu kan man ju säga, att detta väsentligen beror på den stora ökningen i antalet småskolor, vid hvilka ju gemenligen </w:t>
      </w:r>
      <w:r>
        <w:rPr>
          <w:b/>
        </w:rPr>
        <w:t>lärarinnor³</w:t>
      </w:r>
      <w:r>
        <w:rPr>
          <w:b w:val="0"/>
        </w:rPr>
        <w:t xml:space="preserve"> anställas. Och detta ir till en del sant, men också blott till en del. Vi se nemligen, att vid de egentliga folkskolorna antalet manliga lärare från 1890 till 1902 ökats med 567, under det att lärarimnornas</w:t>
        <w:br/>
        <w:br/>
        <w:t>antal ökats med 1,195, eller med dubbelt, samt att vid de mindre</w:t>
        <w:br/>
        <w:br/>
        <w:t>propositionen. Iolkskolorna lärarnes antal under samma tid minskats med 41, hvar-</w:t>
        <w:br/>
        <w:br/>
        <w:t xml:space="preserve">emot </w:t>
      </w:r>
      <w:r>
        <w:rPr>
          <w:b/>
        </w:rPr>
        <w:t>lärarinnornas³</w:t>
      </w:r>
      <w:r>
        <w:rPr>
          <w:b w:val="0"/>
        </w:rPr>
        <w:t xml:space="preserve"> antal ökats med 631.</w:t>
        <w:br/>
        <w:br/>
        <w:t>Hvad förklaringen kan vara till detta förhållande är naturligtvis för mig omöjligt att säga. Det kan ju bero derpå, att de qvinliga aspiranterna äro förmer i sina kunskaper och sin skicklighet än de manliga. Detta visar återigen på ett annat förhållande, nemligen att seminarierna för de qvinliga eleverna sköta sig bättre än seminarierna för de manliga. Men det kan äfven bero på andra förhållanden.</w:t>
        <w:br/>
        <w:br/>
        <w:t xml:space="preserve">Emellertid anser jag det vara i högsta grad värdt uppmärksamhet, att denna förskjutning alltjemt fortgår; och den synes för hvarje femårsperiod resultera i en ökning af 1,500 </w:t>
      </w:r>
      <w:r>
        <w:rPr>
          <w:b/>
        </w:rPr>
        <w:t>lärarinnor³</w:t>
      </w:r>
      <w:r>
        <w:rPr>
          <w:b w:val="0"/>
        </w:rPr>
        <w:t xml:space="preserve"> mot 100 lärare. Jag tror icke, att det kan vara helsosamt, att denna förskjutning får fortfara ; och jag har derför velat begagna detta tillfälle för att fästa herrecklesiastikministerns uppmärksamhet på ett förhållande, för hvilket man utan tvifvel på ett eller annat sätt måste råda bot. För öfrigt har jag intet vidare att tillägga.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901</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