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w:t>
      </w:r>
    </w:p>
    <w:p>
      <w:r>
        <w:rPr>
          <w:b/>
        </w:rPr>
        <w:t xml:space="preserve">Datum: </w:t>
      </w:r>
      <w:r>
        <w:t>1902-02-26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Birger Hasselrot (–, man)</w:t>
      </w:r>
    </w:p>
    <w:p>
      <w:r>
        <w:rPr>
          <w:b w:val="0"/>
        </w:rPr>
        <w:t>Denna fråga har, såsom kammaren erinrar sig, åtskilliga gånger i en eller annan form varit föremål för kammarens öfverläggningar, och särskildt den nu föreslagna förändringen har jemväl varit understäld kammarens pröfning.</w:t>
        <w:br/>
        <w:br/>
        <w:t>Jag tillåter mig fästa uppmärksamheten derpå, att det i vår rätt göres en grundväsentlig skilnad mellan misshandel mot menniskor och djurplågeri. Det förra brottet utgör en rättskränkning och behandlas i ett särskildt kapitel af strafflagen »&gt;om mord, dråp och annan misshandel». Det senare utgör en sedlighetsförbrytelse och behandlas i kapitlet om sedlighetsbrott. Lagen straffar således icke och kan, efter mitt förmenande, icke straffa en omild behandling af djur i annan mån eller i andra fall än der denna behandling innebär någonting, som kränker den allmänna sedliga uppfattniugen, och då vågar jag påstå, att det uttryck, som reservanterna valt och som den siste ärade talaren förordade, går för långt. Jag tror icke, att det öfverensstämmer med den allmänna rättsuppfattningen i vårt land att såsom en osedlig handling beteckna hvarje omild eller hård behandling af hvilket slags djur som helst, äfven de lägre stående, med hänsyn till fysisk utbildning och känslolif svagt utrustade djuren.</w:t>
        <w:br/>
        <w:br/>
        <w:t>Nu säger den siste ärade talaren, att han vill öfverlemna åt lagskipningen att uppdraga de nödiga gränserna. Detta får jag för min del såsom lagskipare bestämdt undanbedja mig. Det går, enligt min mening, icke an att skrifva i lagen, att grymhet</w:t>
        <w:br/>
        <w:br/>
        <w:t>mot djur är straffbar, och sedan öfverlemna åt lagskipningen att afgöra, på hvilka djur bestämmelsen skall tillämpas. En lagskipare får icke tolka lagen efter godtycke, utan han skall följa lagens bestämmelser sådana de äro.</w:t>
        <w:br/>
        <w:br/>
        <w:t xml:space="preserve">Jag vill vidare fästa uppmärksamheten derpå, att man i andra kulturländer — exempelvis England och Frankrike samt vårt </w:t>
      </w:r>
      <w:r>
        <w:rPr>
          <w:b/>
        </w:rPr>
        <w:t>systerland²</w:t>
      </w:r>
      <w:r>
        <w:rPr>
          <w:b w:val="0"/>
        </w:rPr>
        <w:t xml:space="preserve"> Finland — står på samma ståndpunkt som hos oss.</w:t>
        <w:br/>
        <w:br/>
        <w:t>Efter min uppfattning skall ett mildare behandlingssätt i afseende å djuren icke befordras genom oupphörligt skärpta straffbestämmelser. Första gången djurplågeri i vårt land belades med straff var år 1857. Då gick straffsatsen blott till 100 kronors böter. Sedan ökades straffmaximum till 500 kronors böter, och så sent som år 1900, d. v. s. för blott två år sedan, bestämdes det, att sådana förbrytelser kunna beläggas jemväl med frihetsstraff. Min uppfattning och lagutskottets är, att man vinner målet fortast och rigtigast på den vägen, att den allmänna uppfattningen af nödvändigheten, att behandla djuren med mildhet vinner i styrka, och i det afseendet hafva djurskyddsföreningarne uträttat mycket och komma säkerligen att fortfarande hafva en stor uppgift.</w:t>
        <w:br/>
        <w:br/>
        <w:t>På dessa grunder tillåter jag mig yrka bifall till lagutskottets hemställan.</w:t>
      </w:r>
    </w:p>
    <w:p>
      <w:pPr>
        <w:pStyle w:val="Heading2"/>
      </w:pPr>
      <w:r>
        <w:t>2. Eduard Ljungberg (Första kammarens protektionistiska parti, man)</w:t>
      </w:r>
    </w:p>
    <w:p>
      <w:r>
        <w:rPr>
          <w:b w:val="0"/>
        </w:rPr>
        <w:t>På senare tid har mer och mer utvecklat sig den ömhet mot djuren, åt hvilken motionären velat gifva uttryck, då han framställt det önskemål, att äfven de vilda djuren skulle inbegripas i det skydd för djuren, som i lagen blifvit anbefaldt och som i senare tider ledt till skärpta straffbestämmelser för grym behandling af djur. Då har man sagt, att detta är en öfvervägande eganderättsfråga, som icke bör sammanblandas med sedlighetsfrågan. Detta är enligt min tanke alldeles origtigt. Man har exempel på upprörande grymhet mot vilda djur lika väl som mot tama, så upprörande, att de, som åsett dem, lifligt beklagat, att strafflagens bestämmelser om misshandel mot djur icke äfven omfattat de vilda. Vi hafva hört omtalas, hurusom ett af våra ädlaste vilda djur, elgen, ofta blir utsatt för den grymmaste behandling, när han söker simma öfver en flod eller en sjö. Han mötes då på stranden af drängar och pojkar, som med slag och misshandel på allt möjligt sätt drifva honom ut i vattnet igen, och när han halfdöd söker kämpa sig upp på annat ställe, blir han der utsatt för samma behandling. Skulle icke hvarje menniska med rättskänsla och moraliskt medvetande vilja afhjelpa sådana missförhållanden? Jag tror det, och jag anser derför, att det skulle smärta alltför många, som dela den önskan,</w:t>
        <w:br/>
        <w:br/>
        <w:t>hvilken fått sitt uttryck i den väckta motionen, om denna kammare skulle afslå densamma. Jag yrkar derför bifall till reservationen.</w:t>
      </w:r>
    </w:p>
    <w:p>
      <w:pPr>
        <w:pStyle w:val="Heading2"/>
      </w:pPr>
      <w:r>
        <w:t>3. Adolf von Möller (Första kammarens protektionistiska parti, man)</w:t>
      </w:r>
    </w:p>
    <w:p>
      <w:r>
        <w:rPr>
          <w:b w:val="0"/>
        </w:rPr>
        <w:t>Den ärade ordföranden i lagutskottet talade om omild behandling af och misshandel å djur. Det är alldeles rigtigt, att motionären använde uttrycket misshandel, men här har ju ännu ingen yrkat bifall till motionärens förslag, men till reservationen, som talar om den, som vid behandling af djur visar uppenbar grymhet. Det synes mig således icke vara fara för att jagt eller fiske — åtminstone ännu så länge och så länge de bedrifvas något så när humant — skola kunna drabbas af dessa straffbestämmelser.</w:t>
        <w:br/>
        <w:br/>
        <w:t>Den ärade ordföranden i lagutskottet talade vidare om, att lagstiftningen i flera civiliserade länder står på samma ståndpunkt som hos oss, och anförde såsom exempel Storbritannien och Frankrike. I detta sammanhang tillåter jag mig i förbigående fästa uppmärksamheten derpå, att, för så vidt jag känner till, ha ännu icke bestämmelserna om den s. k. niosvansade kattens användning vid bestraffning af sjöfolk der upphört att tillämpas äfvensom att tjurfäktningar ännu förekomma i Frankrike. Jag tror således, att vi än så länge kunna förbigå dessa länders lagstiftning i filantropisk och skyddsvänlig rigtning som mönster att efterfölja.</w:t>
        <w:br/>
        <w:br/>
        <w:t>Han nämnde Danmark. I den af herr Wavrinsky vid 1898 års riksdag väckta motionen påpekar motionären, att Danmarks strafflag af år 1896 i 8 297 lyder: »Hoo, som gjör sig skyldig i raa Mishandling eller anden grusom og uprörende Behandling af Dyr, navnlig af Huusdyr, bliver at straffe med Böder ind til 200 Rd. eller med simpelt Faengsel ind til 4 Maaneder», och liknande bestämmelser lära äfven hafva införts i norska strafflagen. I Nordamerikas förenta stater straffas djurplågeri, äfven om det icke är afsigtligt eller väckt förargelse. Djurplågeri omfattar der alla djur, och straffet är i allmänhet högt: böter upp till 250 dollars eller fängelse ända till ett år. I Tyskland efter 1870 stadgar riksstraflagen för den, som offentligen eller på förargelseväckande sätt illvilligt plågar eller rått misshandlar djur, böter intill 150 mark eller fängelse. Men bredvid denna allmänna lag finnas en hel del specialförordningar rörande transport af boskap på jernvägar — med mycket detaljerade bestämmelser — mot användning af ofärdiga eller utarbetade dragare, mot deras öfverbelastning, rörande slagt i allmänhet o. s. v. samt reglementen för omkring ett hundratal slagthus. Vi veta, huru det hos oss gick med slagtfrågan, deri Riksdagen ingick med en skrifvelse, som icke föranledde till någon åtgärd från regeringen.</w:t>
        <w:br/>
        <w:br/>
        <w:t>Utskottet säger, att man icke bör stifta några lagar, som icke uppbäras af det allmänna rättsmedvetandet. Reservanterna återigen påpeka, att &gt;det bör emellertid icke kunna ifrågasättas annat,</w:t>
        <w:br/>
        <w:br/>
        <w:t>än att det allmänna rättsmedvetandet ogillar en dylik behandling, äfven när den drabbar ett vildt djur». Jag är ju icke jurist, — men för mig ställer sig saken så, att om denna strafflagsparagraf inrymts tillsammans med $$ om andra sedlighetsförbrytelser, och om det är ett brott att visa uppenbar grymhet mot djur, så upphör detta icke att vara ett brott, derför att djuret befinner sig i frihet eller derför att det icke tillhör någon viss person. Jag tror, att de nuvarande bestämmelserna tillkommit mera för att skydda eganderätten än i något annat syfte.</w:t>
        <w:br/>
        <w:br/>
        <w:t>Hvad menar för resten utskottet, när det talar om allmänna rättsmedvetandet? Ar det pöbelns rättsmedvetande, eller är det den bildade allmänhetens? Jag gissar, att det är väl den bildade allmänhetens rättsmedvetande, som dervidlag får vara bestämmande, och jag vågar i sådant fall påstå, att den bildade allmänheten i Sverige anser det som en förbrytelse att med uppenbar grymhet behandla ett djur, det må nu vara af det ena eller det andra slaget.</w:t>
        <w:br/>
        <w:br/>
        <w:t xml:space="preserve">” Det är nu visserligen mycket vackert att hoppas på den stigande upplysningen och säga att upplysningen bör gå före straffbestämmelserna, men jag kan icke hjelpa att, när jag hör detta uttryck, kommer jag att tänka på en af Bret Hartes »Condensed Novels», »Fantine», modellerad efter Victor Hugos »Les Misérables». Fantine är en liten </w:t>
      </w:r>
      <w:r>
        <w:rPr>
          <w:b/>
        </w:rPr>
        <w:t>flicka²</w:t>
      </w:r>
      <w:r>
        <w:rPr>
          <w:b w:val="0"/>
        </w:rPr>
        <w:t xml:space="preserve">, som uppfostras af dåliga föräldrar och lär dåliga seder af föräldrar och morföräldrar, så att </w:t>
      </w:r>
      <w:r>
        <w:rPr>
          <w:b/>
        </w:rPr>
        <w:t>hon²</w:t>
      </w:r>
      <w:r>
        <w:rPr>
          <w:b w:val="0"/>
        </w:rPr>
        <w:t xml:space="preserve"> bestjäl den fromme biskop Myriel på hans ljusstakar. Och så kommer den moraliska slutsatsen: » Vill du blifva dygdig, så gif uppfostran åt din mormor». Om vi kunde komma så långt, att vi kunde gifva en god uppfostran åt våra farföräldrar och morföräldrar, så tror jag nog, att det skulle gå hastigare med utvecklingen, än hvad det nu gör. Nu går den onekligen ganska långsamt, då den bildade allmänheten skall nödgas att stillatigande sitta och se på denna så ofta förekommande misshandel, som, då den icke bestraffas, ovilkorligen skall alstra råhet i sinnena och verka skadligt på de många, som kan hända befinna sig så att säga på skiljovägen och icke kunna sjelfva för sig klargöra rätt och orätt på detta område.</w:t>
        <w:br/>
        <w:br/>
        <w:t xml:space="preserve">I denna kammare saknas nu två män, som så ofta förde djurskyddssakens talan, Treffenberg och Casparsson, och jag beklagar äfven, att doktor Leman af sjukdom är i dag hindrad att närvara. Herrarne minnas, att han för två år sedan uppträdde i denna fråga och talade om, huru en gosse fångat en råtta, begjutit </w:t>
      </w:r>
      <w:r>
        <w:rPr>
          <w:b/>
        </w:rPr>
        <w:t>henne²</w:t>
      </w:r>
      <w:r>
        <w:rPr>
          <w:b w:val="0"/>
        </w:rPr>
        <w:t xml:space="preserve"> med fotogén, antändt och lössläppt det brinnande djuret. Polisen, hvars rättsmedvetande talade, tog pojken och förde honom till polisdomaren, som måste släppa honom på grund af bristande straffbestämmelser. Skall man af något slags skuggrädsla för att jagt eller fiske skulle kunna generas af dessa straff-</w:t>
        <w:br/>
        <w:br/>
        <w:t>bestämmelser blifva stående på en ståndpunkt, som ligger bakom den, hvartill andra civiliserade länder kommit? Jag yrkar bifall till reservanterna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