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28</w:t>
      </w:r>
    </w:p>
    <w:p>
      <w:r>
        <w:rPr>
          <w:b/>
        </w:rPr>
        <w:t xml:space="preserve">Datum: </w:t>
      </w:r>
      <w:r>
        <w:t>1903-02-18</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Gottfrid Billing (Första kammarens protektionistiska parti, man)</w:t>
      </w:r>
    </w:p>
    <w:p>
      <w:r>
        <w:rPr>
          <w:b w:val="0"/>
        </w:rPr>
        <w:t>Det måtte väl bero på mig själf, men jag kan icke annat än säga, att det är för olyckligt, att, då man bemödat sig om att uttrycka sig så klart som möjligt, man i alla fall skall hafva uttryckt sig till den grad suddigt, att två män med så klara hufvud som lagutskottets ordförande och talaren däruppe på norrlandsbänken kunna säga, att man har sagt så godt som motsatsen till hvad man har sagt. Ja, så suddig är jag väl i min tankegång, att jag måste uppgifva all möjlig förhoppning om att kunna säga en sak så, att herrarne förstå hvad jag menar.</w:t>
        <w:br/>
        <w:br/>
        <w:t>Har jag med ett enda ord sagt, att jag yrkat afslag eller velat afslag på den ifrågasatta lagförändringen? Har herr Hasselrot behöft repetera alla dessa namn såsom bevis på, att man kan hysa kyrkligt intresse och ändock icke hålla på lagbestämmelsen, detta såsom en argumentering emot mig, då jag likväl sagt, att mig kvittar det alldeles lika från kyrklig synpunkt, om bestämmelsen tages bort eller icke? Bör ändå argumenteras emot mig, som om Jag stått här och velat försvara och kämpa för, att denna paragraf skulle stå kvar? Det har jag icke gjort; som jag nu säger det, så kanske det förstås.</w:t>
        <w:br/>
        <w:br/>
        <w:t xml:space="preserve">När det nu föreslagits, att denna paragraf skall tagas bort, så gäller det en principfråga. Vi äro ju alla öfverens om, att saken är af helt liten praktisk betydelse, men om vi tala om principen, så kan det väl icke nekas, att det här gäller att uttala, att svenska medborgare kunna blifva hedningar. Jag skall emellertid icke försöka att förringa betydelsen af herr Hasselrots argumentering för bifall till utskottets förslag. Den må nu gälla, och jag sörjer icke ett ögonblick, om lagutskottets förslag blir bifallet. Jag kan omöjligen här känna mig annat än som en kyrkans representant, och för </w:t>
      </w:r>
      <w:r>
        <w:rPr>
          <w:b/>
        </w:rPr>
        <w:t>henne²</w:t>
      </w:r>
      <w:r>
        <w:rPr>
          <w:b w:val="0"/>
        </w:rPr>
        <w:t xml:space="preserve"> betyder paragrafens förändrande, att området för </w:t>
      </w:r>
      <w:r>
        <w:rPr>
          <w:b/>
        </w:rPr>
        <w:t>hennes²</w:t>
      </w:r>
      <w:r>
        <w:rPr>
          <w:b w:val="0"/>
        </w:rPr>
        <w:t xml:space="preserve"> plikter minskas, området för </w:t>
      </w:r>
      <w:r>
        <w:rPr>
          <w:b/>
        </w:rPr>
        <w:t>hennes²</w:t>
      </w:r>
      <w:r>
        <w:rPr>
          <w:b w:val="0"/>
        </w:rPr>
        <w:t xml:space="preserve"> ansvar inskränkes, och friheten för </w:t>
      </w:r>
      <w:r>
        <w:rPr>
          <w:b/>
        </w:rPr>
        <w:t>henne²</w:t>
      </w:r>
      <w:r>
        <w:rPr>
          <w:b w:val="0"/>
        </w:rPr>
        <w:t xml:space="preserve"> att röra sig på sin egen mark vidgas. Som kyrkans man kan jag icke tala mot förslaget.</w:t>
        <w:br/>
        <w:br/>
        <w:t>Talaren på norrlandsbänken sade, att det väl ändå icke kan vara riktigt att sätta likhetstecken mellan kristendom och den lutherska kyrkan. Jag tyckte, att orden föllo ungefär så, och att detta sades som argumentation emot mig. Ja, då är det ett förfärande bevis på, hur suddig jag är i mina anföranden. Jag menade mig säga uttryckligen, att här icke talas om att öfvergå till den eller den sekten, och för att ytterligare konkretisera detta, så räknade jag upp en hel del namn och påpekade, att det här vore fråga om att utträda ur hvarje kristligt samfund. Jag hyste</w:t>
        <w:br/>
        <w:br/>
        <w:t>icke den aflägsnaste tanke på — om nu också orden kunde vändas därhän på något sätt — att identifiera kristendom och den lutherska kyrkan, lika litet som att sätta likhetstecken mellan kristendom och ledamotskap i någon af hittills framkomna kristliga sekter. Det har jag aldrig velat. Till den grad — dum är jag ändå icke.</w:t>
        <w:br/>
        <w:br/>
        <w:t>Efter härmed slutad öfverläggning gjordes jämlikt därunder förekomna yrkanden propositioner, först på bifall till hvad utskottet i föreliggande utlåtande hemställt samt vidare på afslag därå, och förklarades den senare propositionen vara med öfvervägande ja besvarad.</w:t>
      </w:r>
    </w:p>
    <w:p>
      <w:pPr>
        <w:pStyle w:val="Heading2"/>
      </w:pPr>
      <w:r>
        <w:t>2. Per Sörensson (–, man)</w:t>
      </w:r>
    </w:p>
    <w:p>
      <w:r>
        <w:rPr>
          <w:b w:val="0"/>
        </w:rPr>
        <w:t>Äfven denna motion har ofta varit före, och den har nu blifvit tillstyrkt af lagutskottet. Jag har reserverat mig och anser mig därför skyldig att yttra några ord.</w:t>
        <w:br/>
        <w:br/>
        <w:t>Det är alldeles obestridligt, att en borgerlig form för äktenskaps ingående är fullt lämplig och tillfredsställer de fordringar, som man kan ställa på ett äktenskap med alla de förmåner, som med detta kunna vara förenade. Jag anser, att i detta afseende ingenting är att säga emot en dylik vigsel. Jag vet också, att staten oupphörligt vidgat området för det borgerliga äktenskapet, så att det, såsom motionären angifver, i tre fall är obligatoriskt, i tre fall fakultativt, och att endast i två fall kyrkligt äktenskap är föreskrifvet, nämligen dels för dem, som äro medlemmar af svenska kyrkan och blifvit döpta samt inom denna kyrka begått Herrens nattvard, och dels för dem, som tillhöra samma främmande kristna trossamfund. Borgerligt äktenskap är således i ganska stor utsträckning medgifvet. Jag kan ej neka till att jag tror, att den dag kommer, då det borgerliga äktenskapet kommer att införas allmänt i Sverige, men jag tror icke, att den tiden ännu är kommen, då detta är nödvändigt.</w:t>
        <w:br/>
        <w:br/>
        <w:t xml:space="preserve">Jag kan egentligen ej förstå, hvad man kan hafva att anföra mot den kyrkliga vigseln. Hvad innehåller det kyrkliga vigselformuläret? Ja, vi känna det väl allesamman, men jag vill dock påminna därom. För det första innehåller det en förklaring, att äktenskapet är stiftadt af Gud och att det skall ingås mellan man och </w:t>
      </w:r>
      <w:r>
        <w:rPr>
          <w:b/>
        </w:rPr>
        <w:t>kvinna¹</w:t>
      </w:r>
      <w:r>
        <w:rPr>
          <w:b w:val="0"/>
        </w:rPr>
        <w:t>, d. v. s. att den fria kärleken, hvarom vi i senare tid hört så mycket talas, är människorna ovärdig. Jag kan ej förstå, att någon sedligt intresserad människa kan hafva något att säga mot en sådan förklaring. Vidare innehåller formuläret en uppmaning till de äkta makarne att älska hvarandra i nöd och lust.</w:t>
        <w:br/>
        <w:br/>
        <w:t>Jag kan ej förstå, att däri kan ligga något stötande. Vidare förekommer en bön om Guds nåd och ett nedkallande af Guds välsignelse öfver äktenskapet. Kan däri ligga något stötande eller sårande för någon människa? När man står i begrepp att taga ett sådant viktigt steg i lifvet, bör man då ej särskildt önska Guds nåd och anropa Herren därom. Nu hör man sägas: men det må vara fritt; vi må hafva tillfälle att göra det, om vi vilja, men om vi ej vilja, må vi slippa det. Jag kan ej förstå, att icke hvarje människa vill hafva Guds nåd och hjälp under lifvets växlingar, under de mödor, besvärligheter, sorger och pröfningar, som kunna inträffa. Men det må vara! Jag förstår det ej. Men jag kan verkligen ej säga så mycket emot det borgerliga äktenskapet och skall nog en gång vara med om det, när jag anser rätta tiden vara inne, men det anser jag den ännu ej vara.</w:t>
        <w:br/>
        <w:br/>
        <w:t>Nu säger motionären, att han kan vara med om hvilket som helst antingen obligatoriskt eller fakultativt civiläktenskap, men illa stämmer därmed hans yttrande, att han vill, att det endast skall vara fakultativt, d. v. s. att man skall hafva rätt att begära det, om man vill, och vara fri, om man vill. Jag tror icke, att detta skulle lända till den klarhet och ordning, som bör råda i en så viktig sak. Jag tror för min del, att det obligatoriska civiläktenskapet är det enda rätta och att, när tiden är inne att införa civiläktenskapet i Sverige, den formen bör väljas. Nu säges det i motionen, att obligatorisk civil vigsel äger rum i Tyskland och Frankrike, och härtill kan läggas, att det för närvarande råder en mycket stark opinion i Danmark för att införa borgerligt äktenskap. Men märk väl, att det där är fråga om obligatoriskt civiläktenskap och ej fakultativt. Om man tager det fakultativa, kan följden lätt blifva den, att det ena slaget får högre valör än det andra, att den kyrkliga vigseln anses såsom lägre eller, om jag så må säga, sämre eller tvärtom. Låt meningarna klara sig något mer, och när tiden är inne, tag då det obligatoriska civiläktenskapet! Därigenom tror jag, att de olägenheter skola afhjälpas, som nu öfverklagas.</w:t>
        <w:br/>
        <w:br/>
        <w:t>Då jag, som jag redan sagt, anser tiden ej ännu vara inne att taga det steget, får jag yrka afslag å lagutskottets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