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w:t>
      </w:r>
    </w:p>
    <w:p>
      <w:r>
        <w:rPr>
          <w:b/>
        </w:rPr>
        <w:t xml:space="preserve">Datum: </w:t>
      </w:r>
      <w:r>
        <w:t>1904-03-23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Cornelius Sjöcrona (Första kammarens protektionistiska parti, man)</w:t>
      </w:r>
    </w:p>
    <w:p>
      <w:r>
        <w:rPr>
          <w:b w:val="0"/>
        </w:rPr>
        <w:t>Jag kan icke neka till att jag, trots lagutskottets :'enhällighet, ställer mig ytterst tveksam gentemot denna lagutskottets hemställan. Här är fråga om att rubba en sedan sekler nedärfd grundsats om barns rätt att få arf efter sina föräldrar, en grundsats,</w:t>
        <w:br/>
        <w:br/>
        <w:t xml:space="preserve">som icke ens rubbas genom testamentsrätten annat än i viss inskränkt mån. Jag medgifver villigt, att sådana fall kunna inträffa som t. ex. då i ett stärbhus ett af barnen uppnått myndig ålder och redan förvärfvat sig en god ekonomisk ställning — att det då kan synas obilligt, att de andra barnen, som ännu äro i späd ålder, skola för detta äldre syskons skull gå miste om hvad som erfordras för deras uppfostran. Men nu har motionären icke stannat vid detta fall. utan har tänkt sig, att redan ett barn, som uppnått 15 års ålder och då anses i stånd att sig själf försörja, skall gå miste om arf efter bägge sina föräldrar eller en af dem, endast på den grund att det finnes yngre syskon i späd ålder och att man, som motionären uttrycker sig, icke skall lägga sten på börda för modern, utan </w:t>
      </w:r>
      <w:r>
        <w:rPr>
          <w:b/>
        </w:rPr>
        <w:t>hon²</w:t>
      </w:r>
      <w:r>
        <w:rPr>
          <w:b w:val="0"/>
        </w:rPr>
        <w:t xml:space="preserve"> skall få sitta i orubbadt bo. Motionären tänker då hufvudsakligen på hem i arbetsklassen, och lagutskottet har icke yttrat någonting, som innebär, att icke lagutskottet delar denna motionärens uppfattning. Man får således antaga, att lagutskottet har biträdt denna uppfattning. Men man kan också tänka sig ett annat fall, som lätt kan inträffa. Det är en familj — en tjänstemans eller handelsbokhållares familj — som för sitt uppehälle hufvudsakligen är beroende af familjefaderns aflöning. Så dör familjefadern och lämnar efter sig en son, som är 15 år och som har ett eller par syskon i späd ålder. Denne son har redan i flera år gått i allmänt läroverk och visat utmärkta anlag för studier, utmärkt flit och utmärkt uppförande. Han skulle kanhända på två, tre, fyra år hinna fram och taga sin mogenhetsexamen och därefter blifva en heder för sin </w:t>
      </w:r>
      <w:r>
        <w:rPr>
          <w:b/>
        </w:rPr>
        <w:t>mor²</w:t>
      </w:r>
      <w:r>
        <w:rPr>
          <w:b w:val="0"/>
        </w:rPr>
        <w:t xml:space="preserve">. en heder för sitt land och kunna snart nog icke blott underhålla sig själf, utan äfven väsentligt bidraga till sin mors och sina syskons underhåll. Om nu, såsom här blifvit ifrågasatt, en sådan lag kommer till stånd, att denne son skall vara skyldig försörja sig själf, då han uppnått 15 års ålder, så måste förmyndaren taga honom från skolan. Han får icke fortsätta sina studier, utan förmyndaren säger till honom, att han måste försörja sig själf, blifva tjänstehjon eller kroppsarbetare, så att han kan försörja sig. Modern skall sitta i orubbadt bo med de öfriga små barnen. Vill </w:t>
      </w:r>
      <w:r>
        <w:rPr>
          <w:b/>
        </w:rPr>
        <w:t>hon²</w:t>
      </w:r>
      <w:r>
        <w:rPr>
          <w:b w:val="0"/>
        </w:rPr>
        <w:t xml:space="preserve"> nu, att sonen skall fortsätta sina studier och att det lilla arf, som skulle kunnat tillfalla honom, skall få användas för att sätta honom i tillfälle att fortsätta studierna, ja, då sträfvar </w:t>
      </w:r>
      <w:r>
        <w:rPr>
          <w:b/>
        </w:rPr>
        <w:t>hon²</w:t>
      </w:r>
      <w:r>
        <w:rPr>
          <w:b w:val="0"/>
        </w:rPr>
        <w:t xml:space="preserve"> så mycket </w:t>
      </w:r>
      <w:r>
        <w:rPr>
          <w:b/>
        </w:rPr>
        <w:t>hon²</w:t>
      </w:r>
      <w:r>
        <w:rPr>
          <w:b w:val="0"/>
        </w:rPr>
        <w:t xml:space="preserve"> kan för att bereda honom detta tillfälle, och då har ju lagen ingen betydelse. Anser </w:t>
      </w:r>
      <w:r>
        <w:rPr>
          <w:b/>
        </w:rPr>
        <w:t>hon²</w:t>
      </w:r>
      <w:r>
        <w:rPr>
          <w:b w:val="0"/>
        </w:rPr>
        <w:t xml:space="preserve"> sig återigen icke kunna det — ja, då inträffar hvad jag nyss antydt. Lagutskottet säger mycket försiktigt, att »utskottet anser sig för närvarande icke böra ingå på närmare undersökning, huru en sådan lagändring som den af motionären åsyftade lämpligast bör åvägabringas, utan torde frågan härom böra till Kungl. Maj:ts bepröfvande öfverlämnas». Ja, det är mycket försiktigt och välbetänkt af utskottet. Det synes däraf, att utskottet själft egentligen icke vetat, huru en sådan lagstiftning skulle ställa sig, och således äro ju kammarens ledamöter också i fullkomlig okunnighet om, på hvilka principer den skulle byggas, och huru man skulle undvika alla dessa tvister och svårigheter, som utan tvifvel skulle uppkomma</w:t>
        <w:br/>
        <w:br/>
        <w:t>genom en sådan lagstiftning, hvilken, såsom jag redan sagt, står i strid mot en gammal grundsats i vår lagstiftning och troligen måste</w:t>
        <w:br/>
        <w:br/>
        <w:t>medföra ganska omfattande ändringar i andra lagrum än just precis g,doseende af den paragraf, som handlar om arf efter föräldrar. Nu skulle man ”minderåriges ju kunna med lagutskottet resonera så, att saken är beaktansvärd rätt i dödsbon.</w:t>
        <w:br/>
        <w:br/>
        <w:t>och Kungl. Maj:t kan ju fundera på saken, till dess att det blir någonting, som vi kunna antaga. Ja, vore det så, att Kungl. Maj:ts regering och densamma underlydande tjänstemän vore i saknad af göromål, så kunde ju detta låta säga sig. Men, när man vet, att det redan ligger ett stort antal skrifvelser hos Kungl. Maj:t och att vi otvifvelaktigt komma att besluta en hel del till — då kan det väl icke vara fråga om, huruvida vi, då vi icke veta, huru denna lagstiftning skall åvägabringas, böra aflåta ytterligare en skrifvelse i detta ämne. Lagberedningen är sysselsatt med jordabalken, lagstiftningen om de enskildes äganderätt och nyttjanderätt till fastighet och kan således ej hafva tid att taga i tu med denna lagstiftningsfråga, hvilken, såsom jag antydt, säkerligen har en vidsträcktare innebörd, än man vid första påseendet kan tro.</w:t>
        <w:br/>
        <w:br/>
        <w:t>Jag tror således, att man gärna kan låta denna sak anstå något och låta den, så att säga, mogna till, innan man tager sig för att skrifva däri till Kungl. Maj:t, och för att gifva uttryck åt denna min uppfattning, skall jag tillåta mig yrka afslag å utskottets hemställan.</w:t>
      </w:r>
    </w:p>
    <w:p>
      <w:pPr>
        <w:pStyle w:val="Heading2"/>
      </w:pPr>
      <w:r>
        <w:t>2. Philip Leman (Första kammarens minoritetsparti, man)</w:t>
      </w:r>
    </w:p>
    <w:p>
      <w:r>
        <w:rPr>
          <w:b w:val="0"/>
        </w:rPr>
        <w:t xml:space="preserve">Den föregående värde talaren yrkade, att man skulle låta frågan mogna. Jå, men själfva frågan är verkligen ganska mogen. Ty hvar och en, som har någon erfarenhet af lifvet, har nog ofta sett sådana fall som de, hvilka här åsyftas, familjer, där — det behöfver icke nödvändigt vara arbetarfamiljer, utan tjänstemäns, handelsbokhållares m. fl. — det finnes många barn och där </w:t>
      </w:r>
      <w:r>
        <w:rPr>
          <w:b/>
        </w:rPr>
        <w:t>änkan²</w:t>
      </w:r>
      <w:r>
        <w:rPr>
          <w:b w:val="0"/>
        </w:rPr>
        <w:t xml:space="preserve"> efter mannens död sitter med några späda barn, men därigenom att den del af boet, som utgör mannens giftorätt, undanskiftas, kommer med dessa barn på fattigdomens gräns. I andra länder är det ofantligt mycket bättre ställdt. Både i Danmark och Norge kan </w:t>
      </w:r>
      <w:r>
        <w:rPr>
          <w:b/>
        </w:rPr>
        <w:t>änkan²</w:t>
      </w:r>
      <w:r>
        <w:rPr>
          <w:b w:val="0"/>
        </w:rPr>
        <w:t xml:space="preserve"> få sitta i orubbadt bo, till dess </w:t>
      </w:r>
      <w:r>
        <w:rPr>
          <w:b/>
        </w:rPr>
        <w:t>hon²</w:t>
      </w:r>
      <w:r>
        <w:rPr>
          <w:b w:val="0"/>
        </w:rPr>
        <w:t xml:space="preserve"> träder i nytt gifte. Detta gör, att intet af barnen får utskifta sin arfslott, men </w:t>
      </w:r>
      <w:r>
        <w:rPr>
          <w:b/>
        </w:rPr>
        <w:t>änkan²</w:t>
      </w:r>
      <w:r>
        <w:rPr>
          <w:b w:val="0"/>
        </w:rPr>
        <w:t xml:space="preserve"> har å andra sidan skyldighet att försörja dem, till dess att de själfva kunna det. Vår svenska lag känner ju också detta sittande i orubbadt bo, men olyckan är, att en stor del af folket, särskildt arbetarne, icke veta, hur man skall skrifva ett testamente. Kunskapen i detta afseende är mycket obetydlig.</w:t>
        <w:br/>
        <w:br/>
        <w:t>Jag tillåter mig fästa uppmärksamheten på — hvad lagutskottet redan erinrat — att den föreslagna bestämmelsen ingalunda står i strid med principerna för den svenska lagstiftningen. Lagutskottet erinrar särskildt om 12: 10 ärfdabalken, där det heter: » Hvad föräldrar kostat på sina barn, till deras nödtorftiga föda, kläder, upptuktelse och bröllopskost, det må ej räknas; stånde dock föräldrarne fritt, om de vilja, däremot lägga de andra sina barn något till, som mindre njutit hafva.» Om blott folk förstode sig på detta, så kunde för-</w:t>
        <w:br/>
        <w:br/>
        <w:t>äldrar, som hade uppfostrat ett par barn, hvilka uppnått 15, 16 års ålder och kunna försörja sig själfva, räkna ut hvad de kostat i uppfostran och tillägga de spädare barnen detta belopp. Detta kan man göra. Men ingen tänker på att begagna sig af denna lagbestämmelse.</w:t>
        <w:br/>
        <w:br/>
        <w:t>Ett annat fall, där den nuvarande lagstiftningen gifver en analog föreskrift, finnes inom testamentsrätten. 2 8 af 1857 års testamentsstadga börjar på följande sätt: »Är efter testamentsgifvare omyndigt barn, och kan det ej af sitt arf eller annan tillgång njuta underhåll och uppfostran; då skall af egendom, som i testamente gifven är, så mycket aftagas, som Rätten pröfvar barnet, efter stånd och vilkor. nödigt hafva, till dess det kan sig sjelft nära, dock ej för längre tid, än till dess barnet fyllt tjuguett år.&gt; Det är sålunda den första regeln, att om en person, med begagnande af sin testamentsrätt, borttestamenterar af sin egendom till oskylda personer eller andra arfvingar, men det visar sig, att det finnes ett omyndigt barn, som icke kan försörjas med sin laglott, så kan rätten taga af den testamenterade egendomen och tillägga det omyndiga barnet. Vidare heter det: »Ar barn efter testamentsgifvare ofärdigt, med svår sjukdom behäftadt eller litet vetande, och kan det ej af sitt arf eller annan tillgång njuta tillräckligt underhåll; då skall ock af egendom, som i testamente gifven är, tagas hvad för barnets underhåll nödigt pröfvas, så länge behofvet fortfar.» Och så kommer den sista regeln, som är ungefär densamma som den af lagutskottet föreslagna bestämmelsen, endast att denna skulle gälla oberoende af om det finnes testamente eller icke. Denna regel lyder så: &gt;Nu har man genom testamente anslagit viss årlig inkomst till omyndigt barns underhåll och uppfostran eller till underhåll för ofärdigt, med svår sjukdom behäftadt eller litet vetande barn: kan ej sådant barn af eget arf eller annan tillgång njuta underhåll eller uppfostran, må det testamente gälla för tid, som härofvan sägs, ändå att annan bröstarfvinges laglott därmed belastas skulle.&gt; Det är just hvad lagutskottet vill komma till: att man skall hafva rätt att i vissa fall belasta annan bröstarfvinges laglott, när denne fått sin uppfostran.</w:t>
        <w:br/>
        <w:br/>
        <w:t>Den kritik, som den förste ärade talaren framställde, träffar icke utskottet, utan endast motionären. Motionären föreslår nämligen, att man alltid i mindre bemedlade hem skulle få taga från de andra barnen och lägga till de omyndiga. Detta har ej utskottet gillat, utan vill endast, att Riksdagen i en skrifvelse till Kungl. Maj:t hemställer, att Kungl. Maj:t ville taga i öfvervägande om och i hvilka fall man skall få taga af de äldres arfslotter för att lägga till de yngres.</w:t>
        <w:br/>
        <w:br/>
        <w:t>Jag anser mig böra fästa uppmärksamheten på att det exempel, som den föregående talaren framdrog om en 15-års yngling, icke faller under den af lagutskottet föreslagna bestämmelsen, emedan denne yngling själf är i behof af medel till uppfostran. Men om man tager ett annat exempel, om man tänker sig, att denne yngling fått gå igenom ett handelsinstitut och får en lön, så att han kan mycket väl underhålla sig själf, då skulle exemplet falla in under</w:t>
        <w:br/>
        <w:br/>
        <w:t>denna lagstiftning och då vore det ju mycket rimligt, att han icke finge uppbära sin laglott, utan denna tilldelades hans yngre syskon. Jag vet, att kammaren icke är mycket intresserad af juridiska diskussioner; jag vill därför ej taga kammarens uppmärksamhet vidare i anspråk; vill till slut dock påpeka att denna sak är i och för sig mycket behjärtansvärd; och jag tillåter mig därför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