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963</w:t>
      </w:r>
    </w:p>
    <w:p>
      <w:r>
        <w:rPr>
          <w:b/>
        </w:rPr>
        <w:t xml:space="preserve">Datum: </w:t>
      </w:r>
      <w:r>
        <w:t>1904-05-04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Carlson (–, man)</w:t>
      </w:r>
    </w:p>
    <w:p>
      <w:r>
        <w:rPr>
          <w:b w:val="0"/>
        </w:rPr>
        <w:t xml:space="preserve">Herr talman! För min del håller jag före, att det föreliggande samskoleförslaget bereder de mindre städerna stora fördelar. Dessa städer skulle ju enligt förslaget erhålla sexklassiga samskolor i stället för där förut befintliga treklassiga och tvåklassiga läroverk eller pedagogier, och detta måste blifva till stor båtnad för gossarnes undervisning. Man skulle dessutom i dessa städer genom statssamskolan äfven få </w:t>
      </w:r>
      <w:r>
        <w:rPr>
          <w:b/>
        </w:rPr>
        <w:t>flickorna²</w:t>
      </w:r>
      <w:r>
        <w:rPr>
          <w:b w:val="0"/>
        </w:rPr>
        <w:t xml:space="preserve"> undervisade för billigare pris och i de flesta fall bättre än hittills.</w:t>
        <w:br/>
        <w:br/>
        <w:t>Det är väl sant, att ifrågavarande samhällen, såsom af den föregående talaren påpekats, måste underkasta sig särskilda ekonomiska uppoffringar för sin samskola. Men utskottet har härvidlag i rätt väsentlig mån gått dem till mötes, i det att storleken af det bidrag, som en kommun skall lämna till sin samskola, af utskottet blifvit nedsatt till en fjärdedel af lärarepersonalens begynnelselöner i stället för en tredjedel, såsom af kommittén och Kungl. Maj:t föreslagits. Detta utskottets förslag är ju redan af kammaren bifallet.</w:t>
        <w:br/>
        <w:br/>
        <w:t xml:space="preserve">Det är ju för öfrigt icke något tvång, som i detta fall pålägges ifrågavarande samhällen, ty de kunna inom två år förklara, att de vilja vara fria från hvarje förpliktelse till sitt läroverk. Men då måste de också afstå från detta och inrätta sig på annat sätt med afseende å den högre undervisningen. Jag förmenar likväl, som sagdt, att de fördelar, som samskolorna bjuda, skola visa sig väl värda den uppoffring, som här är i fråga, och som väsentligen minskas därigenom, att kommunerna får behålla de från samskolan inflytande terminsafgifterna och slipper upprätthålla särskild </w:t>
      </w:r>
      <w:r>
        <w:rPr>
          <w:b/>
        </w:rPr>
        <w:t>flickskola²</w:t>
      </w:r>
      <w:r>
        <w:rPr>
          <w:b w:val="0"/>
        </w:rPr>
        <w:t>.</w:t>
        <w:br/>
        <w:br/>
        <w:t>Jag tillåter mig därför, herr talman, att yrka bifall till utskottets förslag i den nu föredragna punkten.</w:t>
      </w:r>
    </w:p>
    <w:p>
      <w:pPr>
        <w:pStyle w:val="Heading2"/>
      </w:pPr>
      <w:r>
        <w:t>2. Paul Petter Waldenström (Utan partibeteckning, man)</w:t>
      </w:r>
    </w:p>
    <w:p>
      <w:r>
        <w:rPr>
          <w:b w:val="0"/>
        </w:rPr>
        <w:t>Innan vi sluta behandlingen af de förslag, som framkommit om inrättande af samskolor, skall jag be att till</w:t>
        <w:br/>
        <w:br/>
        <w:t xml:space="preserve">protokollet få anmäla, att jag visserligen varit med om inrättandet af Om ändrad sådana åtminstone så till vida, att jag icke opponerat mig däremot, ARP men att jag gjort detta med stor tvekan. En Nea Samskoleidén synes mig vara en ganska äfventyrlig idé. Det läroverk kan gå för sig att tillämpa densamma i sådana skolor, som äro in- = m. m. rättade på ett mera rörligt sätt, än hvad statens skolor äro, där man = (Forts) har mera tillfälle att välja lärare efter behofvet än i statens skolor, och där man lättare än i dessa kan blifva af med lärare, som visa sig olämpliga för sin plats. Jag har af gammalt varit en vän af samskoleidén. Men när jag var i Amerika 1889 och besökte åtskilliga samskolor där, kunde det icke undgå min uppmärksamhet, att </w:t>
      </w:r>
      <w:r>
        <w:rPr>
          <w:b/>
        </w:rPr>
        <w:t>flickorna²</w:t>
      </w:r>
      <w:r>
        <w:rPr>
          <w:b w:val="0"/>
        </w:rPr>
        <w:t xml:space="preserve"> i de högre läroverken sågo synnerligen magra och malätna ut. Jag lät mig dock icke rubbas från den åsikt jag haft. Sedermera ägde häri Stockholm en diskussion rum om samskolor, det var på vetenskapsakademiens hörsal. Många uppträdde till försvar för denna idé och bland dem i synnerhet en finsk </w:t>
      </w:r>
      <w:r>
        <w:rPr>
          <w:b/>
        </w:rPr>
        <w:t>fru²</w:t>
      </w:r>
      <w:r>
        <w:rPr>
          <w:b w:val="0"/>
        </w:rPr>
        <w:t xml:space="preserve">. Men så uppträdde numera aflidne professor Key. Hans anförande gick ut på, att man visserligen icke borde fästa så stort afseende vid många af de farhågor, som uttalats, särskildt de moraliska farhågorna, hvilka under förutsättning af goda och sedliga lärarekrafter icke vore så stora, som mången fruktade; men däremot förklarade han sig icke kunna underlåta att påpeka, att </w:t>
      </w:r>
      <w:r>
        <w:rPr>
          <w:b/>
        </w:rPr>
        <w:t>flickan²</w:t>
      </w:r>
      <w:r>
        <w:rPr>
          <w:b w:val="0"/>
        </w:rPr>
        <w:t xml:space="preserve"> inträder i pubertetsåldern två år tidigare än gossen, och att </w:t>
      </w:r>
      <w:r>
        <w:rPr>
          <w:b/>
        </w:rPr>
        <w:t>hon²</w:t>
      </w:r>
      <w:r>
        <w:rPr>
          <w:b w:val="0"/>
        </w:rPr>
        <w:t xml:space="preserve"> vid denna tid är synnerligen känslig, under det att pojken är särdeles hurtig vid den åldern i pubertetsåldern. Skulle nu </w:t>
      </w:r>
      <w:r>
        <w:rPr>
          <w:b/>
        </w:rPr>
        <w:t>flickorna²</w:t>
      </w:r>
      <w:r>
        <w:rPr>
          <w:b w:val="0"/>
        </w:rPr>
        <w:t xml:space="preserve"> under dessa 2 år följa gossarne, hvilket de göra på grund af sin starka ambition, så vore stor fara för handen, att helsan kunde taga betänklig skada. Professor Key ansåg, att den sjuklighet, som nu för tiden uppenbarar sig bland de unga </w:t>
      </w:r>
      <w:r>
        <w:rPr>
          <w:b/>
        </w:rPr>
        <w:t>flickorna²</w:t>
      </w:r>
      <w:r>
        <w:rPr>
          <w:b w:val="0"/>
        </w:rPr>
        <w:t xml:space="preserve">, väsentligen beror på öfveransträngning under pubertetsåldern. Han fruktade därför, att, om det blefve samskolor och </w:t>
      </w:r>
      <w:r>
        <w:rPr>
          <w:b/>
        </w:rPr>
        <w:t>flickorna²</w:t>
      </w:r>
      <w:r>
        <w:rPr>
          <w:b w:val="0"/>
        </w:rPr>
        <w:t xml:space="preserve"> under denna tid skulle följa med gossarne, faran för öfveransträngning skulle blifva mycket större. Detta gaf mig anledning att tänka, att kanske samskoleidén icke vore så mycket att rekommendera, som man på många håll gjorde. Jag har likväl som sagdt icke velat uppträda emot förslaget om samskolor, men jag har velat till protokollet uttala dessa farhågor.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963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