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1005</w:t>
      </w:r>
    </w:p>
    <w:p>
      <w:r>
        <w:rPr>
          <w:b/>
        </w:rPr>
        <w:t xml:space="preserve">Datum: </w:t>
      </w:r>
      <w:r>
        <w:t>1906-02-28</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Erik Martin (Liberala samlingspartiet, man)</w:t>
      </w:r>
    </w:p>
    <w:p>
      <w:r>
        <w:rPr>
          <w:b w:val="0"/>
        </w:rPr>
        <w:t>Då jag nu måste uppträda i fullkomlig strid mot den talare, som nyss hade ordet, ber jag att till en början få pointera, att det förslag, som föreligger, utmärker sig för en modern anda inom strafflagstiftningen, som måste tilltala hvar och en. Jag tror, att de talare, som förut haft ordet, hafva i någon mån tänkt på endast de förhållanden, som ligga oss närmast. Men jag tror, att inom strafflagstiftningens område det är framför allt nödvändigt att se på den erfarenhet, som har vunnits i den stora världen i allmänhet. Och då jag går ut från denna ståndpunkt, måste det för mig vara klart, att de erfarenheter, som ledt lagstiftningen utom detta land, också måste inverka på lagstiftningen inom detta land.</w:t>
        <w:br/>
        <w:br/>
        <w:t>Inom hela världen har strafflagstiftningen utan tvifvel gått i den riktningen att från en fordran på lagens sträfva upprätthållande gentemot den enskilde också tänka på den enskildes uppfostran genom lagstiftningen om frihetsstraff, och det är också till följd af en känsla af deuna flykt, som går genom hela den öfriga världen, vi säkerligen kommit till det strafflagförslag, som nu föreligger. Här är icke fråga om att blott se till, att den brottslige dömes till ett visst straff, utan att han uppfostras till en bättre människa. Inom hvarje människas natur finnes ovillkorligen något, som heter det bättre och som kan uppfostras. Det är en humanitär uppfattning, som ligger till grund för den modärna strafflagstiftningen, och om man följer den i kommitterades förslag lämnade redogörelsen angående strafflagstiftningen i olika länder, finner man, att den utvecklat sig från en ståndpunkt såsom vår, rättvisans enkla fordran, straff på brott, till en tanke på den enskildes uppfostran genom straffet. I alla de länder, som följt med nutidens förhållanden, hafva därför de olika straffgraderna frånskilts och specificerats i en omfattning, hvartill vi finna motsvarighet i detta förslag, d. v. s. den, som genom sin brottslighet</w:t>
        <w:br/>
        <w:br/>
        <w:t>visat sig vara grym och rå, har behandlats på ett annat sätt än Om ändring den, som genom vissa olyckliga förhållanden kommit in på brottets ? piyga Sal bana. I de länder, som gått främst och där de humanitära inaf straf lagen tressena stå högst — och man kan ju icke förneka, att det (Forts.) torde vara England och Schweiz utom andra länder — har denna reformtanke, som nu föreligger, nämligen å ena sidan en straff-</w:t>
        <w:br/>
        <w:br/>
        <w:t>skärpning för vanliga frihetsbrott och å andra sidan en straff-</w:t>
        <w:br/>
        <w:br/>
        <w:t>lindring för dem, som kunna däraf vara förtjänta, varit genom-</w:t>
        <w:br/>
        <w:br/>
        <w:t>gående i lagstiftning eller lagstiftningssträfvanden. Hvarför skulle</w:t>
        <w:br/>
        <w:br/>
        <w:t>icke äfven vi tänka på, om "det vore lämpligt för oss? Jag tror,</w:t>
        <w:br/>
        <w:br/>
        <w:t>att, om man vill tillämpa ett system, det skall tillämpas konse-</w:t>
        <w:br/>
        <w:br/>
        <w:t>kvent, och om man tänker på uppfostran, så skola å ena sidan</w:t>
        <w:br/>
        <w:br/>
        <w:t>de däraf förtjänta straffas på ett strängare sätt än den, som får</w:t>
        <w:br/>
        <w:br/>
        <w:t>en vanlig, normal bestraffning, och de, som gjort sig förtjänta af</w:t>
        <w:br/>
        <w:br/>
        <w:t>ett mildare straff, erhålla denna mildring.</w:t>
        <w:br/>
        <w:br/>
        <w:t>Det är tydligen detta, som legat till grund för den strafflagstiftning, som nu ifrågasättes. Den råe, den 1 visst fall omöjlige skall straffas särskildt, och den, som icke förtjänar ett sådant straff, utan genom ogynnsamma omständigheter blifvit ledd in på brottets bana, skall få en förmildring. Det är icke egentligen möjligt med vår nuvarande brottmålslagstiftning. Jag tror således, att den nu ifrågavarande lagstiftningen har sina ytterst goda grunder icke endast ur modern lagstiftningssynpunkt, utan äfven ur humanitär synpunkt. Då jag således bedömer detta förslag, måste jag ovillkorligen erkänna, att det är ett moderat förslag. Man finner, att den, som är förtjänt af ett visst frihetsstraff, den kan på grund af brottets råhet få en straffskärpning, och den, som på grund af rådande förhållanden anses böra förtjäna en förmildring, han kan få en lindring. Det gäller att söka uppfostra 1 stället för att straffa, och då man å ena sidan medgifver det rimliga i den ena delen af denna fråga, villkorlig straffdom och villkorlig frigifning, tror jag, att konsekvensen fordrar, att man å andra sidan bör anse, att straffskärpning bör förekomma för dem, som genom synnerlig råhet eller ondska förtjäna det omdömet, att de böra hafva ett strängare straff än vanligt.</w:t>
        <w:br/>
        <w:br/>
        <w:t>Jag återkommer då till de korta frihetsstraffens uppfostrande verkan. Då erfarenheten styrker, att de korta frihetsstraffen hafva ringa eller ingen uppfostrande verkan, är det tydligt, att någon utväg måste ur uppfostringssynpunkt finnas för att straffa den ene något hårdare och den andre något mildare.</w:t>
        <w:br/>
        <w:br/>
        <w:t>I de länder, som jag nyss åberopade, nämligen England och Schweiz, de länder, om hvilka ingen torde kunna säga, att blicken för människovärdet där är försvagad, har denna uppfattning gjort sig gällande, och jag tror, att det är fullt riktigt af den föreslående lagstiftande myndigheten att söka införa samma förhållande äfven hos oss. Man kan ju säga, att verkningarna af detta system icke äro bevisade, man vet icke, huru det verkar och huruvida</w:t>
        <w:br/>
        <w:br/>
        <w:t>Om ändring detta system förbättrar dem, som utsättas för detsamma. Det är sten delar sant, att här är fråga om en teori, men en teori som är stödd af sraltagen på goda rationella grunder, och hvarför skulle vi icke i vårt land (Forts.) söka så fort som möjligt tillämpa en sådan teori som bakom sig har visat sig äga en mera ingående uppfattning af människovärdet. Det är alldeles klart för hvar och en, som varit domare, att de element, som komma till domstolarna, äro till den grad olika, att den, som enligt strafflagen kan dömas till ett lägre straff, måste anses för en mycket större brottsling än den, som enligt strafflagen dömes till ett högre. Denna omständighet att skipa rättvisa i högre mening, att gifva tillfälle till förbättring genom den enes straffande på ett affliktivt sätt och den andres straffande genom förmildring i straffdomen är otvifvelaktigt principiellt riktigt, därom finnes icke något tvifvel. När emellertid en sådan uppfattning skall tillämpas i praktiken, måste jag medgifva, att det ställes synnerligen stora fordringar på domstolarna, och jag har i det fallet den enda anmärkningen mot detta lagförslag, att jag skulle vilja ifrågasätta, huru utan en lagstiftning om fri bevispröfning det är möjligt att tillämpa denna lag. Föredraganden inom Kungl. Maj:ts regering, hans excellens herr justitieministern, tror jag, om jag ej minnes alltför orätt, har motsatt sig att anförtro åt domstolarna fri bevispröfning, Jag har något svårt att förstå, att han, då han gjort det, vill anförtro de svenska domstolarna en långt mera vidtgående pröfning af omständigheter än den, som är förenad med fri bevispröfning. Men han har säkerligen därtill särskilda skäl, och jag uttrycker den förhoppning, att han icke skall underlåta att i hvad på honom ankommer söka komplettera denna lagstiftning, om den går igenom, med ett förslag om fri bevispröfning.</w:t>
        <w:br/>
        <w:br/>
        <w:t>Jag återkommer emellertid till hvad jag förut sagt, att här föreligger en modern reform; här föreligger ett system, hvaraf svårligen den ena delen kan lösryckas från den andra, ett uppfostringssystem i stället för ett kallt bestraffningssystem. Den däraf förtjänte skall straffas särskildt och den däraf personligt förtjänte skall beviljas förmildring.</w:t>
        <w:br/>
        <w:br/>
        <w:t>I fråga om de straffarter, som här äro föreslagna, vågar jag påstå — jag vill icke tala om prygelstraffet, vatten och bröd samt inskränkt kost — att lagstiftningsförslaget har föredragit de minst affliktiva. Jag tror icke, att man kan säga, att någon inhumanitet ligger i detta förslag, och jag anser, att med de synpunkter i fråga om uppfostringssystem i strafflagstiftningen, som jag tagit mig friheten framhålla, det föreliggande förslaget är ett mycket godt förslag.</w:t>
        <w:br/>
        <w:br/>
        <w:t>Jag vågar slutligen betona, att detta kan ju icke göra alla brottslingar bra på något sätt, men det är ett system, som rättar sig efter de mänskliga temperamenten i den mån som det för närvarande är möjligt att tänka sig, och därför tror jag äfven, att</w:t>
        <w:br/>
        <w:br/>
        <w:t>Andra Kammaren icke bör afslå detta förslag, till hvilket jag, Om ändring</w:t>
        <w:br/>
        <w:br/>
        <w:t>i vissa delar herr talman, anhåller att få yrka bifall. af strafflagen Herr Kjellén: Herr talman, mina herrar! I det vimmel Forte)</w:t>
        <w:br/>
        <w:br/>
        <w:t>af ärenden, som nu under dagar och nätter dansar förbi oss, måste vi åter stanna inför en fråga af djupt ingående betydelse.</w:t>
        <w:br/>
        <w:br/>
        <w:t xml:space="preserve">Jag känner mig uppfordrad att yttra några ord i denna sak, därför att jag representerar en annan världsåskådning än de föregående talarne, eller kanske rättare en annan uppfattning af det närvarande rättsmedvetandet. Jag tillåter mig då att först söka bereda ett perspektiv på frågan genom att inställa </w:t>
      </w:r>
      <w:r>
        <w:rPr>
          <w:b/>
        </w:rPr>
        <w:t>henne²</w:t>
      </w:r>
      <w:r>
        <w:rPr>
          <w:b w:val="0"/>
        </w:rPr>
        <w:t xml:space="preserve"> i </w:t>
      </w:r>
      <w:r>
        <w:rPr>
          <w:b/>
        </w:rPr>
        <w:t>hennes²</w:t>
      </w:r>
      <w:r>
        <w:rPr>
          <w:b w:val="0"/>
        </w:rPr>
        <w:t xml:space="preserve"> parlamentariska utveckling.</w:t>
        <w:br/>
        <w:br/>
        <w:t>Det var genom 1896 års fängelsepredikanters väckelserop, som denna reform först bragtes på dagordningen. Från det mest initierade och sakkunniga håll erfor allmänheten då, huru långt det gått med ungdomens förvildning, och man kunde icke underlåta att se detta 1 sammanhang med de korta frihetsstraffen. En person, som tog ett särskildt intryck häraf, var en högt förtjänt, nyligen afliden man i det samhälle, jag har äran att representera. Det var doktor Plhulip Leman. Hans motioner åren 1897 och 1898 utmynnade direkt i Riksdagens skrifvelse år 1898, som ligger till grund för det nu förelagda regeringsförslaget.</w:t>
        <w:br/>
        <w:br/>
        <w:t>Här finner man ett tydligt balansförhållande mellan villkorlig dom och affliktiva straff. Man förstår sammanhanget. Med fördjupad psykologi skiljer man numera mellan vanebrottslingen och den tillfällige brottslingen. Man vill icke, att lagens arm skall drabba för snart och i misshugg träffa den senare. Men man vill på samma gång, att när lagens arm faller, så skall den falla så att det känns. Detta är den tydliga inre enheten i en reform, som afser å ena sidan villkorlig dom och å andra sidan de mera affliktiva straffen.</w:t>
        <w:br/>
        <w:br/>
        <w:t>Formellt åter måste Riksdagens skrifvelse, om man studerar protokollen, anses såsom en kompromiss. A ena sidan ställde man sig mycket tveksam mot den villkorliga domen, men man smälte den för att få de affliktiva straffen. ÅA andra sidan var det tvärtom, man ställde sig mycket tveksam mot de affliktiva straffen, men sväljde dem för att få den villkorliga domen. Det var min högt ärade granne till vänster här i kammaren, som var hufvudtalaren för den förra åsikten, och den nuvarande statsministern, som var hufvudrepresentanten för den senare. Och så drog då hela frågan in på utredningarnas breda väg, tågade via fångvårdsstyrelsen in i en kommitté 1900, upphämtades därur och kom inför regeringen 1904, passerade genom högsta domstolens skärseld 1905, och så hafva vi den nu 1906 på våra pulpeter.</w:t>
        <w:br/>
        <w:br/>
        <w:t>Jag skall här icke uppehålla mig vid den ena sidan af saken. Villkorlig dom och frigifning betraktar jag som experiment, hvilka vi ha råd att kosta på oss och äro skyldiga att</w:t>
        <w:br/>
        <w:br/>
        <w:t>Om ändring företaga. Jag tror i hvarje fall icke, att risken är så stor. Men i vissa delar jag skall koncentrera mig något på den andra vågskålen, den, i</w:t>
        <w:br/>
        <w:br/>
        <w:t>bakom Riksdagens skrifvelse och torde ägna sig att upplysa meningen med densamma, funnos fyra olika slag af sådana straff nämnda. Det var först prygelstraff; så var det inskränkt kost — ett slags återupptagande af det gamla vattenoch brödstraffet; vidare var det hårdt nattläger, och slutligen var det mörkt enrum. Denna vågskål har lättats under ärendets utveckling. Först rensade kommittén bort prygelstraffet, så rensade högsta domstolen bort den inskränkta kosten, och när nu ärendet föreligger för oss, är programmet från 1898 stympadt beträffande den ena vågskålen, så att vi endast hafva kvar två af de föreslagna straffarterna, de som tydligen ansetts som de lindrigaste, nämligen det hårda nattlägret och det mörka enrummet.</w:t>
        <w:br/>
        <w:br/>
        <w:t>Men för att göra återgången klar och alldeles upphäfva det balansförhållande, som från början åsyftades, har man slutligen vid innevarande riksdag i denna kammare väckt motion om strykande af jämväl de två återstående kroppsstraffen. Man har således velat alldeles förrycka den ursprungliga balansen och lyckliggöra brottslingsvärlden både med den villkorliga domen och med den villkorliga frigifningen utan något som helst ökadt obehag.</w:t>
        <w:br/>
        <w:br/>
        <w:t>När jag läste nämnda motion och nu hörde den förste talarens försvar för densamma, kunde jag icke undgå att få ett starkt intryck af den tendens till begränsning, som vidlåder oss alla. Det är nog så, alt vi gärna vilja hafva en synpunkt i sänder för att kunna omfatta den mycket starkt. Vi undersöka icke vid hvarje fråga hela horisonten, utan hafva gärna skygglappar på, så att vi endast se i en viss bestämd riktning. Dessa skygglappar heta fördomar och yttra sig gärna i slagord. De ha den betydelsen, att vi se mycket skarpt i en viss riktning, men de göra oss visserligen icke toleranta och icke heller i det hela klarsynta. När nu den enskildes begränsning i blicken summeras ihop med den andres likartade begränsning, uppstår en allmän opinion, som likaledes måste innehålla en begränsad synvidd. Det visar sig också, att de stora frågorna i regeln utveckla sina olika sidor efter hvarandra. Hvarje tidehvarf fäster sig öfvervägande vid någon särskild af dem och fasthåller den och fördömer de andra. Däraf tidsandans blott relativa giltighet. Detta är hemligheten i den utvecklingsprocess från öfverdrift till öfverdrift, som är så typisk för människans historia. Ty när man länge odlat en sida af sanningen, så märker man slutligen ensidigheten, och då kastar man sig på en ny, motsatt sida. Så skrider tiden fram, idéerna födas, växa, vissna och dö, och det, som en gång var en hög och ren idé, framstår till sist som en</w:t>
        <w:br/>
        <w:br/>
        <w:t>fördom. De politiska fördomarna äro ofta ingenting annat än Om ändring utlefvade idéer. : stra fela</w:t>
        <w:br/>
        <w:br/>
        <w:t>Som en sådan utlefvad idé, ingången i fördomens stadium, af strafflagen tror jag, att man redan kan karakterisera den sentimentala huma- — (Forts. nitet, som arbetade sig fram under förra hälften af förra århundradet och så slog ned i vår strafflag af 1864. Ingen kan bestrida, att 1864 års strafflag innebar en hälsosam reaktion mot förflutna tiders råhet och grymhet, och att den fördjupade uppfattningen af själfva straffet. Förut saknade man allt hjärta för den brottslige individen. Han var endast ett åskådningsmaterial, hvarmed sambhället statuerade »varnagel» för andra illasinnade. Straffet tjänade till att afskräcka från brott och borde vara möjligast kraftigt samt därtill offentligt. Här bakom ligger den åskådningen, att samhällets synpunkt är den enda berättigade. Brottslingen, som ställt sig utom samhällets lagar, har ingen som helst rätt gentemot det allmänna.</w:t>
        <w:br/>
        <w:br/>
        <w:t>Det är klart, att en sådan åskådning måste mot sig uppkalla den personlighetsprincip, som gått ut öfver våra samhällen sedan något öfver ett sekel. Så började småningom vinden vända sig, synpunkten flyttade sig från samhällets risk af brottet till brottslingens fysiska och moraliska skada af straffet. Därmed började nya skygglappar så småningom växa fast. Man stannade där, man började studera sig in i den brottsliges förhållanden, tänka sig in i hans sinnesförfattning, se med hans ögon, känna med hans känslor. Man började söka förmildrande omständigheter, och så stirrade man så intensivt i denna riktning, att man till sist begynte glömma de laglydiges synpunkt. Att skydda dem var icke längre straffets hufvudändamål, utan detta blef att uppfostra och förbättra brottslingen.</w:t>
        <w:br/>
        <w:br/>
        <w:t>Det är konsekvenserna af denna åskådning, som börjat mogna under senaste tider. De »förbättrade» brottslingarna hafva börjat blifva besvärliga för samhällets lugn, och de milda straffen hafva rent af lockat in på brottets bana. Det hjälper icke att förneka den alldagliga erfarenheten, att öfvervåld mot person har tilltagit i en förfärande grad, och man behöfver icke mycket skarpsinne för att se sammanhanget mellan detta notoriska faktum och de korta frihetsstraffen. Det är alltför väl kändt, att mången uraktlåter betala böter eller till och med begår brott för att komma i åtnjutande af fängelsets bekvämlighet.</w:t>
        <w:br/>
        <w:br/>
        <w:t>Sent omsider vill det i alla fall synas, som skulle åter en strömkantring på detta område ha börjat. Man inser, att en reform är nödvändig, och man ser äfven, i hvilken riktning reformen måste gå. Man har börjat förstå, att samhället är skyldigt humanitära hänsyn icke blott till brottslingen, utan äfven till den hederlige medborgaren, den öfverfallne, den bestulne o. 8. v. Man har funnit, att den subjektiva synpunkten af brottslingens förbättring kan på det farligaste inkräkta på den objektiva</w:t>
        <w:br/>
        <w:br/>
        <w:t>skyldigheten att upprättbålla rättsordningen, och man har alltså i viss mån drifvits till en återgång till den gamla åskådningen före 1864, en återgång, hvars lösen är att återgifva straffet dess verkligt afskräckande karaktär utan att beröfva det all möjlighet att förbättra syndaren. Man vill tillgodose både samhällets och brottslingens synpunkt, men samhällets i främsta rummet.</w:t>
        <w:br/>
        <w:br/>
        <w:t>Det är denna synpunkt, det är känslan af denna strömkantring, som jag saknar hos de föregående talarne och allra mest i den motion, som i kammaren har väckts. Motionärerna synas mig alltigenom stå med de gamla skygglapparna på och titta åt väster, medan ljuset har börjat gå upp i öster för världen rundt omkring. För dem tycks brottslingen ännu alltjämt vara något slags fint och äkta porslin, som framför allt måste aktas för väta och stötar. Och man återfinner i deras motivering hela den riktning, som jag anser hafva öfverlefvat sig. Man finner här den »tuktan till förbättring, som med allt straff afses», utan tanke på skydd för samhället. Man finner här såsom bevis mot alla kroppsstraff uttalanden om »den utveckling, som vårt folk under senare tider undergått i kultur och humanitet», men ingen tanke på att denna utveckling kommit djupt på afvägar. Man finner också uttaladt, att »det vore sorgligt, om barbariet åter skulle taga makten öfver oss», tillämpadt på de ifrågasatta kroppsstraffen.</w:t>
        <w:br/>
        <w:br/>
        <w:t>Ja, mina herrar, äfven jag fruktar för ett inbrytande barbari. Men jag ser det icke däri, att barbaren behandlas på sätt, som han förtjänar, utan jag ser det däri, att det beredes honom minskad risk att kränka laglydiga medborgare. Jag ser det däri, att samhället af ömhet om skälmar och våldsverkare icke tager det så noga med omsorgen om laglydiga medborgares lif och lem. Ty det är början till slutet, om samhället glömmer sin första plikt i alla tider, som är att hägna friden. Den kommer i fara, om man gör brottet till en sak mellan samhället och brottslingen, icke mellan samhället och hela allmänheten.</w:t>
        <w:br/>
        <w:br/>
        <w:t>Det är en klagan, som man rätt ofta får höra från vissa håll, att det går en reaktion genom vår tid, ja, vi ha verkligen bevittnat den på många områden: i handelspolitiken och skogslagstiftningen, vi se den nalkas i närimgslagstiftningen, och, mina herrar, den är »en marche» äfven på den politiska representationslagstiftningens område. Det är en reaktion för dem, som ännu hafva sin blick riktad tillbaka på förflutna tiders ideal, det subjektiva frihetsidealet. Jag hälsar den reform, som här nu har föreslagits och mognat till en kungl. proposition, som ett nytt tecken på, att denna hälsosamma reaktion mot en osund öfverdrift är i annalkande på ett så viktigt område som den allmänna straffrättens.</w:t>
        <w:br/>
        <w:br/>
        <w:t>Jag vill däremot icke underlåta att uttala mitt beklagande däröfver, att man har stympat programmet från 1898 och således</w:t>
        <w:br/>
        <w:br/>
        <w:t>ännu icke vågat taga steget tillbaka till ett sundt, positivt kropps- Om ändring straff. Jag säger »ännu icke», ty jag är lifligt öfrertygad, att” åtra, Fen det skall komma — naturligtvis i helt andra former än förr och af FRaragen först och främst utan all offentlighet. Då en idé återkommer, (Forts.) är det nämligen alltid på ett högre plan och således i en annan</w:t>
        <w:br/>
        <w:br/>
        <w:t>klädnad och fördjupad genom erfarenheten från de förirringar,</w:t>
        <w:br/>
        <w:br/>
        <w:t>för hvilka den till äfventers varit utsatt. Jag menar, att om man</w:t>
        <w:br/>
        <w:br/>
        <w:t>har konstaterat det onda, skall man säkerligen, med folkets sunda</w:t>
        <w:br/>
        <w:br/>
        <w:t>instinkt, veta att drabba det på det rätta sättet, och då skall</w:t>
        <w:br/>
        <w:br/>
        <w:t>man också behandla en barbarisk brottsling på det sätt, som han</w:t>
        <w:br/>
        <w:br/>
        <w:t>förstår. Man skall icke skjuta in i frågan sin egen känsla, sina</w:t>
        <w:br/>
        <w:br/>
        <w:t>egna nerver, sina egna idéer, utan man måste studera brotts-</w:t>
        <w:br/>
        <w:br/>
        <w:t>lingens psykologi. Den är en annan än den laglydiges, men det</w:t>
        <w:br/>
        <w:br/>
        <w:t>är efter sin psykologi och icke efter den fredlige och hederlige medborgarens, som brottslingen skall behandlas.</w:t>
        <w:br/>
        <w:br/>
        <w:t>Jag tror, att hit hör under vissa förutsättningar ett verkligt kroppsstraff såsom i längden för alla parter det mest hälsosamma. Jag skall nu icke gå närmare in på denna fråga. Jag vill endast säga, att, då motionärerna här vädjat till ett justitieråd, jag också kan vädja till ett lika högt vittne. Jag finner nämligen i den kungl. propositionen på sidan 33, att justierådet Quensel uttalat om prygelstraffet, att han anser detta »ingalunda vara, användt mot vissa brottslingar, ett så förkastligt medel, som man numera har sökt göra gällande.» Jag skall också tillåta mig att läsa upp några rader ur en i tidningarna förut offentliggjord skrifvelse från chefen för skeppsgossekåren, i hvilken förekommer följande: »Jag har talat med många om önskvärdheten af att införa aga för skeppsgossar eller i allmänhet för ynglingar under 18 år, och de, hvilka ej hafva delat denna uppfattning, hafva varit lätt räknade och uteslutande bestått af jurister. Dessa hafva ryckt på axlarna och utan att angifva några praktiska skäl emot endast framhållit, att det ur formell synpunkt skulle vara en återgång till föråldrade strafformer.</w:t>
        <w:br/>
        <w:br/>
        <w:t>Det har sagts, att vårt land nu skall söka rycka sig lös ur formalismens och byråkratiens polyparmar för att på reella och praktiska grunder reformera, där så är af nöden.</w:t>
        <w:br/>
        <w:br/>
        <w:t>Här finnes ett behof, hvilket funnits i minst 20 år, men ingen har haft mod att hålla riset, fast alla önskat, att det skulle gå. Följden uteblef ej heller. Disciplinen inom skeppsgossekåren blef en visa i hela landet.&gt; Jag skulle önska, att jag kunde föredraga denna skrifvelse i dess helhet. Den är ytterst anmärkningsvärd icke endast i och för sig, utan äfven såsom ett af de talrika tidstecknen i den riktning, som jag här velat framhålla.</w:t>
        <w:br/>
        <w:br/>
        <w:t>Herr talman! Jag har intet yrkande. Jag har endast velat uttala ett beklagande, att man icke nu vågat taga steget fullt ut i frågan om de affliktiva straffen. Och jag vill sluta med</w:t>
        <w:br/>
        <w:br/>
        <w:t>makten öfver oss!»</w:t>
      </w:r>
    </w:p>
    <w:p>
      <w:pPr>
        <w:pStyle w:val="Heading2"/>
      </w:pPr>
      <w:r>
        <w:t>2. Erik Leksell (Socialdemokraterna, man)</w:t>
      </w:r>
    </w:p>
    <w:p>
      <w:r>
        <w:rPr>
          <w:b w:val="0"/>
        </w:rPr>
        <w:t xml:space="preserve">Herr talman, mina herrar! En ärad talare sade, att detta strafflagförslag måste tilltala oss alla. Detta må nu vara en sanning, men det kan åtminstone icke tilltala oss alla på samma sätt, ty det tilltalar ingalunda mig på ett godt sätt. Tvärtom, då jag läste detta lagförslag, så föreföll det mig, som om det i alla fall skulle vara bra underligt, om detta icke vore en reform bakåt. Jag tror icke, att man vinner sin afsikt genom att på detta sätt skärpa lagen. Utskottet låter oss förstå, att afsikten är att upprätta den brottslige och återvinna honom åt samhället såsom en nyttig medlem. Men jag skulle näppeligen tro, att det är möjligt att åstadkomma detta genom att plåga honom — åtminstone gäller detta för flertalet. Jag kan undra, huru många af kammarens ledamöter försökt att natt efter natt lägga sig på golfvet, att tillbringa natten på golfvet utan sängkläder. Jag tycker, att man väl ändock borde hafva någon sorts erfarenhet om hvad det gäller, då man nu vill gå till väga på detta sätt. De föreslagna skärpningarna öfverträffa till och med hvad som stadgas i krigslagen — åtminstone enligt krigslagens tidigare lydelse. Det kan ju hända, att på senare tider äfven den blifvit skärpt, men för åtskilliga 10-tal år sedan fanns enligt krigslagen icke någon möjlighet att hålla en person under mer än fyra dygn i sänder i mörk arrest. Därefter skulle ett dygns ljus arrest inträda. Det är ju alldeles klart, att, om en människa inspärras i en mörk cell utan sängkläder, </w:t>
      </w:r>
      <w:r>
        <w:rPr>
          <w:b/>
        </w:rPr>
        <w:t>hon²</w:t>
      </w:r>
      <w:r>
        <w:rPr>
          <w:b w:val="0"/>
        </w:rPr>
        <w:t xml:space="preserve"> måste somna, då tröttheten öfverväldigar </w:t>
      </w:r>
      <w:r>
        <w:rPr>
          <w:b/>
        </w:rPr>
        <w:t>henne²</w:t>
      </w:r>
      <w:r>
        <w:rPr>
          <w:b w:val="0"/>
        </w:rPr>
        <w:t xml:space="preserve">. </w:t>
      </w:r>
      <w:r>
        <w:rPr>
          <w:b/>
        </w:rPr>
        <w:t>Hon²</w:t>
      </w:r>
      <w:r>
        <w:rPr>
          <w:b w:val="0"/>
        </w:rPr>
        <w:t xml:space="preserve"> kan naturligtvis icke sofva det första dygnet, detta är ju alldeles klart, men </w:t>
      </w:r>
      <w:r>
        <w:rPr>
          <w:b/>
        </w:rPr>
        <w:t>hon²</w:t>
      </w:r>
      <w:r>
        <w:rPr>
          <w:b w:val="0"/>
        </w:rPr>
        <w:t xml:space="preserve"> måste någon gång somna, då tröttheten tager öfverhand, och då, såsom redan förut är påpekadt, temperaturen vid brösthöjd kan gå ned till 14”, hvilken temperatur råder då på golfvet? Jag kan också tillkännagifva för kammaren, att man berättat för mig, att i Malmö länsfängelse, där man såsom disciplinstraff för fångar begagnat att taga från dem sängkläderna, inträffat, att fången nödgats gå uppe hela natten. Ja, det blir att gå uppe natt och dag, då det är lika kallt både natt och dag. Men naturligtvis måste fången ändock någon gång lägga sig, och hvad blir då följden annat än förkylning?</w:t>
        <w:br/>
        <w:br/>
        <w:t>Men nu har lagutskottet behändigt nog kommit ifrån detta. Utskottet har, såsom det heter i motiveringen, öfverlämnat åt läkaren att undersöka brottslirgen. Kan kammaren också lika lättvindigt komma ifrån saken? Kunna vi nu besluta, att denna</w:t>
        <w:br/>
        <w:br/>
        <w:t>lag är tidsenlig och god och skall verka till förbättring af dem, Om ändring som möjligen komma i delo med rättvisan, samt säga, att vi nu” pina far öfverlämna åt läkaren att stå för risken? Hvad skall läkaren då 7 strafflag ” undersöka? Skall han undersöka, om fången fryser, eller skall (Forts.) han undersöka, om fångarna komma att frysa olika mycket? ” Detta blefve dock ganska underligt, ty då finge man ändra värmeledningen i de olika fängelserna. I den och den cellen förvaras en fånge, som tål att frysa mycket. Han behöfver icke så mycket värme. I en annan cell åter hafva vi en fånge, som icke tål att frysa så mycket. Han behöfver mera värme. Detta blir krångligt nog. Med bästa vilja i världen kan läkaren enligt min uppfattning icke stå till ansvar härför, han må vara aldrig så samvetsgrann. Att den motion, som afgifvits i detta ämne, skulle vinna något gehör, var, om jag så får uttrycka mig, ju icke att vänta. Men vi, som undertecknat densamma, hafva dock velat framlägga den för att gifva till känna, att det icke förhåller sig så, att lagförslaget tilltalar oss. Här har alldeles nyss hållits ett tal, så grannt, så vackert och så mjukt, nämligen af herr Kjellén, att, om praktiken vid lagens tillämpning ginge lika ledigt, lika mjukt och lika bra, allt vore väl beställdt. Jag skall, herr talman, nu icke här göra något yrkande. Men jag hoppas i likhet med någon af mina företrädare, som haft ordet, att få återkomma.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1005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