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1024</w:t>
      </w:r>
    </w:p>
    <w:p>
      <w:r>
        <w:rPr>
          <w:b/>
        </w:rPr>
        <w:t xml:space="preserve">Datum: </w:t>
      </w:r>
      <w:r>
        <w:t>1907-02-20</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Aaby Ericsson (Första kammarens protektionistiska parti, man)</w:t>
      </w:r>
    </w:p>
    <w:p>
      <w:r>
        <w:rPr>
          <w:b w:val="0"/>
        </w:rPr>
        <w:t>Herr talman! Då talaren på stockholmsbänken inledde sitt anförande med regeringsformens sköna ord: »Konungen bör ingens samvete tvinga eller tvinga låta», så trodde jag, att talaren skulle komma till ett motsatt slut mot det, hvartill han kom. Det skäl, hvarför han icke kunde biträda förslaget, var hufvudsakligen det, att han befarade, att andra personer, än de som hade en allvarlig religiös. öfvertygelse, skulle begagna sig af möjligheten till befrielse från militär tjänstgöring och således. annullera verkan af lagen om värnplikt.</w:t>
        <w:br/>
        <w:br/>
        <w:t>Jag tror dock, att denna farhåga kan anses undanröjd genom hvad som redan förekommit och särskildt genom hvad som anförts af herr borgmästar Lindhagen. Man skulle nämligen fordra icke endast en högtidlig försäkran af personen i fråga, utan därjämte intyg af personer i den värnpliktiges hemort. Allt detta är tydligen tillräckligt för att förekomma missbruk härutinnan.</w:t>
        <w:br/>
        <w:br/>
        <w:t>För öfrigt synes det mig, att grundsatsen att respektera samvetsfriheten — en. grundsats. som i vårt land omfattats sedan uråldriga tider — fordrar, att man härvidlag bör vara ytterst samvetsöm och varsam.</w:t>
        <w:br/>
        <w:br/>
        <w:t>Men alldeles säkert är, att det här icke kan få fortfara så,</w:t>
        <w:br/>
        <w:br/>
        <w:t>som hittills skett, nämligen att man sätter sådana personer i fän- Om -anordgelse, som hafva en från den allmänna uppfattningen afvikande "Mae a öfvertygelse, utan vi måste respektera den. Om vi icke kunna met arbrteän förstå den, det är en annan sak, men det går icke an att sätta dem vapenöfning. i häkte. Och då synes ingen annan utväg finnas, än att man be- = (Forts.) friar dem. Nu är frågan: »under hvilken form skola de befrias? Antingen de skola, såsom utskottet föreslagit, åläggas annat arbete, som icke kan hänföras till militärtjänst, eller de, i likhet med hvad borgmästar Lindhagen föreslagit, skola tillåtas vara helt och hållet fria?» Jag tror, att båda utvägarna hafva sina skäl för sig. Går man in på borgmästar Lindhagens förslag, så är det dock möjligt att göra den invändningen: »att dylika personer helt och hållet befrias, under det att andra äro skyldiga att undergå vapenöfning, strider emot grundsatsen om allas jämlikhet inför lagen.&gt; Jag tror icke heller, att det är farligt att ansluta sig till utskottets hemställan. För mig finnes det äfven ett annat skäl att göra detta. Det finnes nämligen icke något hopp att vinna framgång åt saken annat än genom att bifalla såväl utskottets kläm som äfven dess motivering.</w:t>
        <w:br/>
        <w:br/>
        <w:t>Jag ber därför, herr talman, att få förena mig med utskottets vice ordförande i hans hemställan.</w:t>
        <w:br/>
        <w:br/>
        <w:t>Herr Kropp: Herr talman, mina herrar! Att den fråga, som nu är föremål för behandling, och som Andra Kammaren nu snart kommer att fatta beslut i — ett beslut som jag vill hoppas skall komma att gå i öfverensstämmelse med lagutskottets utlåtande — att denna fråga, säger jag, är af djupt ingripande art, det tror jag vi alla och enhvar kunna vara öfverens om. Ja, jag tror icke, att jag skall af kammarens ledamöter :anses vara naiv, om jag till och med påstår att den föreliggande :frågan är en af de största frågorna, om man nämligen ser den ur rent mänsklig, moralisk, humanitär synpunkt.</w:t>
        <w:br/>
        <w:br/>
        <w:t>Oaktadt denna min uppfattning kan jag: dock icke gilla den motivering, som finnes i lagutskottets utlåtande, en motivering som icke -på något sätt — så att säga — verkar i sådan riktning, att Just det vackra bud, som finnes i vår grundlag, och som här redan omnämnts, nämligen att Konungen icke bör någons samvete tvinga eller tvinga låta, i vidsträcktare mening efterlefves. Ty, mina herrar, det finnes dock här i lifvet faktorer, som verka så -på det unga uppväxande -släktet, att de unga, utan att behöfva hafva den varma religiösa öfvertygelse, hvarom här talats, dock kunna känna sig föranlåtna satt anse öfvande i vapnens bruk vara afskyvärdt, rent -ut sagdt.</w:t>
        <w:br/>
        <w:br/>
        <w:t>Jag skall endast tillåta mig att citera något af hvad som för åtskilliga år sedan "yttrades i det engelska parlamentet af :parlamentsledamoten Henry Richard. Visserligen förelåg icke då där till behandlingen :sådan fråga som «denna, utan det rörde sig om</w:t>
        <w:br/>
        <w:br/>
        <w:t>Om anordinförandet af skiljedomstolar, men jag förmodar i alla fall, att den</w:t>
        <w:br/>
        <w:br/>
        <w:t>frågan mycket väl kan jämföras med den nu förevarande. Sir</w:t>
        <w:br/>
        <w:br/>
        <w:t>vapenöfning. genom kriget, bland annat följande: »Betraktom härnäst krigets</w:t>
        <w:br/>
        <w:br/>
        <w:t>inflytande på deras karaktär, som göra det till sitt handtverk. De låta lega sig till att slakta, göra sig till slafviska verktyg i härskares hand, till att verkställa deras blodigaste handlingar, utan en tanke på rättvisan af den sak, de strida för. Af män, som blifvit uppfostrade på stridsfältet till vildhet, vana att begå grymheter, vana att taga människolif, utan sorg eller samvetskval, vana att anse ett tanklöst mod såsom den enda dygd, uppmuntrade af plundring och slöseri, inöfvade af beständiga äfventyr i vågstycken, sammanhållna endast af en järnhård krigsaga, som icke kan vidmakthållas under fred, och medelst krigets oregelbundenheter vordne oskicklige för det vanliga lifvets lugna, enformiga värf — hvad kan man vänta af sådana män annat än förakt mot mänskliga rättigheter och gudomliga lagar?» Han yttrade vidare med hänsyn till krigets verkningar på samhället i dess helhet: »Krigets inflytande på samhället i dess helhet, på dess välstånd samt sedliga och politiska inrättningar är också bedröfligt. Allmänna bördorna ökas, under det att medlen att bära dem förminskas. Inre reformer försummas. Så verkar det förstörande i alla riktningar. Kulturutvecklingen hämmas. Fredens vanliga värf rubbas. Landet blottas på sin kraftigaste befolkning. Statsinkomsterna uttömmas i krigsomkostnader.&gt; Jag vill äfven återgifva hvad han vidare yttrade: »Härefter framhöll motionären med väckande kraft, hvilken skam och nesa det är för civiliserade nationer att på barbarens vis afgöra sina stridigheter, som ofta endast utgöras af missförstånd och olika uppfattning af samma saker. Alla regeringar i Europa öda största delen af sina inkomster på krigsväsendet, medan massor af deras undersåtar sjunka ned i fattigdom, okunnighet och förnedring. Folket beder om bröd, och regeringen bjuder det kulor och krut. Folket beder om uppfostran, och det får rekrytskolor. Det beder om bättre bostäder, hvari det kan lefva ett sedligt familjelif, och man gifver det baracker och fästningar. Se», fortsatte han, »på hela jordens yta dessa människor af alla åldrar, i alla lefnadsställningar, af alla färger, se hur ihärdigt de arbeta, för att afvinna naturen medel till lifvets uppehälle och välfärd: somliga å kontoren, i fabrikerna, på verkstäderna, andra på fälten eller ute på hafven, åter andra i jordens inre eller vid smältugnarne. De hafva blott ett mål, ty samma lag drifver dem alla att sträfva efter detta — att förbättra sina lefnadsvillkor genom arbete. Och när de ha arbetat, när det från deras händer utgående lifvet så att säga gjort tingen lefvande, när deras befruktande svett frambragt korn ur sädesfälten, vin af drufvan, kläder från fabriken, nyttiga redskap från verkstaden, när de nöjda med resultatet af deras dagars och veckors arbete: börja hoppas att i fred få inhösta frukt af deras</w:t>
        <w:br/>
        <w:br/>
        <w:t xml:space="preserve">möda, så slår regeringens brutala hand ned på denna heliga höst. Om anord- </w:t>
      </w:r>
      <w:r>
        <w:rPr>
          <w:b/>
        </w:rPr>
        <w:t>Hon²</w:t>
      </w:r>
      <w:r>
        <w:rPr>
          <w:b w:val="0"/>
        </w:rPr>
        <w:t xml:space="preserve"> röfvar den bästa säden, det bästa vinet, det bästa Verktyget, nynpidiige ar de bästa kläderna. </w:t>
      </w:r>
      <w:r>
        <w:rPr>
          <w:b/>
        </w:rPr>
        <w:t>Hon²</w:t>
      </w:r>
      <w:r>
        <w:rPr>
          <w:b w:val="0"/>
        </w:rPr>
        <w:t xml:space="preserve"> tager det bästa järnet, för att däraf göra annat arbete än kanoner, och de bästa människor, för att göra dem till lik.&gt; Ja, vapenöfning. detta må vara nog. (Forts.) Såsom kammarens ledamöter torde finna, är det såsom ren fredsvän jag ser denna fråga. Såsom vi veta, tränger sig fredsidén fram genom hela världen, så att säga, allt djupare och djupare, särskildt i de breda lagren, och denna idé skapar just en sådan fredsmoral hos det unga uppväxande släktet, att ingen torde finna det förunderligt, om äfven hos dem, hvilka icke ha en varm religiös öfvertygelse, likväl motvilja finnes för att öfva sig i vapnens bruk för att sedermera kunna slakta sina medmänniskor. Jag har icke nägot yrkande att framställa, herr talman, utan jag skulle, såsom jag förut nämnde, helst se, att kammaren antoge lagutskottets förevarande hemställan. Då vore det första steget taget, och helt säkert skola vi inom en snar framtid kunna taga det stora, slutliga, afgörande steget.</w:t>
      </w:r>
    </w:p>
    <w:p>
      <w:pPr>
        <w:pStyle w:val="Heading2"/>
      </w:pPr>
      <w:r>
        <w:t>2. Rudolf Kjellen (Det förenade högerpartiet, man)</w:t>
      </w:r>
    </w:p>
    <w:p>
      <w:r>
        <w:rPr>
          <w:b w:val="0"/>
        </w:rPr>
        <w:t>Herr talman! Lagutskottet har i denna fråga hållit en medelväg mellan tvenne olika ståndpunkter, å ena sidan det bestående cirkuläret af den 20 febr. 1902, där man redan tagit en viss hänsyn till »allvarliga samvetsbetänkligheter», å andra sidan den åsikt, som representeras af den ledamot inom denna kammare, som vill, så att säga, taga absolut hänsyn till samvetsbetänkligheter. Det är några ord i hans reservation, som jag icke kan underlåta att här något omnämna, särskildt med hänsyn till samme reservants begäran, att klara och principiella synpunkter böra komma fram i frågan, och det är de orden: &gt;Det är nämligen Just ett statsintresse af första ordningen att ej tvinga någons samvete. Att i dylika fall ådöma medlemmar i samhället borgerliga straff inrebär om något ett åsidosättande af statsintressena.»</w:t>
        <w:br/>
        <w:br/>
        <w:t>Jag har högaktning för det öfvertygelsens allvar, som präglar den ärade reservantens politiska arbete, men han får förlåta mig, att det tyckes mig slå ut en rent af reaktionär luft ur detta resonemang. Det är alldeles, som om jag sutte och läste art. 2 i de mänskliga rättigheternas förklaring af den 26 aug. 1789 — således för nära 120 år sedan — där det heter, att staten har icke något annat hufvudintresse än att skydda de privata, de mänskliga, rättigheterna. Vi veta alla, huru väl befogad den ståndpunkten var då, i det att mänskligheten slafvade under ett alltför ensidigt tillgodoseende af statens eller de allmänna intressena. Men det har gått långa tider sedan dess, och vi ha därunder varit i tillfälle att göra många erfarenheter. Jag tror icke, att det är det tryckande statstvånget, som nu kännes som faran för flertalet af oss; jag tror snarare, att vi numera äro beredda att mera allmänt erkänna, att bredvid de mänskliga rättigheterna finnas de mänskliga plik-</w:t>
        <w:br/>
        <w:br/>
        <w:t>terna, och att staten har att bevara och skydda icke blott mänskliga rättigheter, utan ock mänskliga plikter och först och främst de nationella plikterna.</w:t>
        <w:br/>
        <w:br/>
        <w:t>Här är icke fråga om att tvinga någons samvete för ro skull, ty det skulle gifvetvis innebära åsidosättande af ett statsintresse, utan här står staten inför ett val: skall den tvinga ett enskildt samvete och fylla en nationell uppgift, nämligen bevara nationens själfständighet, eller skall den åsidosätta denna uppgift och bringa nationens själfständighet i fara, endast för att icke tvinga det privata samvetet? Det är detta val som här är frågan om. Erkänner man statsbegreppet såsom det högre, då är det väl klart, att det innebure ett verkligt åsidosättande af statsintresset, om staten skulle låta detta stora, allmänna mål fara ur sikte endast för att bevara respekten för den enskilda öfvertygelsen.</w:t>
        <w:br/>
        <w:br/>
        <w:t>Jag får också :säga, att det kan finnas skillnad på samvete och samvete. Här har nyligen yttrats, att svenska folket gjort en stor gärning i samvetsfrihetens sak, och jag tror, att vi alla äro eniga om, att det är vårt största minne. 'Men den gärningen gjordes icke med ömtålig hänsyn till privata intressen och öfvertygelser, nej, den gjordes med de tyngsta offer af enskilda intressen, denna vår gärning i samvetsfrihetens sak. Men jag fruktar, att det pu kan vara frågan om en samvetsfrihet, som i grund och botten endast är en mask för afsikten att komma undan enskilda bördor. Det är mycket vackert att tro, att vi alltid äro sådana, som ett inneboende gudomligt samvete skapar oss; men jag är rädd för, att det också finnes samveten, hvilka äro sådana, som vi göra dem; det finnes mycket väl dresserade samveten. När nu en så stor frestelse föreligger som den att kunna komma undan en stor medborgerlig</w:t>
        <w:br/>
        <w:br/>
        <w:t>börda, kan det hända — sådan är nog, fruktar jag, världen — att ganska många skulle vilja använda samvetet som en lättköpt förevändning.</w:t>
        <w:br/>
        <w:br/>
        <w:t xml:space="preserve">Och det behöfver visst icke vara rent hyckleri, utan det kan äfven vara den mest allvarliga öfvertygelse. Det kan komma till en verklig principiell motsats mellan två berättigade intressen. Det kan vara allmänt humanitära motiv, såsom då »fredsvännerna» till äfventyrs -kunde finna vägen till deras mål vara den, att de hvar för sig i sina länder icke fullgjorde värnplikten. Man kan sedan gå ett steg längre och säga: hvad jag förtjänar till mitt, min </w:t>
      </w:r>
      <w:r>
        <w:rPr>
          <w:b/>
        </w:rPr>
        <w:t>hustrus²</w:t>
      </w:r>
      <w:r>
        <w:rPr>
          <w:b w:val="0"/>
        </w:rPr>
        <w:t xml:space="preserve"> och mina barns nödtorftiga uppehälle, det förbjuder mig mitt samvete att lämna till någon annan, till staten; och så kan omsorgen om samvetsfrihet leda därhän, att det heter: vi måste ha skattefrihet. Ja, man kan komma därhän i samvetsfrihetens namn, att man icke anser sig behöfva nedlägga sitt arbete för ett klassintresses skull eller till förmån för en fackförening göra några uppoffringar af hvad man 'behöfver för </w:t>
      </w:r>
      <w:r>
        <w:rPr>
          <w:b/>
        </w:rPr>
        <w:t>hustru²</w:t>
      </w:r>
      <w:r>
        <w:rPr>
          <w:b w:val="0"/>
        </w:rPr>
        <w:t xml:space="preserve"> och barn — en konsekvens, som .reservanten kanske icke vill taga i dess helhet.</w:t>
        <w:br/>
        <w:br/>
        <w:t>Jag menar alltså, att, om man tillägger hvarje enskildt sam-</w:t>
        <w:br/>
        <w:br/>
        <w:t>vete vitsord emot det nationella samvetet, då angriper man också Om anordstatens egen existens från rent praktisk synpunkt. På det sättet ”randeför vissa kan denna fråga, såsom den siste talaren sade, blifva en af de ”Enprikiige Z allra största frågor. Ett medgifvande i detta fall kan blifva en vapenöfning. bakväg, på hvilken så småningom aktningen för de statsliga plik- = (Forts. terna undergräfves, och däraf kan till sist den nuvarande statens existens vara beroende.</w:t>
        <w:br/>
        <w:br/>
        <w:t>Det är på dessa skäl, som jag ber att få ansluta mig till det af herr Palme framställda yrkandet om afslag å utskottets hemställan.</w:t>
      </w:r>
    </w:p>
    <w:p>
      <w:pPr>
        <w:pStyle w:val="Heading2"/>
      </w:pPr>
      <w:r>
        <w:t>3. Jakob Byström (Liberala samlingspartiet, man)</w:t>
      </w:r>
    </w:p>
    <w:p>
      <w:r>
        <w:rPr>
          <w:b w:val="0"/>
        </w:rPr>
        <w:t>Herr talman, mina herrar! Det är icke blott de personer, som detta lagutskottsbetänkande närmast omhandlar, det här gäller. Det finnes äfven åtskilliga andra, som beröras af denna fråga. Jag har sålunda resonerat med en del officerare, hvilka varit synnerligen bekymrade öfver, att de nödgats hålla i häkte personer, hvilka, såvidt de kunnat fatta, af varm religiös öfvertygelse känt sig förhindrade att göra sin värnplikt. Det skulle, tror jag, vara många inom officerskåren, som blefve Riksdagen synnerligen tacksamma, om den kunde finna några utvägar ur de svårigheter, som de ha nu vid behandlingen af sådana beväringsynglingar, hvarom här är fråga.</w:t>
        <w:br/>
        <w:br/>
        <w:t>Det må väl vara tillräckligt att tro på dessa ynglingars djupa allvar, när de kunna låta kasta sig i häkte ända till 7 gånger, hellre än att de underkasta sig exercis. Hvad fordra herrarne för garanti ytterligare?</w:t>
        <w:br/>
        <w:br/>
        <w:t xml:space="preserve">Sedan må man komma ihåg, att i många fall ha dessa beväringsynglingar opinionen med sig. Såsom exempel härpå kan anföras, att, när en kronobetjänt vid ett tillfälle kom för att hämta en ung man, som redan suttit i häkte 2 gånger för vägran att göra sin värnplikt, stod beväringsynglingen denna tredje gång redo att följa kronobetjänten och visade alls icke något tecken till motstånd, men han anhöll, att han och hans </w:t>
      </w:r>
      <w:r>
        <w:rPr>
          <w:b/>
        </w:rPr>
        <w:t>hustru²</w:t>
      </w:r>
      <w:r>
        <w:rPr>
          <w:b w:val="0"/>
        </w:rPr>
        <w:t xml:space="preserve"> — han var då nämligen gift — först skulle på sitt sätt få tillbedja sin Gud. Detta gjorde ett sådant intryck på kronobetjänten, att han var nästan ur stånd att föra denne man med sig till vederbörande mönstringsplats. När de kommo dit, voro likaledes de, som skulle taga hand om den värnpliktige, bekymrade, huru de skulle förfara med honom. De undersökte mannen, jag vill minnas ända fill tre gånger, innan de kunde upptäcka något fel på honom, som kunde möjliggöra för dem att kassera honom. Slutligen funno de, att ett af fingrarna på honom icke var riktigt bra, och så var han nog litet krokig på ryggraden, tycktes det; på så sätt funno de skäl till att kunna kassera mannen, så att han icke behöfde sättas i häkte.</w:t>
        <w:br/>
        <w:br/>
        <w:t xml:space="preserve">När vid ett annat tillfälle ett par ynglingar frigåfvos, hvilka hållits häktade på grund af utaf samvetsbetänklighet föranledd vägran att deltaga i vapenöfning, ställde fängelsedirektörens </w:t>
      </w:r>
      <w:r>
        <w:rPr>
          <w:b/>
        </w:rPr>
        <w:t>fru²</w:t>
      </w:r>
      <w:r>
        <w:rPr>
          <w:b w:val="0"/>
        </w:rPr>
        <w:br/>
        <w:br/>
        <w:t>mn 1 aren ” Jag skulle kunna draga fram flera sådana exempel, som visa, (Forts.) huru en del folk betrakta saken och huru svårt officerarne ha att reda sig i vissa fall. Jag tror därför, att det vore en stor välgärning, om Riksdagen bifölle lagutskottets här förevarande förslag. Jag vill också, innan jag slutar mitt anförande, uttala mitt erkännande åt såväl lagutskottet som reservanten för den välvilja de visat denna motion — en välvilja, som jag också tycker motionen väl förtjänar. Herr talman! Jag ber att få yrka bifall till lagutskottets</w:t>
        <w:br/>
        <w:br/>
        <w:t>hemställan. Häruti instämde herrar Hammarström och Ericsson i Alberga.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1024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