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1036</w:t>
      </w:r>
    </w:p>
    <w:p>
      <w:r>
        <w:rPr>
          <w:b/>
        </w:rPr>
        <w:t xml:space="preserve">Datum: </w:t>
      </w:r>
      <w:r>
        <w:t>1907-05-02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Albert Petersson (Lantmanna- och borgarepartiet inom andrakammaren, man)</w:t>
      </w:r>
    </w:p>
    <w:p>
      <w:r>
        <w:rPr>
          <w:b w:val="0"/>
        </w:rPr>
        <w:t>Herr talman, mina herrar! TLedamoten af denna kammare, herr Lindhagen, har med kammarens begifvande till mig riktat två spörsmål. Det första så lydande:</w:t>
        <w:br/>
        <w:br/>
        <w:t>»Har herr statsrådet behjärtat, att frågan om upphäfvandet af lagens kvarstående stadgande om mannens målsmanskap är en viktig angelägenhet, som kräfver ett snart afgörande?»&gt;</w:t>
        <w:br/>
        <w:br/>
        <w:t>Härå får jag svara, att hvarje lagstiftningsärende, däri Riksdagen begärt utredning och förslag, för mig framstår såsom en viktig angelägenhet, som kräfver afgörande, så snart det med hänsyn till förhandenvarande förhållanden är möjligt.</w:t>
        <w:br/>
        <w:br/>
        <w:t>Interpellantens fråga är, såsom han själf angifvit, föranledd däraf, att jag vid besvarandet af en föregående interpellation, för att i någon mån belysa omfattningen af det arbetsmaterial, som för närvarande hvilar i lagbyrån, uppräknade åtskilliga lagärenden utan att bland dessa omnämna äfven det nu ifrågavarande; och häraf tager han sig anledning att befara, att frågan undanskjutits till en obestämd framtid. Jag tror ej, att en sådan slutsats med fog kan dragas af mina ord. Jag angaf uttryckligen, att förteckningen å hvilande lagärenden icke var fullständig; och något som helst uttalande angående den ordning, hvari dessa skulle upptagas till behandling, gjorde jag icke.</w:t>
        <w:br/>
        <w:br/>
        <w:t>Det kan nämligen icke vara annorlunda, än att valet af det ämne, som vid en viss tidpunkt skall upptagas till behandling, måste blifva beroende af många andra omständigheter än den tidsföljd, bvari ärendet inkommit. Så till exempel måste man till en Riksdag, som såsom nästa års är den sista i en treårsperiod, söka få fram sådana grundlagsfrågor, som kräfva afgörande. Jag erinrar i detta hänseende om frågan om regeringsrätten, hvilken fråga antagligen måste till stor del bearbetas i lagbyrån. Då vidare under nästa år sammanträder kyrkomöte, böra särskildt uppmärksammas sådana lagförslag, som äro af kyrkolagsnatur eller eljest böra till kyrkomötet hänskjutas. Och frånsedt dylika särskilda förhållanden, måste hänsyn tagas till ämnets omfattning</w:t>
        <w:br/>
        <w:br/>
        <w:t>Interpellanten har vidare sport: (Forts.)</w:t>
        <w:br/>
        <w:br/>
        <w:t xml:space="preserve">&gt;Om det redan nästa riksdag kan emotses ett lagförslag, som med borttagandet af mannens målsmanskap uttryckligen tillerkänner gift </w:t>
      </w:r>
      <w:r>
        <w:rPr>
          <w:b/>
        </w:rPr>
        <w:t>kvinna¹</w:t>
      </w:r>
      <w:r>
        <w:rPr>
          <w:b w:val="0"/>
        </w:rPr>
        <w:t xml:space="preserve"> myndighet likaväl som den ogifta?»</w:t>
        <w:br/>
        <w:br/>
        <w:t xml:space="preserve">Med anledning af denna fråga tillåter jag mig erinra, att den i ämnet aflåtna riksdagsskrifvelsen innehåller hemställan, att Kungl. Maj:t täcktes taga i öfvervägande, i hvad mån gällande lagstiftning om </w:t>
      </w:r>
      <w:r>
        <w:rPr>
          <w:b/>
        </w:rPr>
        <w:t>hustrus²</w:t>
      </w:r>
      <w:r>
        <w:rPr>
          <w:b w:val="0"/>
        </w:rPr>
        <w:t xml:space="preserve"> rättsliga ställning kan för jämkning eller förtydligande böra omarbetas, i syfte, att, utan väsentlig rubbning af de grunder, hvarpå denna lagstiftning hvilar, </w:t>
      </w:r>
      <w:r>
        <w:rPr>
          <w:b/>
        </w:rPr>
        <w:t>hustrus²</w:t>
      </w:r>
      <w:r>
        <w:rPr>
          <w:b w:val="0"/>
        </w:rPr>
        <w:t xml:space="preserve"> rättsställning måtte blifva mera klart och följdriktigt bestämd än för närvarande, samt </w:t>
      </w:r>
      <w:r>
        <w:rPr>
          <w:b/>
        </w:rPr>
        <w:t>hennes²</w:t>
      </w:r>
      <w:r>
        <w:rPr>
          <w:b w:val="0"/>
        </w:rPr>
        <w:t xml:space="preserve"> myndighet, i den mån den ej anses böra af mannens målsmanskap begränsas, klart och tydligt i lagen varda uttryckt, hvarjämte Riksdagan begärt framläggande af förslag till de lagbestämmelser i ämnet, hvartill förhållandena kunde föranleda.</w:t>
        <w:br/>
        <w:br/>
        <w:t>I motiveringen till denna hemställan har Riksdagen anfört flera exempel, hvilka enligt Riksdagens mening ådagalägga, att lagstiftningen på förevarande område lider af brister, som det vore önskvärdt att få afhjälpta. Om härtill lägges, att dessa ämnen falla inom ett område af civillagstiftningen, som visat sig vara det allra svåraste, torde det utan öfverdrift kunna sägas, att den begärda utredningen kommer att blifva vidtomfattande och kräfva stor varsamhet.</w:t>
        <w:br/>
        <w:br/>
        <w:t>Nu anser visserligen interpellanten, att saken jämförelsevis lätt kan ordnas genom några till omfattningen ganska obetydliga lagändringar, till hvilka interpellanten såsom motionär vid 1903 års riksdag afgifvit förslag. Om riktigheten af denna uppfattning vågar jag för närvarande icke uttala mig. Det synes mig emellertid icke uteslutet, att utredningen af frågan kan gifva det resultat, att vida mera genomgripande ändringar i gällande lag, än dem interpellanten tänkt sig, måste göras, om syftemålet med omarbetningen skall ernås.</w:t>
        <w:br/>
        <w:br/>
        <w:t>Med afseende å hvad jag sålunda anfört och under hänvisning till hvad jag vid ett föregående tillfälle yttrat beträffande otillräckligheten af de arbetskrafter, hvaröfver lagbyrån förfogar, vågar jag icke ställa i utsikt, att nästa års Riksdag skall kunna få lagförslag i ämnet sig förelagdt. Ännu mindre kan jag, innan utredningen i ämnet kommit till stånd, yttra mig om innehållet i ett blifvande förslag.</w:t>
      </w:r>
    </w:p>
    <w:p>
      <w:pPr>
        <w:pStyle w:val="Heading2"/>
      </w:pPr>
      <w:r>
        <w:t>2. Carl Lindhagen (Socialdemokraterna, man)</w:t>
      </w:r>
    </w:p>
    <w:p>
      <w:r>
        <w:rPr>
          <w:b w:val="0"/>
        </w:rPr>
        <w:t>Herr talman, mina herrar! Jag får till en början uttala min tacksamhet till herr justitieministern för att han välvilligt har besvarat mitt spörsmål. Men jag måste</w:t>
        <w:br/>
        <w:br/>
        <w:t>Svar &amp; interuppriktigt tillstå, att denna tacksamhet skulle kommit djupare ur</w:t>
        <w:br/>
        <w:br/>
        <w:t>hjärtat, ifall herr justitieministern ock i sitt svar hade, såsom jag hoppades, tillkännagifvit någon personlig ställning till ifrågavarande spörsmål. Det är ju klart, att frågan, hur snart och på hvilket sätt en dylik sak blir framlagd, ganska mycket beror på hvilken ställning den man intar till saken, som skall framlägga densamma. Vi ha vid besvarandet af andra interpellationer funnit, att där den väckta frågan särskildt legat vederbörande minister om hjärtat, har han både uttalat detta och sagt, att han skulle göra allt hvad på honom ankomme för att frågan måtte så snart som möjligt komma fram. Jag tror icke, att jag misstar mig, om jag af det svar, herr justitieministern lämnade, måste draga den slutsatsen eller åtminstone hysa den farhågan, att herr justitieministern icke anser, att denna sak är en så brådskande angelägenhet, som det föresväfvat mig.</w:t>
        <w:br/>
        <w:br/>
        <w:t>Jag vill då till en början upplysa om, att det icke var uppräkningen af femton olika ärenden, hvilka närmast förelågo inom justitiedepartementet till afgörande, som utgjorde verkliga anledningen till detta mitt spörsmål. Detvar en förevändning, hvarför jag framställde min fråga just nu, men jag kan nämna, att detta spörsmål är hos mig redan från början af riksdagen upprepade: gånger bestäldt af dem saken vederbör, och jag har skjutit upp: saken i det längsta, därför att jag trott, att den på något annat sätt skulle komma fram. I annat fall hade jag icke upptagit kammarens dyrbara tid med denna sak.</w:t>
        <w:br/>
        <w:br/>
        <w:t xml:space="preserve">Nu framböll herr justitieministern, att man icke kan upptaga en fråga annat än i den mån det af förhållandena göres möjligt att upptaga densamma, och han frambhöll särskildt, att man i första hand måste upptaga de grundlagsfrågor, som föreligga. Jag vill då fästa uppmärksamheten på, att just denna fråga om mannens målsmansskap kan sägas vara, om ej formellt af grundlags-, så dock af konstitutiv natur. Jag vill då först och främst erinra om den politiska rösträtten för gift </w:t>
      </w:r>
      <w:r>
        <w:rPr>
          <w:b/>
        </w:rPr>
        <w:t>kvinna¹</w:t>
      </w:r>
      <w:r>
        <w:rPr>
          <w:b w:val="0"/>
        </w:rPr>
        <w:t xml:space="preserve">. Det är visserligen klart, att mannens målsmanskap icke utgör något hinder för att gifva sådan </w:t>
      </w:r>
      <w:r>
        <w:rPr>
          <w:b/>
        </w:rPr>
        <w:t>kvinna¹</w:t>
      </w:r>
      <w:r>
        <w:rPr>
          <w:b w:val="0"/>
        </w:rPr>
        <w:t xml:space="preserve"> politisk rösträtt. Så har ju skett i Finland, där gift </w:t>
      </w:r>
      <w:r>
        <w:rPr>
          <w:b/>
        </w:rPr>
        <w:t>kvinna¹</w:t>
      </w:r>
      <w:r>
        <w:rPr>
          <w:b w:val="0"/>
        </w:rPr>
        <w:t xml:space="preserve"> fått politisk rösträtt, oaktadt mannens målsmanskap kvarstår. Men man finner, att öfverallt, där man söker lägga hinder i vägen för </w:t>
      </w:r>
      <w:r>
        <w:rPr>
          <w:b/>
        </w:rPr>
        <w:t>kvinnans¹</w:t>
      </w:r>
      <w:r>
        <w:rPr>
          <w:b w:val="0"/>
        </w:rPr>
        <w:t xml:space="preserve"> politiska rösträtt, föreställer man sig gärna och åberopar och frambhåller för den i saken obekante, att det nog ligger något däri, att man icke kan gifva gift </w:t>
      </w:r>
      <w:r>
        <w:rPr>
          <w:b/>
        </w:rPr>
        <w:t>kvinna¹</w:t>
      </w:r>
      <w:r>
        <w:rPr>
          <w:b w:val="0"/>
        </w:rPr>
        <w:t xml:space="preserve"> rösträtt, förrän mannens målsmanskap borttagits. Redan detta är ju ett bevis för att saken dock har stor aktuell betydelse.</w:t>
        <w:br/>
        <w:br/>
        <w:t xml:space="preserve">För öfrigt rör frågan öfver hufvud taget den gifta </w:t>
      </w:r>
      <w:r>
        <w:rPr>
          <w:b/>
        </w:rPr>
        <w:t>kvinnans¹</w:t>
      </w:r>
      <w:r>
        <w:rPr>
          <w:b w:val="0"/>
        </w:rPr>
        <w:t xml:space="preserve"> möjlighet att uppträda i sambhällslifvet, ty det måste för </w:t>
      </w:r>
      <w:r>
        <w:rPr>
          <w:b/>
        </w:rPr>
        <w:t>henne²</w:t>
      </w:r>
      <w:r>
        <w:rPr>
          <w:b w:val="0"/>
        </w:rPr>
        <w:t xml:space="preserve"> själf vara en förnärmelse, lindrigast sagdt, att detta omyndighetsmärke skall hvila öfver </w:t>
      </w:r>
      <w:r>
        <w:rPr>
          <w:b/>
        </w:rPr>
        <w:t>henne²</w:t>
      </w:r>
      <w:r>
        <w:rPr>
          <w:b w:val="0"/>
        </w:rPr>
        <w:t xml:space="preserve">, äfven om </w:t>
      </w:r>
      <w:r>
        <w:rPr>
          <w:b/>
        </w:rPr>
        <w:t>hon²</w:t>
      </w:r>
      <w:r>
        <w:rPr>
          <w:b w:val="0"/>
        </w:rPr>
        <w:t xml:space="preserve"> i själfva verket</w:t>
        <w:br/>
        <w:br/>
        <w:t xml:space="preserve">är myndig, och det måste vara ett hinder för </w:t>
      </w:r>
      <w:r>
        <w:rPr>
          <w:b/>
        </w:rPr>
        <w:t>henne²</w:t>
      </w:r>
      <w:r>
        <w:rPr>
          <w:b w:val="0"/>
        </w:rPr>
        <w:t>, att öfver- Svar &amp; interallt detta målsmanskap åberopas som en anledning att betvifla pellation.</w:t>
        <w:br/>
        <w:br/>
      </w:r>
      <w:r>
        <w:rPr>
          <w:b/>
        </w:rPr>
        <w:t>hennes²</w:t>
      </w:r>
      <w:r>
        <w:rPr>
          <w:b w:val="0"/>
        </w:rPr>
        <w:t xml:space="preserve"> myndighet för att deltaga i samhällslifvet. </w:t>
      </w:r>
      <w:r>
        <w:rPr>
          <w:b/>
        </w:rPr>
        <w:t>Kvinnornas¹</w:t>
      </w:r>
      <w:r>
        <w:rPr>
          <w:b w:val="0"/>
        </w:rPr>
        <w:t xml:space="preserve"> inmarsch i samhället för att deltaga i de sociala frågornas afgöranden kräfver som en naturlig följd och förutsättning, att mannens målsmanskap genast aflyftes.</w:t>
        <w:br/>
        <w:br/>
        <w:t xml:space="preserve">Men man finner allt mer och mer, att detta spörsmål liksom så mycket annat nog ej kommer till sin rätt, förrän </w:t>
      </w:r>
      <w:r>
        <w:rPr>
          <w:b/>
        </w:rPr>
        <w:t>kvinnorna¹</w:t>
      </w:r>
      <w:r>
        <w:rPr>
          <w:b w:val="0"/>
        </w:rPr>
        <w:t xml:space="preserve"> själfva fått politisk rösträtt. Den formella synpunkt, herr justitieministern anlade på saken, innefattar, tror jag, ett ytterligare bevis för nödvändigheten af att </w:t>
      </w:r>
      <w:r>
        <w:rPr>
          <w:b/>
        </w:rPr>
        <w:t>kvinnans¹</w:t>
      </w:r>
      <w:r>
        <w:rPr>
          <w:b w:val="0"/>
        </w:rPr>
        <w:t xml:space="preserve"> politiska rösträtt icke framskjutes till en aflägsen framtid, utan att dess lösning måste ske samtidigt med männens rösträttsfråga.</w:t>
        <w:br/>
        <w:br/>
        <w:t>Statsrådets ledamöter — — — — — ministrar, sändebud och konsuler hos främmande makter, samt de ämbetsoch tjänstemän, som innehafva befattningar &amp;å stat i utrikesdepartementet och vid beskickningarna, hafva förtroendesysslor — — — — därtill skäl äga.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1036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