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1114</w:t>
      </w:r>
    </w:p>
    <w:p>
      <w:r>
        <w:rPr>
          <w:b/>
        </w:rPr>
        <w:t xml:space="preserve">Datum: </w:t>
      </w:r>
      <w:r>
        <w:t>1909-05-03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Jakob Byström (Liberala samlingspartiet, man)</w:t>
      </w:r>
    </w:p>
    <w:p>
      <w:r>
        <w:rPr>
          <w:b w:val="0"/>
        </w:rPr>
        <w:t>Herr talman! Då jag antager, att jag nu kan få säga några ord med anledning af den reservation, jag afgifvit vid detta betänkande, nämligen med anledning af herr Jansons i Bråten motion, och då detta förslag icke alldeles nödvändigt behöfver falla, därför att voteringen fått den utgång, den fick, skall jag be att med anledning af ifrågavarande motion få yrka, att Riksdagen behagade besluta att i skrifvelse till Kungl. Maj:t anhålla, det täcktes Kungi. Maj:t låta verkställa en allsidig utredning, om och på hvad sätt det nuvarande sambandet mellan kyrkan och staten lämpligen må varda upplöst, samt till Riksdagen inkomma med de förslag, hvartill denna utredning må gifva anledning.</w:t>
        <w:br/>
        <w:br/>
        <w:t>Jag gör detta yrkande, därför att jag anser det önskvärdt, att man icke längre behöfver hålla på, utan så snart som möjligt kan undslippa att behandla mera ingående religiösa spörsmål i Riksdagen, ett forum som jag anser knappast vara lämpligt för diskussion af liknande frågor. Jag skulle kunna framdraga flere exempel på detta från de senaste årens diskussioner här i Andra Kammaren.</w:t>
        <w:br/>
        <w:br/>
        <w:t xml:space="preserve">Jag vill också erinra om, att många betydande uttalanden hafva gjorts, om nödvändigheten af att få sambandet mellan staten och kyrkan upplöst. Det har ju, som framhållits, t. o. m. förekommit motion därom vid kyrkomötet, där lektor P. Waldenström fört sakens talan med den styrka och begåfning, som utmärka honom. Han säger, att »kyrkan har i statskyrkoformen sökt statens stöd för sig. </w:t>
      </w:r>
      <w:r>
        <w:rPr>
          <w:b/>
        </w:rPr>
        <w:t>Hon²</w:t>
      </w:r>
      <w:r>
        <w:rPr>
          <w:b w:val="0"/>
        </w:rPr>
        <w:t xml:space="preserve"> har därigenom trott sig vinna yttre trygghet och styrka. Men om </w:t>
      </w:r>
      <w:r>
        <w:rPr>
          <w:b/>
        </w:rPr>
        <w:t>hon²</w:t>
      </w:r>
      <w:r>
        <w:rPr>
          <w:b w:val="0"/>
        </w:rPr>
        <w:t xml:space="preserve"> ock en tid vunnit hvad </w:t>
      </w:r>
      <w:r>
        <w:rPr>
          <w:b/>
        </w:rPr>
        <w:t>hon²</w:t>
      </w:r>
      <w:r>
        <w:rPr>
          <w:b w:val="0"/>
        </w:rPr>
        <w:t xml:space="preserve"> önskat i det afseendet, så har utvecklingen ledt därtill, att statskyrkoformen slutligen blifvit och redan länge varit </w:t>
      </w:r>
      <w:r>
        <w:rPr>
          <w:b/>
        </w:rPr>
        <w:t>hennes²</w:t>
      </w:r>
      <w:r>
        <w:rPr>
          <w:b w:val="0"/>
        </w:rPr>
        <w:t xml:space="preserve"> vanmakt.»</w:t>
        <w:br/>
        <w:br/>
        <w:t xml:space="preserve">Pastorn för friförsamligen i Gäfle säger, att &gt;så länge kyrkan skall lyda under staten, har man nog ej att vänta, att </w:t>
      </w:r>
      <w:r>
        <w:rPr>
          <w:b/>
        </w:rPr>
        <w:t>hon²</w:t>
      </w:r>
      <w:r>
        <w:rPr>
          <w:b w:val="0"/>
        </w:rPr>
        <w:t xml:space="preserve"> skall i alla fall få rätta sig efter Herrens ord. — — Kyrkans sammankoppling med en stat, som på sin höjd vill ha kristendomen som en dekoration, måste verka förlamande på </w:t>
      </w:r>
      <w:r>
        <w:rPr>
          <w:b/>
        </w:rPr>
        <w:t>henne²</w:t>
      </w:r>
      <w:r>
        <w:rPr>
          <w:b w:val="0"/>
        </w:rPr>
        <w:t xml:space="preserve"> och betraktas som </w:t>
      </w:r>
      <w:r>
        <w:rPr>
          <w:b/>
        </w:rPr>
        <w:t>hennes²</w:t>
      </w:r>
      <w:r>
        <w:rPr>
          <w:b w:val="0"/>
        </w:rPr>
        <w:t xml:space="preserve"> djupa förnedringstillstånd.»&gt;</w:t>
        <w:br/>
        <w:br/>
        <w:t>Pastor T. Truvé vid baptistförsamlingen i Göteborg yttrar: »Jag tror ej, att med statskyrkans afskaffande religion och moral förfalla. Redan nu torde lika kraftig verksamhet för både kristendom och moral utföras af medlemmar utom statskyrkan som inom densamma.»</w:t>
        <w:br/>
        <w:br/>
        <w:t>Vid ett i dagarne i Kristinehamn hållet större möte, där man diskuterade om »statskyrka och frikyrka» uttalade sig predikanten J. Norberg i Göteborg för frikyrkans företräde framför statskyrkan. Och metodistpastor J. M. Eriksson har yttrat sig i samma riktning.</w:t>
        <w:br/>
        <w:br/>
        <w:t>Den kommitté, som haft att ordna frikyrkokonferensen, och som består af medlemmar från alla tre större frikyrkosamfunden, har också uttalat &gt;den förhoppningen, att denna för Sveriges religiösa utveckling så betydelsefulla sak» skall komma att lefva och blifva</w:t>
        <w:br/>
        <w:br/>
        <w:t>omfattad med allt större intresse, till dess kyrkans skiljande från staten är ett fullbordadt faktum.»</w:t>
        <w:br/>
        <w:br/>
        <w:t>Men det är icke blott dessa frikyrkligt sinnade personer, som hysa en sådan åsikt och som nära ett sådant önskemål. Afven andra göra det. För icke så länge sedan höll t. ex. biskop Hjalmar Danell ett föredrag i Sköfde, i hvilket han framhöll, om jag minnes rätt, ungefär att forntidens eller den apostoliska tidens kyrka var en frikyrka, och att han trodde, att framtidens kyrka också skulle komma att blifva en frikyrka. Men sedan kommer det, som är så vanligt från statskyrkans män, att för närvarande äro förhållandena sådana, att statskyrkosystemet må iännu försvara sin plats i värt land.</w:t>
        <w:br/>
        <w:br/>
        <w:t>Jag kunde äfven erinra om uttalanden af en sådan man, som prosten Helge Donatus Jansson, som i en serie artiklar i tidningen » Vårt Lands» bilaga i fjol gjorde sädana uttalanden, som jämte de svar, som gåfvos därpå visa, att många inom det statskyrkliga området icke ställa sig främmande för möjligheten af upplösandet af sambandet mellan staten och kyrkan.</w:t>
        <w:br/>
        <w:br/>
        <w:t>Jag kunde äfven erinra om en del andra, till exempel om hvad en framstående prästman, som tillhör Riksdagen, har sagt i denna fråga. men vill icke därmed nu upptaga tiden.</w:t>
        <w:br/>
        <w:br/>
        <w:t>Jag vill vidare blott i korthet påpeka, huru samma åsikt nämligen lämpligheten af statskyrkosystemets upphäfvande gör sig gällande i andra länder. I Norge hafva på detta område högst märkliga yttranden förekommit och likaledes i England. I Wales synes det endast vara en tidsfråga, när sambandet mellan stat och kyrka kommer att upplösas och, såsom vi veta, är det redan upplöst i Frankrike för att nu icke tala om förhållandena i en del andra länder.</w:t>
        <w:br/>
        <w:br/>
        <w:t xml:space="preserve">Det synes mig ej lyckligt att på sätt som skett koppla samman stat och kyrka. Jag skulle vilja likna det vid ett äktenskap mellan en neger och en hvit </w:t>
      </w:r>
      <w:r>
        <w:rPr>
          <w:b/>
        </w:rPr>
        <w:t>kvinna¹</w:t>
      </w:r>
      <w:r>
        <w:rPr>
          <w:b w:val="0"/>
        </w:rPr>
        <w:t>. Det kan gå ganska lyckligt, men oftast anser man det vara synnerligen olämpligt, och jag tror, att dessa äktenskap äro bland dem, som kunna kallas för mesallians. I all synnerhet om ett sådant äktenskap kommer att utmärka sig genom trätor och strider, måste det vara bättre att upplösa detsamma. Jag tycker, att något liknande börjat här, ty så snart en religiös fråga kommit på Riksdagens bord, blir det trätor och kif. Jag erinrar t. ex. om den diskussion, som hölls härom natten, under hvilken, såsom jag tyckte, de mest förnuftiga orden yttrades af min ärade granne herr Sandquist. Flera förhållanden synas mig tala för, att sambandet mellan stat och kyrka bör upplösas. Och ju förr det sker desto hellre. Jag är lifligt öfvertygad om, att kristendomens makt skall visa sig stark utan statens stöd, och säkerligen är det bäst med en fri kyrka i en fri stat.</w:t>
        <w:br/>
        <w:br/>
        <w:t>Men på samma gång jag sagt detta och nu yrkar bifall till den reservation jag afgifvit, vill jag ock bestämdt hafva sagt, att så icke skett på grund af någon fientlighet mot kyrkan eller mot den kristliga tron, hvilken jag anser mig varmt omfatta och älska, men jag</w:t>
        <w:br/>
        <w:br/>
        <w:t>vill icke, att sambandet mellan stat och kyrka skall vara kvar, då jag ej tror, att det är rätta formen för kyrkans, för Kristi kyrkas framträdande bland människorna. På grund af hvad jag nu framhållit ber jag, herr talman att få yrka, att Riksdagen behagade besluta att i skrifvelse till Kungl. Maj:t anhålla, det täcktes Kungl. Maj:t låta verkställa en allsidig utredning om och på hvad sätt det nuvarande sambandet mellan kyrkan och staten lämpligen må varda upplöst samt till Riksdagen inkomma med de förslag, hvartill denna utredning må gifva anledning.</w:t>
      </w:r>
    </w:p>
    <w:p>
      <w:pPr>
        <w:pStyle w:val="Heading2"/>
      </w:pPr>
      <w:r>
        <w:t>2. Knut Henning Gezelius von Scheele (–, man)</w:t>
      </w:r>
    </w:p>
    <w:p>
      <w:r>
        <w:rPr>
          <w:b w:val="0"/>
        </w:rPr>
        <w:t xml:space="preserve">Herr talman, mina herrar! Hvad som nu blifvit föreslaget af herr Byström finner jag vara ett lämpligt komplement till det beslut, som af kammaren nyss fattats. Jag ber därför att få ansluta mig till det yrkande, han gjorde, utan någon som helst anslutning till det sätt, hvarpå han motiverade detta skrifvelseförslag. Min motivering är en helt annan. Afven jag anser nämligen en allsidig utredning icke kunna vara annat än nyttig med hänsyn till det läge, hvari den synnerligt viktiga frågan om förhållandet mellan stat och kyrka i vårt land nu kommit. Det från skilda håll här i landet alltmer otvetydigt framträdande betraktelsesättet af prästerna inom svenska kyrkan såsom rätt och slätt statstjänare, likställda med andra statens tjänstemän, har medfört anspråk, som äro oförenliga med själfva begreppet af en kristen kyrka. Därför måste svenska kyrkans mer djupseende vänner icke mindre än </w:t>
      </w:r>
      <w:r>
        <w:rPr>
          <w:b/>
        </w:rPr>
        <w:t>hennes²</w:t>
      </w:r>
      <w:r>
        <w:rPr>
          <w:b w:val="0"/>
        </w:rPr>
        <w:t xml:space="preserve"> aktningsvärda motståndare önska frågans utredning i första rummet ur principiell synpunkt. Men därtill komma ock de faktiska svårigheter, som »äro förenade med en så stor och mångsidig frågas tillfredsställande lösning» och hvilka utskottet icke tvekar att i likhet med motionären beteckna såsom »oerhörda».</w:t>
        <w:br/>
        <w:br/>
        <w:t>Hvad jag föreställer mig den föreslagna utredningen särskildt skulle tjäna att lägga 1 dagen, är kärleken hos de djupa lagren ute i landet till Sveriges kyrka trots våra, prästernas, många och stora brister, en kärlek, som jag är öfvertygad skulle visa sig hafva vida fastare rötter i vårt folks hjärtan, än hvad en del yttranden i denna kammare icke blott i dag utan jämväl vid andra tillfällen gifvit anledning att antaga. Detta är min tro, mitt hopp. Skulle åter mot min förmodan resultatet af den ifrågasatta utredningen bli ett helt annat, nå, då anser äfven jag det önskvärdt, ja nödvändigt, att skilsmässa — hur smärtsam en sådan än komme att kännas för mig och många — sker, emedan då den oundgängliga förutsättningen för en sådan förbindelses gagn och glädje, folkets förtroende, saknas.</w:t>
        <w:br/>
        <w:br/>
        <w:t>På grund af hvad jag nu antydningsvis anfört, ber jag, herr talman, få yrka bifall till herr Byströms hemställan, med uttryckligt framhållande af det om eller huruvida, hvarmed hans likasom motionärens utredningsförslag ju inledes.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1114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