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1116</w:t>
      </w:r>
    </w:p>
    <w:p>
      <w:r>
        <w:rPr>
          <w:b/>
        </w:rPr>
        <w:t xml:space="preserve">Datum: </w:t>
      </w:r>
      <w:r>
        <w:t>1909-05-12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Lars Johan Jansson (Lantmanna- och borgarepartiet inom andrakammaren, man)</w:t>
      </w:r>
    </w:p>
    <w:p>
      <w:r>
        <w:rPr>
          <w:b w:val="0"/>
        </w:rPr>
        <w:t xml:space="preserve">Herr talman! Vid denna punkt har jag jämte mina medkamrater i utskottet från Andra Kammaren aflåtit en reservation till utskottets betänkande. Denna reservation afser egentligen föreskriften i mom. a) i sjunde punkten angående elevantalet vid högre </w:t>
      </w:r>
      <w:r>
        <w:rPr>
          <w:b/>
        </w:rPr>
        <w:t>flickskola²</w:t>
      </w:r>
      <w:r>
        <w:rPr>
          <w:b w:val="0"/>
        </w:rPr>
        <w:t>, att i med dylik skola förbundet gymnasiums tre högsta årsklasser lärjungeantalet under de tre senaste åren skall hafva i medeltal uppgått till endast 18 stycken.</w:t>
        <w:br/>
        <w:br/>
        <w:t xml:space="preserve">Vi hafva för vår del ansett, att, då villkoret för beviljandet af anslag till högre </w:t>
      </w:r>
      <w:r>
        <w:rPr>
          <w:b/>
        </w:rPr>
        <w:t>flickskola²</w:t>
      </w:r>
      <w:r>
        <w:rPr>
          <w:b w:val="0"/>
        </w:rPr>
        <w:t xml:space="preserve"> i hvarje fall sammanhänger med</w:t>
        <w:br/>
        <w:br/>
        <w:t>förefintligheten af ett verkligt behof af dylik skola, man knappast kan påstå, att detta behof är för handen, då elevantalet i gymnasiet är så obetydligt. I öfverensstämmelse med denna vår mening hafva vi därför hållit före, att det vore lämpligt att föreskrifva som villkor härutinnan, att antalet lärjungar i ifrågavarande klasser icke får understiga 24.</w:t>
        <w:br/>
        <w:br/>
        <w:t>Jag ber, herr talman, att få yrka bifall till denna vår reservation, som icke innebär annan ändring, än att minimitalet, som i utskottets förslag är upptaget till 18, i stället sättes till 24.</w:t>
      </w:r>
    </w:p>
    <w:p>
      <w:pPr>
        <w:pStyle w:val="Heading2"/>
      </w:pPr>
      <w:r>
        <w:t>2. unknown (–, –)</w:t>
      </w:r>
    </w:p>
    <w:p>
      <w:r>
        <w:rPr>
          <w:b w:val="0"/>
        </w:rPr>
        <w:t>Jag skall be att få påpeka, att i motiveringen till denna punkt, hvilken motivering återfinnes i betänkandet på sid. 37, förekomma nederst å sidan två små stycken, mot hvilka reservation blifvit anmäld. Redogörelsen för huru med det föreliggande ärendet förhåller sig lämnas i betänkandet å sid. 35 och närmast följande. Där erinras därom, att under den tid, då ännu ingen läroverksöfverstyrelse fanns till, så var det föreskrifvet, att eforalstyrelserna skulle lämna intyg om vissa hygieniska förhållanden vid de privata skolor, som begärt statsunderstöd. Så kom med år 1904 läroverksöfverstyrelsen, och denna styrelse fick öfverinseendet icke blott öfver de allmänna läroverken, utan äfven öfver de statsunderstödda privatskolorna. Kungl. Maj:t föreslog då för några år sedan, att eforalstyrelsernas befattning med den hygieniska tillsynen öfver de privata läroverken skulle upphöra. Andra Kammaren biföll Kungl. Maj:ts förslag, men Första Kammaren vägrade. På grund häraf hafva de statsunderstödda privatläroverken sedan dess varit underkastade en dubbel inspektion, dels en allmän, såväl pedagogisk som hygienisk från läroverksöfverstyrelsens sida, dels därjämte en speciellt hygienisk från eforalstyrelsernas sida. Båda hafva utöfvat denna inspektion genom af dem tillsatta lokalinspektorer. Detta har ledt till konflikter mellan de båda myndigheterna, som sålunda skulle hafva inspektionen sig anförtrodd, konflikter, för hvilka redogöres i departementschefens anförande till statsrådsprotokollet och som onekligen i åtskilliga stycken ha en ganska tragikomisk färg. ; Departementschefen har förklarat sig stå ganska rådlös och vill själf icke framlägga något förslag till lösning af ifrågavarande besyn-</w:t>
        <w:br/>
        <w:br/>
        <w:t>Angående nerliga historia. Han skjuter den helt och hållet ifrån sig till Riksstatsunderstöd dagen och säger: Vill Riksdagen hafva det så, är jag med om det, och JE erna on vill Riksdagen hafva det på ett annat sätt, så kan jag vara med äfven skilda läroanom detta, men någon lösning måste det bli, så att läroverken komma stalter m. m. under en enhetlig inspektion. På grund af detta uttalande väckte</w:t>
        <w:br/>
        <w:br/>
        <w:t>(Forts.) jag m. fl. motion om att den hygieniska inspektionen skulle helt och hållet flyttas öfver till läroverksöfverstyrelsen. Alla medlemmarna i det särskilda utskottet från båda kamrarna utan undantag hafva erkänt, att så borde ske, och att det icke är någon mening med, att en hygienisk inspektion utöfvas af eforalstyrelserna. Därom har också utskottet uttalat sig på sid. 37 i betänkandet.</w:t>
        <w:br/>
        <w:br/>
        <w:t xml:space="preserve">Men då har i stället den tanken framkommit, att man borde ge ett slags vederlag för borttagandet af den hygieniska inspektionen och i stället skänka eforalstyrelserna en befogenhet, som de hittills icke hafva haft, nämligen en pedagogisk inspektion i vissa afseenden öfver förevarande skolor. Denna inspektion skulle utöfvas icke blott öfver de högre </w:t>
      </w:r>
      <w:r>
        <w:rPr>
          <w:b/>
        </w:rPr>
        <w:t>flickskolorna²</w:t>
      </w:r>
      <w:r>
        <w:rPr>
          <w:b w:val="0"/>
        </w:rPr>
        <w:t xml:space="preserve"> och de enskilda mellanskolorna, som ju ha uppstått af de lägre samskolorna, utan dessutom äfven öfver de kommunala mellanskolor, som nu blifvit föreslagna. Men när man så kom till den frågan: skall denna inspektion utöfvas också öfver de förutvarande »enskilda läroverken» (hvilka nu skola heta högre goss-skolor och samskolor), och öfver de enskilda lärarinneseminarierna, så ryggade utskottet tillbaka och sade: nej, det vilja vi ej vara med om. Det är endast herr von Mentzer, som fullt dragit ut konsekvenserna och yrkat, att en inspektion af eforalstyrelserna skulle utöfvas såväl öfver högre </w:t>
      </w:r>
      <w:r>
        <w:rPr>
          <w:b/>
        </w:rPr>
        <w:t>flickskolor²</w:t>
      </w:r>
      <w:r>
        <w:rPr>
          <w:b w:val="0"/>
        </w:rPr>
        <w:t xml:space="preserve"> samt enskilda och kommunala mellanskolor som ock öfver goss-skolor och samskolor samt enskilda lärarinneseminarier.</w:t>
        <w:br/>
        <w:br/>
        <w:t>Nu hafva jag och åtskilliga kamrater inom utskottet icke kunnat föreställa oss, att Andra Kammaren skulle vilja vara med om att införa en inspektion af eforalstyrelserna på ett område, där dessa myndigheter hittills icke haft någon sådan inspektion sig tillerkänd. Vi hafva föreställt oss, att ett sådant öfverflyttande — som ju för öfrigt varit föreslaget hvarken i någon motion eller i Kungl. Maj:ts proposition — skulle vara så mycket mer omöjligt, som vi just under dessa sista dagar fått bevittna, att kammaren velat ha hela förhållandet mellan kyrka och stat, mellan kyrka och skola, underkastadt en genomgripande utredning och revision. För min personliga del har jag varit mycket betänksam mot det förslag, som härom framställts såväl från statskyrkligt som från frikyrkligt håll. Men kammaren har ju dock nu i alla fall beslutat den, och det skulle enligt min mening vara mycket märkvärdigt, om kammaren, särskildt efter detta beslut, skulle gilla hvad här i betänkandet i de båda styckena nederst på sid. 37 yttras om att åt eforalstyrelserna borde uppdragas en inspektion, som de hittills icke haft.</w:t>
        <w:br/>
        <w:br/>
        <w:t>På grund häraf ber jag, herr talman, att få yrka, att de båda stycken, som stå nederst på sid. 37 i motiveringen, måtte alldeles utgå.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